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drawings/drawing7.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8.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drawings/drawing9.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drawings/drawing10.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drawings/drawing11.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drawings/drawing12.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drawings/drawing13.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drawings/drawing14.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drawings/drawing15.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drawings/drawing16.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drawings/drawing17.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drawings/drawing18.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drawings/drawing19.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footer1.xml" ContentType="application/vnd.openxmlformats-officedocument.wordprocessingml.footer+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theme/themeOverride46.xml" ContentType="application/vnd.openxmlformats-officedocument.themeOverride+xml"/>
  <Override PartName="/word/charts/chartEx1.xml" ContentType="application/vnd.ms-office.chartex+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29B" w14:textId="1EEF7B3B" w:rsidR="00543EBB" w:rsidRPr="00307028" w:rsidRDefault="003B3917">
      <w:r w:rsidRPr="00307028">
        <w:rPr>
          <w:noProof/>
        </w:rPr>
        <mc:AlternateContent>
          <mc:Choice Requires="wps">
            <w:drawing>
              <wp:anchor distT="0" distB="0" distL="114300" distR="114300" simplePos="0" relativeHeight="251659264" behindDoc="1" locked="0" layoutInCell="1" allowOverlap="1" wp14:anchorId="10C67491" wp14:editId="7F459C92">
                <wp:simplePos x="0" y="0"/>
                <wp:positionH relativeFrom="margin">
                  <wp:posOffset>-1108231</wp:posOffset>
                </wp:positionH>
                <wp:positionV relativeFrom="paragraph">
                  <wp:posOffset>-2426670</wp:posOffset>
                </wp:positionV>
                <wp:extent cx="8028305" cy="4132053"/>
                <wp:effectExtent l="0" t="0" r="0" b="1905"/>
                <wp:wrapNone/>
                <wp:docPr id="2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8305" cy="4132053"/>
                        </a:xfrm>
                        <a:custGeom>
                          <a:avLst/>
                          <a:gdLst>
                            <a:gd name="T0" fmla="*/ 2529 w 2529"/>
                            <a:gd name="T1" fmla="*/ 400 h 1011"/>
                            <a:gd name="T2" fmla="*/ 515 w 2529"/>
                            <a:gd name="T3" fmla="*/ 0 h 1011"/>
                            <a:gd name="T4" fmla="*/ 0 w 2529"/>
                            <a:gd name="T5" fmla="*/ 0 h 1011"/>
                            <a:gd name="T6" fmla="*/ 0 w 2529"/>
                            <a:gd name="T7" fmla="*/ 907 h 1011"/>
                            <a:gd name="T8" fmla="*/ 1065 w 2529"/>
                            <a:gd name="T9" fmla="*/ 897 h 1011"/>
                            <a:gd name="T10" fmla="*/ 2529 w 2529"/>
                            <a:gd name="T11" fmla="*/ 1011 h 1011"/>
                            <a:gd name="T12" fmla="*/ 2529 w 2529"/>
                            <a:gd name="T13" fmla="*/ 400 h 1011"/>
                          </a:gdLst>
                          <a:ahLst/>
                          <a:cxnLst>
                            <a:cxn ang="0">
                              <a:pos x="T0" y="T1"/>
                            </a:cxn>
                            <a:cxn ang="0">
                              <a:pos x="T2" y="T3"/>
                            </a:cxn>
                            <a:cxn ang="0">
                              <a:pos x="T4" y="T5"/>
                            </a:cxn>
                            <a:cxn ang="0">
                              <a:pos x="T6" y="T7"/>
                            </a:cxn>
                            <a:cxn ang="0">
                              <a:pos x="T8" y="T9"/>
                            </a:cxn>
                            <a:cxn ang="0">
                              <a:pos x="T10" y="T11"/>
                            </a:cxn>
                            <a:cxn ang="0">
                              <a:pos x="T12" y="T13"/>
                            </a:cxn>
                          </a:cxnLst>
                          <a:rect l="0" t="0" r="r" b="b"/>
                          <a:pathLst>
                            <a:path w="2529" h="1011">
                              <a:moveTo>
                                <a:pt x="2529" y="400"/>
                              </a:moveTo>
                              <a:cubicBezTo>
                                <a:pt x="515" y="0"/>
                                <a:pt x="515" y="0"/>
                                <a:pt x="515" y="0"/>
                              </a:cubicBezTo>
                              <a:cubicBezTo>
                                <a:pt x="0" y="0"/>
                                <a:pt x="0" y="0"/>
                                <a:pt x="0" y="0"/>
                              </a:cubicBezTo>
                              <a:cubicBezTo>
                                <a:pt x="0" y="907"/>
                                <a:pt x="0" y="907"/>
                                <a:pt x="0" y="907"/>
                              </a:cubicBezTo>
                              <a:cubicBezTo>
                                <a:pt x="263" y="961"/>
                                <a:pt x="621" y="983"/>
                                <a:pt x="1065" y="897"/>
                              </a:cubicBezTo>
                              <a:cubicBezTo>
                                <a:pt x="1910" y="733"/>
                                <a:pt x="2335" y="885"/>
                                <a:pt x="2529" y="1011"/>
                              </a:cubicBezTo>
                              <a:lnTo>
                                <a:pt x="2529" y="400"/>
                              </a:lnTo>
                              <a:close/>
                            </a:path>
                          </a:pathLst>
                        </a:custGeom>
                        <a:solidFill>
                          <a:schemeClr val="accent5">
                            <a:lumMod val="50000"/>
                          </a:schemeClr>
                        </a:solidFill>
                        <a:ln>
                          <a:noFill/>
                        </a:ln>
                      </wps:spPr>
                      <wps:txbx>
                        <w:txbxContent>
                          <w:p w14:paraId="1ECA5846" w14:textId="77777777" w:rsidR="00A939DB" w:rsidRPr="00307028" w:rsidRDefault="00A939DB" w:rsidP="00A939DB">
                            <w:pPr>
                              <w:jc w:val="right"/>
                              <w:rPr>
                                <w:i/>
                                <w:lang w:eastAsia="lv-LV"/>
                              </w:rPr>
                            </w:pPr>
                            <w:r w:rsidRPr="00307028">
                              <w:rPr>
                                <w:i/>
                                <w:lang w:eastAsia="lv-LV"/>
                              </w:rPr>
                              <w:t>Projekts</w:t>
                            </w:r>
                          </w:p>
                          <w:p w14:paraId="3D6052EC" w14:textId="77777777" w:rsidR="00A939DB" w:rsidRPr="00307028" w:rsidRDefault="00A939DB" w:rsidP="00A939DB">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0C67491" id="Freeform 13" o:spid="_x0000_s1026" style="position:absolute;margin-left:-87.25pt;margin-top:-191.1pt;width:632.15pt;height:325.3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coordsize="2529,10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" adj="-11796480,,5400" path="m2529,400c515,,515,,515,,,,,,,,,907,,907,,907v263,54,621,76,1065,-10c1910,733,2335,885,2529,1011r,-611xe" fillcolor="#1f4d78 [1608]" stroked="f">
                <v:stroke joinstyle="miter"/>
                <v:formulas/>
                <v:path arrowok="t" o:connecttype="custom" o:connectlocs="8028305,1634838;1634866,0;0,0;0,3706995;3380840,3666124;8028305,4132053;8028305,1634838" o:connectangles="0,0,0,0,0,0,0" textboxrect="0,0,2529,1011"/>
                <v:textbox>
                  <w:txbxContent>
                    <w:p w14:paraId="1ECA5846" w14:textId="77777777" w:rsidR="00A939DB" w:rsidRPr="00307028" w:rsidRDefault="00A939DB" w:rsidP="00A939DB">
                      <w:pPr>
                        <w:jc w:val="right"/>
                        <w:rPr>
                          <w:i/>
                          <w:lang w:eastAsia="lv-LV"/>
                        </w:rPr>
                      </w:pPr>
                      <w:r w:rsidRPr="00307028">
                        <w:rPr>
                          <w:i/>
                          <w:lang w:eastAsia="lv-LV"/>
                        </w:rPr>
                        <w:t>Projekts</w:t>
                      </w:r>
                    </w:p>
                    <w:p w14:paraId="3D6052EC" w14:textId="77777777" w:rsidR="00A939DB" w:rsidRPr="00307028" w:rsidRDefault="00A939DB" w:rsidP="00A939DB">
                      <w:pPr>
                        <w:jc w:val="center"/>
                      </w:pPr>
                    </w:p>
                  </w:txbxContent>
                </v:textbox>
                <w10:wrap anchorx="margin"/>
              </v:shape>
            </w:pict>
          </mc:Fallback>
        </mc:AlternateContent>
      </w:r>
      <w:r w:rsidR="00543EBB" w:rsidRPr="00307028">
        <w:rPr>
          <w:noProof/>
        </w:rPr>
        <mc:AlternateContent>
          <mc:Choice Requires="wps">
            <w:drawing>
              <wp:anchor distT="0" distB="0" distL="114300" distR="114300" simplePos="0" relativeHeight="251658239" behindDoc="1" locked="0" layoutInCell="1" allowOverlap="1" wp14:anchorId="1F9968DA" wp14:editId="1C885EC7">
                <wp:simplePos x="0" y="0"/>
                <wp:positionH relativeFrom="page">
                  <wp:align>left</wp:align>
                </wp:positionH>
                <wp:positionV relativeFrom="paragraph">
                  <wp:posOffset>-1411222</wp:posOffset>
                </wp:positionV>
                <wp:extent cx="8028305" cy="3599815"/>
                <wp:effectExtent l="0" t="0" r="0" b="635"/>
                <wp:wrapNone/>
                <wp:docPr id="2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8305" cy="3599815"/>
                        </a:xfrm>
                        <a:custGeom>
                          <a:avLst/>
                          <a:gdLst>
                            <a:gd name="T0" fmla="*/ 2529 w 2529"/>
                            <a:gd name="T1" fmla="*/ 400 h 1247"/>
                            <a:gd name="T2" fmla="*/ 515 w 2529"/>
                            <a:gd name="T3" fmla="*/ 0 h 1247"/>
                            <a:gd name="T4" fmla="*/ 0 w 2529"/>
                            <a:gd name="T5" fmla="*/ 0 h 1247"/>
                            <a:gd name="T6" fmla="*/ 0 w 2529"/>
                            <a:gd name="T7" fmla="*/ 960 h 1247"/>
                            <a:gd name="T8" fmla="*/ 1033 w 2529"/>
                            <a:gd name="T9" fmla="*/ 991 h 1247"/>
                            <a:gd name="T10" fmla="*/ 2529 w 2529"/>
                            <a:gd name="T11" fmla="*/ 1247 h 1247"/>
                            <a:gd name="T12" fmla="*/ 2529 w 2529"/>
                            <a:gd name="T13" fmla="*/ 400 h 1247"/>
                          </a:gdLst>
                          <a:ahLst/>
                          <a:cxnLst>
                            <a:cxn ang="0">
                              <a:pos x="T0" y="T1"/>
                            </a:cxn>
                            <a:cxn ang="0">
                              <a:pos x="T2" y="T3"/>
                            </a:cxn>
                            <a:cxn ang="0">
                              <a:pos x="T4" y="T5"/>
                            </a:cxn>
                            <a:cxn ang="0">
                              <a:pos x="T6" y="T7"/>
                            </a:cxn>
                            <a:cxn ang="0">
                              <a:pos x="T8" y="T9"/>
                            </a:cxn>
                            <a:cxn ang="0">
                              <a:pos x="T10" y="T11"/>
                            </a:cxn>
                            <a:cxn ang="0">
                              <a:pos x="T12" y="T13"/>
                            </a:cxn>
                          </a:cxnLst>
                          <a:rect l="0" t="0" r="r" b="b"/>
                          <a:pathLst>
                            <a:path w="2529" h="1247">
                              <a:moveTo>
                                <a:pt x="2529" y="400"/>
                              </a:moveTo>
                              <a:cubicBezTo>
                                <a:pt x="515" y="0"/>
                                <a:pt x="515" y="0"/>
                                <a:pt x="515" y="0"/>
                              </a:cubicBezTo>
                              <a:cubicBezTo>
                                <a:pt x="0" y="0"/>
                                <a:pt x="0" y="0"/>
                                <a:pt x="0" y="0"/>
                              </a:cubicBezTo>
                              <a:cubicBezTo>
                                <a:pt x="0" y="960"/>
                                <a:pt x="0" y="960"/>
                                <a:pt x="0" y="960"/>
                              </a:cubicBezTo>
                              <a:cubicBezTo>
                                <a:pt x="258" y="1023"/>
                                <a:pt x="604" y="1058"/>
                                <a:pt x="1033" y="991"/>
                              </a:cubicBezTo>
                              <a:cubicBezTo>
                                <a:pt x="1909" y="853"/>
                                <a:pt x="2359" y="1088"/>
                                <a:pt x="2529" y="1247"/>
                              </a:cubicBezTo>
                              <a:lnTo>
                                <a:pt x="2529" y="400"/>
                              </a:lnTo>
                              <a:close/>
                            </a:path>
                          </a:pathLst>
                        </a:custGeom>
                        <a:solidFill>
                          <a:srgbClr val="3399CC">
                            <a:lumMod val="40000"/>
                            <a:lumOff val="60000"/>
                          </a:srgbClr>
                        </a:solid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28DA84A" id="Freeform 10" o:spid="_x0000_s1026" style="position:absolute;margin-left:0;margin-top:-111.1pt;width:632.15pt;height:283.45pt;z-index:-251658241;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2529,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" path="m2529,400c515,,515,,515,,,,,,,,,960,,960,,960v258,63,604,98,1033,31c1909,853,2359,1088,2529,1247r,-847xe" fillcolor="#add6eb" stroked="f">
                <v:path arrowok="t" o:connecttype="custom" o:connectlocs="8028305,1154712;1634866,0;0,0;0,2771309;3279256,2860799;8028305,3599815;8028305,1154712" o:connectangles="0,0,0,0,0,0,0"/>
                <w10:wrap anchorx="page"/>
              </v:shape>
            </w:pict>
          </mc:Fallback>
        </mc:AlternateContent>
      </w:r>
    </w:p>
    <w:p w14:paraId="5A9BC6E4" w14:textId="77777777" w:rsidR="00543EBB" w:rsidRPr="00307028" w:rsidRDefault="00543EBB"/>
    <w:p w14:paraId="54696623" w14:textId="6DC172F5" w:rsidR="00543EBB" w:rsidRPr="00307028" w:rsidRDefault="00543EBB"/>
    <w:p w14:paraId="54AC80B8" w14:textId="55920C6A" w:rsidR="00543EBB" w:rsidRPr="00307028" w:rsidRDefault="00543EBB"/>
    <w:p w14:paraId="4EAC48CC" w14:textId="1B1DAD0C" w:rsidR="00543EBB" w:rsidRPr="00307028" w:rsidRDefault="00543EBB"/>
    <w:p w14:paraId="1BE39054" w14:textId="70A50A7B" w:rsidR="00543EBB" w:rsidRPr="00307028" w:rsidRDefault="00543EBB"/>
    <w:p w14:paraId="4A75FFB6" w14:textId="64816F8F" w:rsidR="00A939DB" w:rsidRPr="00307028" w:rsidRDefault="00A939DB" w:rsidP="00A939DB">
      <w:pPr>
        <w:jc w:val="right"/>
        <w:rPr>
          <w:i/>
          <w:lang w:eastAsia="lv-LV"/>
        </w:rPr>
      </w:pPr>
      <w:r w:rsidRPr="00307028">
        <w:rPr>
          <w:noProof/>
          <w:lang w:eastAsia="en-US"/>
        </w:rPr>
        <w:drawing>
          <wp:anchor distT="0" distB="0" distL="114300" distR="114300" simplePos="0" relativeHeight="251657214" behindDoc="1" locked="0" layoutInCell="1" allowOverlap="1" wp14:anchorId="6351B716" wp14:editId="54A1A8E0">
            <wp:simplePos x="0" y="0"/>
            <wp:positionH relativeFrom="page">
              <wp:align>right</wp:align>
            </wp:positionH>
            <wp:positionV relativeFrom="paragraph">
              <wp:posOffset>224155</wp:posOffset>
            </wp:positionV>
            <wp:extent cx="7539487" cy="5904500"/>
            <wp:effectExtent l="0" t="0" r="444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39487" cy="590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1148C" w14:textId="33692A1D" w:rsidR="00543EBB" w:rsidRPr="00307028" w:rsidRDefault="00543EBB"/>
    <w:p w14:paraId="44D8037F" w14:textId="198B5BE0" w:rsidR="00543EBB" w:rsidRPr="00307028" w:rsidRDefault="00543EBB"/>
    <w:p w14:paraId="773A9243" w14:textId="760607F1" w:rsidR="00543EBB" w:rsidRPr="00307028" w:rsidRDefault="00543EBB"/>
    <w:p w14:paraId="27BFDEDD" w14:textId="5F1DC0D8" w:rsidR="00543EBB" w:rsidRPr="00307028" w:rsidRDefault="00543EBB"/>
    <w:p w14:paraId="4A7F360C" w14:textId="0E54AA98" w:rsidR="00543EBB" w:rsidRPr="00307028" w:rsidRDefault="00543EBB"/>
    <w:p w14:paraId="5208E4D3" w14:textId="0B65B6C5" w:rsidR="00543EBB" w:rsidRPr="00307028" w:rsidRDefault="00543EBB"/>
    <w:p w14:paraId="2912F333" w14:textId="2BF88C83" w:rsidR="00543EBB" w:rsidRPr="00307028" w:rsidRDefault="00543EBB"/>
    <w:p w14:paraId="0161142F" w14:textId="77777777" w:rsidR="00543EBB" w:rsidRPr="00307028" w:rsidRDefault="00543EBB"/>
    <w:p w14:paraId="0E30B95F" w14:textId="77777777" w:rsidR="00543EBB" w:rsidRPr="00307028" w:rsidRDefault="00543EBB"/>
    <w:p w14:paraId="17AECD23" w14:textId="77777777" w:rsidR="00543EBB" w:rsidRPr="00307028" w:rsidRDefault="00543EBB"/>
    <w:p w14:paraId="3367C51C" w14:textId="77777777" w:rsidR="00543EBB" w:rsidRPr="00307028" w:rsidRDefault="00543EBB"/>
    <w:p w14:paraId="6D10C0D4" w14:textId="77777777" w:rsidR="00543EBB" w:rsidRPr="00307028" w:rsidRDefault="00543EBB"/>
    <w:p w14:paraId="5B27F902" w14:textId="77777777" w:rsidR="00543EBB" w:rsidRPr="00307028" w:rsidRDefault="00543EBB"/>
    <w:p w14:paraId="426B1151" w14:textId="77777777" w:rsidR="00543EBB" w:rsidRPr="00307028" w:rsidRDefault="00543EBB"/>
    <w:p w14:paraId="09C65F56" w14:textId="77777777" w:rsidR="00543EBB" w:rsidRPr="00307028" w:rsidRDefault="00543EBB"/>
    <w:p w14:paraId="407366D6" w14:textId="77777777" w:rsidR="00543EBB" w:rsidRPr="00307028" w:rsidRDefault="00543EBB"/>
    <w:p w14:paraId="0C8D3750" w14:textId="77777777" w:rsidR="00543EBB" w:rsidRPr="00307028" w:rsidRDefault="00543EBB"/>
    <w:p w14:paraId="4335F8FC" w14:textId="77777777" w:rsidR="00543EBB" w:rsidRPr="00307028" w:rsidRDefault="00543EBB"/>
    <w:p w14:paraId="26277E6C" w14:textId="77777777" w:rsidR="00543EBB" w:rsidRPr="00307028" w:rsidRDefault="00543EBB"/>
    <w:p w14:paraId="601CDE8D" w14:textId="77777777" w:rsidR="00543EBB" w:rsidRPr="00307028" w:rsidRDefault="00543EBB"/>
    <w:p w14:paraId="6C6A3B43" w14:textId="77777777" w:rsidR="00543EBB" w:rsidRPr="00307028" w:rsidRDefault="00543EBB"/>
    <w:p w14:paraId="702FF873" w14:textId="77777777" w:rsidR="00543EBB" w:rsidRPr="00307028" w:rsidRDefault="00543EBB"/>
    <w:p w14:paraId="7827C7B8" w14:textId="77777777" w:rsidR="00543EBB" w:rsidRPr="00307028" w:rsidRDefault="00543EBB"/>
    <w:p w14:paraId="2D2BBF74" w14:textId="5BA7F84E" w:rsidR="00543EBB" w:rsidRPr="00307028" w:rsidRDefault="00543EBB"/>
    <w:p w14:paraId="3249A307" w14:textId="7BD66636" w:rsidR="00543EBB" w:rsidRPr="00307028" w:rsidRDefault="00543EBB"/>
    <w:p w14:paraId="71A5AD1D" w14:textId="539A8C55" w:rsidR="00543EBB" w:rsidRPr="00307028" w:rsidRDefault="00543EBB"/>
    <w:p w14:paraId="3473AB79" w14:textId="6B068466" w:rsidR="00543EBB" w:rsidRPr="00307028" w:rsidRDefault="00543EBB" w:rsidP="00543EBB">
      <w:pPr>
        <w:jc w:val="center"/>
        <w:rPr>
          <w:rStyle w:val="sowc"/>
          <w:b/>
          <w:color w:val="FFFFFF" w:themeColor="background1"/>
          <w:sz w:val="44"/>
          <w:szCs w:val="44"/>
        </w:rPr>
      </w:pPr>
      <w:r w:rsidRPr="00307028">
        <w:rPr>
          <w:noProof/>
        </w:rPr>
        <mc:AlternateContent>
          <mc:Choice Requires="wpg">
            <w:drawing>
              <wp:anchor distT="0" distB="0" distL="114300" distR="114300" simplePos="0" relativeHeight="251661312" behindDoc="1" locked="0" layoutInCell="1" allowOverlap="1" wp14:anchorId="7D594A2D" wp14:editId="3A76FC9F">
                <wp:simplePos x="0" y="0"/>
                <wp:positionH relativeFrom="page">
                  <wp:align>center</wp:align>
                </wp:positionH>
                <wp:positionV relativeFrom="paragraph">
                  <wp:posOffset>306069</wp:posOffset>
                </wp:positionV>
                <wp:extent cx="8504098" cy="4043016"/>
                <wp:effectExtent l="0" t="0" r="0" b="0"/>
                <wp:wrapNone/>
                <wp:docPr id="16" name="Group 16"/>
                <wp:cNvGraphicFramePr/>
                <a:graphic xmlns:a="http://schemas.openxmlformats.org/drawingml/2006/main">
                  <a:graphicData uri="http://schemas.microsoft.com/office/word/2010/wordprocessingGroup">
                    <wpg:wgp>
                      <wpg:cNvGrpSpPr/>
                      <wpg:grpSpPr>
                        <a:xfrm rot="10800000">
                          <a:off x="0" y="0"/>
                          <a:ext cx="8504098" cy="4043016"/>
                          <a:chOff x="0" y="0"/>
                          <a:chExt cx="8172579" cy="4043016"/>
                        </a:xfrm>
                        <a:solidFill>
                          <a:srgbClr val="336699">
                            <a:lumMod val="75000"/>
                          </a:srgbClr>
                        </a:solidFill>
                      </wpg:grpSpPr>
                      <wps:wsp>
                        <wps:cNvPr id="14" name="Freeform 10"/>
                        <wps:cNvSpPr>
                          <a:spLocks/>
                        </wps:cNvSpPr>
                        <wps:spPr bwMode="auto">
                          <a:xfrm>
                            <a:off x="144274" y="81886"/>
                            <a:ext cx="8028305" cy="3961130"/>
                          </a:xfrm>
                          <a:custGeom>
                            <a:avLst/>
                            <a:gdLst>
                              <a:gd name="T0" fmla="*/ 2529 w 2529"/>
                              <a:gd name="T1" fmla="*/ 400 h 1247"/>
                              <a:gd name="T2" fmla="*/ 515 w 2529"/>
                              <a:gd name="T3" fmla="*/ 0 h 1247"/>
                              <a:gd name="T4" fmla="*/ 0 w 2529"/>
                              <a:gd name="T5" fmla="*/ 0 h 1247"/>
                              <a:gd name="T6" fmla="*/ 0 w 2529"/>
                              <a:gd name="T7" fmla="*/ 960 h 1247"/>
                              <a:gd name="T8" fmla="*/ 1033 w 2529"/>
                              <a:gd name="T9" fmla="*/ 991 h 1247"/>
                              <a:gd name="T10" fmla="*/ 2529 w 2529"/>
                              <a:gd name="T11" fmla="*/ 1247 h 1247"/>
                              <a:gd name="T12" fmla="*/ 2529 w 2529"/>
                              <a:gd name="T13" fmla="*/ 400 h 1247"/>
                            </a:gdLst>
                            <a:ahLst/>
                            <a:cxnLst>
                              <a:cxn ang="0">
                                <a:pos x="T0" y="T1"/>
                              </a:cxn>
                              <a:cxn ang="0">
                                <a:pos x="T2" y="T3"/>
                              </a:cxn>
                              <a:cxn ang="0">
                                <a:pos x="T4" y="T5"/>
                              </a:cxn>
                              <a:cxn ang="0">
                                <a:pos x="T6" y="T7"/>
                              </a:cxn>
                              <a:cxn ang="0">
                                <a:pos x="T8" y="T9"/>
                              </a:cxn>
                              <a:cxn ang="0">
                                <a:pos x="T10" y="T11"/>
                              </a:cxn>
                              <a:cxn ang="0">
                                <a:pos x="T12" y="T13"/>
                              </a:cxn>
                            </a:cxnLst>
                            <a:rect l="0" t="0" r="r" b="b"/>
                            <a:pathLst>
                              <a:path w="2529" h="1247">
                                <a:moveTo>
                                  <a:pt x="2529" y="400"/>
                                </a:moveTo>
                                <a:cubicBezTo>
                                  <a:pt x="515" y="0"/>
                                  <a:pt x="515" y="0"/>
                                  <a:pt x="515" y="0"/>
                                </a:cubicBezTo>
                                <a:cubicBezTo>
                                  <a:pt x="0" y="0"/>
                                  <a:pt x="0" y="0"/>
                                  <a:pt x="0" y="0"/>
                                </a:cubicBezTo>
                                <a:cubicBezTo>
                                  <a:pt x="0" y="960"/>
                                  <a:pt x="0" y="960"/>
                                  <a:pt x="0" y="960"/>
                                </a:cubicBezTo>
                                <a:cubicBezTo>
                                  <a:pt x="258" y="1023"/>
                                  <a:pt x="604" y="1058"/>
                                  <a:pt x="1033" y="991"/>
                                </a:cubicBezTo>
                                <a:cubicBezTo>
                                  <a:pt x="1909" y="853"/>
                                  <a:pt x="2359" y="1088"/>
                                  <a:pt x="2529" y="1247"/>
                                </a:cubicBezTo>
                                <a:lnTo>
                                  <a:pt x="2529" y="400"/>
                                </a:lnTo>
                                <a:close/>
                              </a:path>
                            </a:pathLst>
                          </a:custGeom>
                          <a:solidFill>
                            <a:srgbClr val="3399CC">
                              <a:lumMod val="40000"/>
                              <a:lumOff val="60000"/>
                            </a:srgbClr>
                          </a:solidFill>
                          <a:ln>
                            <a:noFill/>
                          </a:ln>
                        </wps:spPr>
                        <wps:bodyPr rot="0" vert="horz" wrap="square" lIns="91440" tIns="45720" rIns="91440" bIns="45720" anchor="t" anchorCtr="0" upright="1">
                          <a:noAutofit/>
                        </wps:bodyPr>
                      </wps:wsp>
                      <wps:wsp>
                        <wps:cNvPr id="15" name="Freeform 11"/>
                        <wps:cNvSpPr>
                          <a:spLocks/>
                        </wps:cNvSpPr>
                        <wps:spPr bwMode="auto">
                          <a:xfrm>
                            <a:off x="0" y="0"/>
                            <a:ext cx="8028305" cy="3386455"/>
                          </a:xfrm>
                          <a:custGeom>
                            <a:avLst/>
                            <a:gdLst>
                              <a:gd name="T0" fmla="*/ 2529 w 2529"/>
                              <a:gd name="T1" fmla="*/ 400 h 1066"/>
                              <a:gd name="T2" fmla="*/ 515 w 2529"/>
                              <a:gd name="T3" fmla="*/ 0 h 1066"/>
                              <a:gd name="T4" fmla="*/ 0 w 2529"/>
                              <a:gd name="T5" fmla="*/ 0 h 1066"/>
                              <a:gd name="T6" fmla="*/ 0 w 2529"/>
                              <a:gd name="T7" fmla="*/ 884 h 1066"/>
                              <a:gd name="T8" fmla="*/ 1063 w 2529"/>
                              <a:gd name="T9" fmla="*/ 903 h 1066"/>
                              <a:gd name="T10" fmla="*/ 2529 w 2529"/>
                              <a:gd name="T11" fmla="*/ 1066 h 1066"/>
                              <a:gd name="T12" fmla="*/ 2529 w 2529"/>
                              <a:gd name="T13" fmla="*/ 400 h 1066"/>
                            </a:gdLst>
                            <a:ahLst/>
                            <a:cxnLst>
                              <a:cxn ang="0">
                                <a:pos x="T0" y="T1"/>
                              </a:cxn>
                              <a:cxn ang="0">
                                <a:pos x="T2" y="T3"/>
                              </a:cxn>
                              <a:cxn ang="0">
                                <a:pos x="T4" y="T5"/>
                              </a:cxn>
                              <a:cxn ang="0">
                                <a:pos x="T6" y="T7"/>
                              </a:cxn>
                              <a:cxn ang="0">
                                <a:pos x="T8" y="T9"/>
                              </a:cxn>
                              <a:cxn ang="0">
                                <a:pos x="T10" y="T11"/>
                              </a:cxn>
                              <a:cxn ang="0">
                                <a:pos x="T12" y="T13"/>
                              </a:cxn>
                            </a:cxnLst>
                            <a:rect l="0" t="0" r="r" b="b"/>
                            <a:pathLst>
                              <a:path w="2529" h="1066">
                                <a:moveTo>
                                  <a:pt x="2529" y="400"/>
                                </a:moveTo>
                                <a:cubicBezTo>
                                  <a:pt x="515" y="0"/>
                                  <a:pt x="515" y="0"/>
                                  <a:pt x="515" y="0"/>
                                </a:cubicBezTo>
                                <a:cubicBezTo>
                                  <a:pt x="0" y="0"/>
                                  <a:pt x="0" y="0"/>
                                  <a:pt x="0" y="0"/>
                                </a:cubicBezTo>
                                <a:cubicBezTo>
                                  <a:pt x="0" y="884"/>
                                  <a:pt x="0" y="884"/>
                                  <a:pt x="0" y="884"/>
                                </a:cubicBezTo>
                                <a:cubicBezTo>
                                  <a:pt x="262" y="947"/>
                                  <a:pt x="618" y="980"/>
                                  <a:pt x="1063" y="903"/>
                                </a:cubicBezTo>
                                <a:cubicBezTo>
                                  <a:pt x="1923" y="755"/>
                                  <a:pt x="2345" y="933"/>
                                  <a:pt x="2529" y="1066"/>
                                </a:cubicBezTo>
                                <a:lnTo>
                                  <a:pt x="2529" y="400"/>
                                </a:lnTo>
                                <a:close/>
                              </a:path>
                            </a:pathLst>
                          </a:custGeom>
                          <a:solidFill>
                            <a:schemeClr val="accent5">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3"/>
                        <wps:cNvSpPr>
                          <a:spLocks/>
                        </wps:cNvSpPr>
                        <wps:spPr bwMode="auto">
                          <a:xfrm>
                            <a:off x="0" y="0"/>
                            <a:ext cx="8028305" cy="3211830"/>
                          </a:xfrm>
                          <a:custGeom>
                            <a:avLst/>
                            <a:gdLst>
                              <a:gd name="T0" fmla="*/ 2529 w 2529"/>
                              <a:gd name="T1" fmla="*/ 400 h 1011"/>
                              <a:gd name="T2" fmla="*/ 515 w 2529"/>
                              <a:gd name="T3" fmla="*/ 0 h 1011"/>
                              <a:gd name="T4" fmla="*/ 0 w 2529"/>
                              <a:gd name="T5" fmla="*/ 0 h 1011"/>
                              <a:gd name="T6" fmla="*/ 0 w 2529"/>
                              <a:gd name="T7" fmla="*/ 907 h 1011"/>
                              <a:gd name="T8" fmla="*/ 1065 w 2529"/>
                              <a:gd name="T9" fmla="*/ 897 h 1011"/>
                              <a:gd name="T10" fmla="*/ 2529 w 2529"/>
                              <a:gd name="T11" fmla="*/ 1011 h 1011"/>
                              <a:gd name="T12" fmla="*/ 2529 w 2529"/>
                              <a:gd name="T13" fmla="*/ 400 h 1011"/>
                            </a:gdLst>
                            <a:ahLst/>
                            <a:cxnLst>
                              <a:cxn ang="0">
                                <a:pos x="T0" y="T1"/>
                              </a:cxn>
                              <a:cxn ang="0">
                                <a:pos x="T2" y="T3"/>
                              </a:cxn>
                              <a:cxn ang="0">
                                <a:pos x="T4" y="T5"/>
                              </a:cxn>
                              <a:cxn ang="0">
                                <a:pos x="T6" y="T7"/>
                              </a:cxn>
                              <a:cxn ang="0">
                                <a:pos x="T8" y="T9"/>
                              </a:cxn>
                              <a:cxn ang="0">
                                <a:pos x="T10" y="T11"/>
                              </a:cxn>
                              <a:cxn ang="0">
                                <a:pos x="T12" y="T13"/>
                              </a:cxn>
                            </a:cxnLst>
                            <a:rect l="0" t="0" r="r" b="b"/>
                            <a:pathLst>
                              <a:path w="2529" h="1011">
                                <a:moveTo>
                                  <a:pt x="2529" y="400"/>
                                </a:moveTo>
                                <a:cubicBezTo>
                                  <a:pt x="515" y="0"/>
                                  <a:pt x="515" y="0"/>
                                  <a:pt x="515" y="0"/>
                                </a:cubicBezTo>
                                <a:cubicBezTo>
                                  <a:pt x="0" y="0"/>
                                  <a:pt x="0" y="0"/>
                                  <a:pt x="0" y="0"/>
                                </a:cubicBezTo>
                                <a:cubicBezTo>
                                  <a:pt x="0" y="907"/>
                                  <a:pt x="0" y="907"/>
                                  <a:pt x="0" y="907"/>
                                </a:cubicBezTo>
                                <a:cubicBezTo>
                                  <a:pt x="263" y="961"/>
                                  <a:pt x="621" y="983"/>
                                  <a:pt x="1065" y="897"/>
                                </a:cubicBezTo>
                                <a:cubicBezTo>
                                  <a:pt x="1910" y="733"/>
                                  <a:pt x="2335" y="885"/>
                                  <a:pt x="2529" y="1011"/>
                                </a:cubicBezTo>
                                <a:lnTo>
                                  <a:pt x="2529" y="400"/>
                                </a:lnTo>
                                <a:close/>
                              </a:path>
                            </a:pathLst>
                          </a:custGeom>
                          <a:solidFill>
                            <a:schemeClr val="accent5">
                              <a:lumMod val="50000"/>
                            </a:schemeClr>
                          </a:solidFill>
                          <a:ln>
                            <a:noFill/>
                          </a:ln>
                        </wps:spPr>
                        <wps:bodyPr rot="0" vert="horz" wrap="square" lIns="91440" tIns="45720" rIns="91440" bIns="45720" anchor="t" anchorCtr="0" upright="1">
                          <a:noAutofit/>
                        </wps:bodyPr>
                      </wps:wsp>
                      <wps:wsp>
                        <wps:cNvPr id="30" name="Freeform 14"/>
                        <wps:cNvSpPr>
                          <a:spLocks/>
                        </wps:cNvSpPr>
                        <wps:spPr bwMode="auto">
                          <a:xfrm>
                            <a:off x="0" y="0"/>
                            <a:ext cx="8028305" cy="2830195"/>
                          </a:xfrm>
                          <a:custGeom>
                            <a:avLst/>
                            <a:gdLst>
                              <a:gd name="T0" fmla="*/ 2529 w 2529"/>
                              <a:gd name="T1" fmla="*/ 0 h 891"/>
                              <a:gd name="T2" fmla="*/ 0 w 2529"/>
                              <a:gd name="T3" fmla="*/ 0 h 891"/>
                              <a:gd name="T4" fmla="*/ 0 w 2529"/>
                              <a:gd name="T5" fmla="*/ 824 h 891"/>
                              <a:gd name="T6" fmla="*/ 1146 w 2529"/>
                              <a:gd name="T7" fmla="*/ 789 h 891"/>
                              <a:gd name="T8" fmla="*/ 2529 w 2529"/>
                              <a:gd name="T9" fmla="*/ 833 h 891"/>
                              <a:gd name="T10" fmla="*/ 2529 w 2529"/>
                              <a:gd name="T11" fmla="*/ 0 h 891"/>
                            </a:gdLst>
                            <a:ahLst/>
                            <a:cxnLst>
                              <a:cxn ang="0">
                                <a:pos x="T0" y="T1"/>
                              </a:cxn>
                              <a:cxn ang="0">
                                <a:pos x="T2" y="T3"/>
                              </a:cxn>
                              <a:cxn ang="0">
                                <a:pos x="T4" y="T5"/>
                              </a:cxn>
                              <a:cxn ang="0">
                                <a:pos x="T6" y="T7"/>
                              </a:cxn>
                              <a:cxn ang="0">
                                <a:pos x="T8" y="T9"/>
                              </a:cxn>
                              <a:cxn ang="0">
                                <a:pos x="T10" y="T11"/>
                              </a:cxn>
                            </a:cxnLst>
                            <a:rect l="0" t="0" r="r" b="b"/>
                            <a:pathLst>
                              <a:path w="2529" h="891">
                                <a:moveTo>
                                  <a:pt x="2529" y="0"/>
                                </a:moveTo>
                                <a:cubicBezTo>
                                  <a:pt x="0" y="0"/>
                                  <a:pt x="0" y="0"/>
                                  <a:pt x="0" y="0"/>
                                </a:cubicBezTo>
                                <a:cubicBezTo>
                                  <a:pt x="0" y="824"/>
                                  <a:pt x="0" y="824"/>
                                  <a:pt x="0" y="824"/>
                                </a:cubicBezTo>
                                <a:cubicBezTo>
                                  <a:pt x="267" y="877"/>
                                  <a:pt x="631" y="891"/>
                                  <a:pt x="1146" y="789"/>
                                </a:cubicBezTo>
                                <a:cubicBezTo>
                                  <a:pt x="1904" y="640"/>
                                  <a:pt x="2321" y="731"/>
                                  <a:pt x="2529" y="833"/>
                                </a:cubicBezTo>
                                <a:lnTo>
                                  <a:pt x="2529" y="0"/>
                                </a:lnTo>
                                <a:close/>
                              </a:path>
                            </a:pathLst>
                          </a:custGeom>
                          <a:solidFill>
                            <a:schemeClr val="accent5">
                              <a:lumMod val="50000"/>
                            </a:schemeClr>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A24BE5" id="Group 16" o:spid="_x0000_s1026" style="position:absolute;margin-left:0;margin-top:24.1pt;width:669.6pt;height:318.35pt;rotation:180;z-index:-251655168;mso-position-horizontal:center;mso-position-horizontal-relative:page;mso-width-relative:margin;mso-height-relative:margin" coordsize="81725,4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">
                <v:shape id="Freeform 10" o:spid="_x0000_s1027" style="position:absolute;left:1442;top:818;width:80283;height:39612;visibility:visible;mso-wrap-style:square;v-text-anchor:top" coordsize="2529,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" path="m2529,400c515,,515,,515,,,,,,,,,960,,960,,960v258,63,604,98,1033,31c1909,853,2359,1088,2529,1247r,-847xe" fillcolor="#add6eb" stroked="f">
                  <v:path arrowok="t" o:connecttype="custom" o:connectlocs="8028305,1270611;1634866,0;0,0;0,3049467;3279256,3147939;8028305,3961130;8028305,1270611" o:connectangles="0,0,0,0,0,0,0"/>
                </v:shape>
                <v:shape id="Freeform 11" o:spid="_x0000_s1028" style="position:absolute;width:80283;height:33864;visibility:visible;mso-wrap-style:square;v-text-anchor:top" coordsize="2529,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" path="m2529,400c515,,515,,515,,,,,,,,,884,,884,,884v262,63,618,96,1063,19c1923,755,2345,933,2529,1066r,-666xe" fillcolor="#1f4d78 [1608]" stroked="f">
                  <v:path arrowok="t" o:connecttype="custom" o:connectlocs="8028305,1270715;1634866,0;0,0;0,2808280;3374491,2868639;8028305,3386455;8028305,1270715" o:connectangles="0,0,0,0,0,0,0"/>
                </v:shape>
                <v:shape id="Freeform 13" o:spid="_x0000_s1029" style="position:absolute;width:80283;height:32118;visibility:visible;mso-wrap-style:square;v-text-anchor:top" coordsize="2529,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" path="m2529,400c515,,515,,515,,,,,,,,,907,,907,,907v263,54,621,76,1065,-10c1910,733,2335,885,2529,1011r,-611xe" fillcolor="#1f4d78 [1608]" stroked="f">
                  <v:path arrowok="t" o:connecttype="custom" o:connectlocs="8028305,1270754;1634866,0;0,0;0,2881434;3380840,2849665;8028305,3211830;8028305,1270754" o:connectangles="0,0,0,0,0,0,0"/>
                </v:shape>
                <v:shape id="Freeform 14" o:spid="_x0000_s1030" style="position:absolute;width:80283;height:28301;visibility:visible;mso-wrap-style:square;v-text-anchor:top" coordsize="2529,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" path="m2529,c,,,,,,,824,,824,,824v267,53,631,67,1146,-35c1904,640,2321,731,2529,833l2529,xe" fillcolor="#1f4d78 [1608]" stroked="f">
                  <v:path arrowok="t" o:connecttype="custom" o:connectlocs="8028305,0;0,0;0,2617375;3637975,2506200;8028305,2645962;8028305,0" o:connectangles="0,0,0,0,0,0"/>
                </v:shape>
                <w10:wrap anchorx="page"/>
              </v:group>
            </w:pict>
          </mc:Fallback>
        </mc:AlternateContent>
      </w:r>
    </w:p>
    <w:p w14:paraId="33BF83D3" w14:textId="28D91996" w:rsidR="00543EBB" w:rsidRPr="00307028" w:rsidRDefault="00543EBB" w:rsidP="00543EBB">
      <w:pPr>
        <w:jc w:val="center"/>
        <w:rPr>
          <w:rStyle w:val="sowc"/>
          <w:b/>
          <w:color w:val="FFFFFF" w:themeColor="background1"/>
          <w:sz w:val="44"/>
          <w:szCs w:val="44"/>
        </w:rPr>
      </w:pPr>
    </w:p>
    <w:p w14:paraId="1BED44D6" w14:textId="77777777" w:rsidR="00543EBB" w:rsidRPr="00307028" w:rsidRDefault="00543EBB" w:rsidP="00543EBB">
      <w:pPr>
        <w:jc w:val="center"/>
        <w:rPr>
          <w:rStyle w:val="sowc"/>
          <w:b/>
          <w:color w:val="FFFFFF" w:themeColor="background1"/>
          <w:sz w:val="44"/>
          <w:szCs w:val="44"/>
        </w:rPr>
      </w:pPr>
    </w:p>
    <w:p w14:paraId="75DB5694" w14:textId="77777777" w:rsidR="00543EBB" w:rsidRPr="00307028" w:rsidRDefault="00543EBB" w:rsidP="00543EBB">
      <w:pPr>
        <w:jc w:val="center"/>
        <w:rPr>
          <w:rStyle w:val="sowc"/>
          <w:b/>
          <w:color w:val="FFFFFF" w:themeColor="background1"/>
          <w:sz w:val="44"/>
          <w:szCs w:val="44"/>
        </w:rPr>
      </w:pPr>
    </w:p>
    <w:p w14:paraId="503C0112" w14:textId="77777777" w:rsidR="00543EBB" w:rsidRPr="00307028" w:rsidRDefault="00543EBB" w:rsidP="0044492A">
      <w:pPr>
        <w:rPr>
          <w:rStyle w:val="sowc"/>
          <w:b/>
          <w:color w:val="FFFFFF" w:themeColor="background1"/>
          <w:sz w:val="40"/>
          <w:szCs w:val="40"/>
        </w:rPr>
      </w:pPr>
    </w:p>
    <w:p w14:paraId="64288963" w14:textId="77777777" w:rsidR="0044492A" w:rsidRPr="00307028" w:rsidRDefault="0044492A" w:rsidP="002C28FB">
      <w:pPr>
        <w:jc w:val="center"/>
        <w:rPr>
          <w:rStyle w:val="sowc"/>
          <w:b/>
          <w:color w:val="FFFFFF" w:themeColor="background1"/>
          <w:sz w:val="36"/>
          <w:szCs w:val="36"/>
        </w:rPr>
      </w:pPr>
    </w:p>
    <w:p w14:paraId="56106F68" w14:textId="1849D978" w:rsidR="002C28FB" w:rsidRPr="00307028" w:rsidRDefault="00543EBB" w:rsidP="002C28FB">
      <w:pPr>
        <w:jc w:val="center"/>
        <w:rPr>
          <w:rStyle w:val="sowc"/>
          <w:b/>
          <w:color w:val="FFFFFF" w:themeColor="background1"/>
          <w:sz w:val="36"/>
          <w:szCs w:val="36"/>
        </w:rPr>
      </w:pPr>
      <w:r w:rsidRPr="00307028">
        <w:rPr>
          <w:rStyle w:val="sowc"/>
          <w:b/>
          <w:color w:val="FFFFFF" w:themeColor="background1"/>
          <w:sz w:val="36"/>
          <w:szCs w:val="36"/>
        </w:rPr>
        <w:t>Informatīvais ziņojums "Par valsts pamatbudžeta un valsts speciālā budžeta bāzi un izdevumu pārskatīšanas rezultātiem 2024., 2025. un 2026. gadam"</w:t>
      </w:r>
    </w:p>
    <w:p w14:paraId="4E071164" w14:textId="77777777" w:rsidR="002C28FB" w:rsidRPr="00307028" w:rsidRDefault="002C28FB" w:rsidP="0044492A">
      <w:pPr>
        <w:rPr>
          <w:rStyle w:val="sowc"/>
          <w:b/>
          <w:color w:val="FFFFFF" w:themeColor="background1"/>
          <w:sz w:val="32"/>
          <w:szCs w:val="32"/>
        </w:rPr>
      </w:pPr>
    </w:p>
    <w:p w14:paraId="5C1AE73E" w14:textId="77777777" w:rsidR="0044492A" w:rsidRPr="00307028" w:rsidRDefault="0044492A" w:rsidP="002C28FB">
      <w:pPr>
        <w:jc w:val="center"/>
        <w:rPr>
          <w:rStyle w:val="sowc"/>
          <w:b/>
          <w:color w:val="FFFFFF" w:themeColor="background1"/>
        </w:rPr>
      </w:pPr>
    </w:p>
    <w:p w14:paraId="498E1DF8" w14:textId="022B8F08" w:rsidR="00543EBB" w:rsidRPr="00307028" w:rsidRDefault="00543EBB" w:rsidP="002C28FB">
      <w:pPr>
        <w:jc w:val="center"/>
        <w:rPr>
          <w:rStyle w:val="sowc"/>
          <w:b/>
          <w:color w:val="FFFFFF" w:themeColor="background1"/>
          <w:sz w:val="32"/>
          <w:szCs w:val="32"/>
        </w:rPr>
      </w:pPr>
      <w:r w:rsidRPr="00307028">
        <w:rPr>
          <w:rStyle w:val="sowc"/>
          <w:b/>
          <w:color w:val="FFFFFF" w:themeColor="background1"/>
        </w:rPr>
        <w:t>Rīga 2023</w:t>
      </w:r>
    </w:p>
    <w:p w14:paraId="3F3668C9" w14:textId="77777777" w:rsidR="00543EBB" w:rsidRPr="00307028" w:rsidRDefault="00543EBB" w:rsidP="00543EBB">
      <w:pPr>
        <w:rPr>
          <w:rStyle w:val="sowc"/>
          <w:b/>
          <w:color w:val="FFFFFF" w:themeColor="background1"/>
          <w:sz w:val="44"/>
          <w:szCs w:val="44"/>
        </w:rPr>
      </w:pPr>
    </w:p>
    <w:p w14:paraId="24BB8F3D" w14:textId="0932ADAA" w:rsidR="00543EBB" w:rsidRPr="00307028" w:rsidRDefault="00543EBB" w:rsidP="00D362D4">
      <w:pPr>
        <w:spacing w:after="120" w:line="259" w:lineRule="auto"/>
        <w:jc w:val="center"/>
        <w:rPr>
          <w:rFonts w:eastAsia="Times New Roman"/>
          <w:b/>
          <w:bCs/>
          <w:sz w:val="32"/>
          <w:szCs w:val="22"/>
          <w:lang w:eastAsia="en-US"/>
        </w:rPr>
      </w:pPr>
      <w:r w:rsidRPr="00307028">
        <w:rPr>
          <w:rFonts w:eastAsia="Times New Roman"/>
          <w:b/>
          <w:bCs/>
          <w:sz w:val="32"/>
          <w:szCs w:val="22"/>
          <w:lang w:eastAsia="en-US"/>
        </w:rPr>
        <w:t>SATURS</w:t>
      </w:r>
    </w:p>
    <w:sdt>
      <w:sdtPr>
        <w:rPr>
          <w:rFonts w:ascii="Times New Roman" w:eastAsia="Batang" w:hAnsi="Times New Roman" w:cs="Times New Roman"/>
          <w:color w:val="auto"/>
          <w:sz w:val="24"/>
          <w:szCs w:val="24"/>
          <w:lang w:eastAsia="ko-KR"/>
        </w:rPr>
        <w:id w:val="744992946"/>
        <w:docPartObj>
          <w:docPartGallery w:val="Table of Contents"/>
          <w:docPartUnique/>
        </w:docPartObj>
      </w:sdtPr>
      <w:sdtEndPr>
        <w:rPr>
          <w:b/>
          <w:bCs/>
        </w:rPr>
      </w:sdtEndPr>
      <w:sdtContent>
        <w:p w14:paraId="695B9584" w14:textId="094CAE5A" w:rsidR="00DA0139" w:rsidRPr="00307028" w:rsidRDefault="00DA0139">
          <w:pPr>
            <w:pStyle w:val="TOCHeading"/>
          </w:pPr>
        </w:p>
        <w:p w14:paraId="36AAA348" w14:textId="268BF555" w:rsidR="00E82857" w:rsidRDefault="00DA0139">
          <w:pPr>
            <w:pStyle w:val="TOC1"/>
            <w:rPr>
              <w:rFonts w:asciiTheme="minorHAnsi" w:eastAsiaTheme="minorEastAsia" w:hAnsiTheme="minorHAnsi" w:cstheme="minorBidi"/>
              <w:noProof/>
              <w:kern w:val="2"/>
              <w:sz w:val="22"/>
              <w:szCs w:val="22"/>
              <w:lang w:eastAsia="lv-LV"/>
              <w14:ligatures w14:val="standardContextual"/>
            </w:rPr>
          </w:pPr>
          <w:r w:rsidRPr="00307028">
            <w:fldChar w:fldCharType="begin"/>
          </w:r>
          <w:r w:rsidRPr="00307028">
            <w:instrText xml:space="preserve"> TOC \o "1-3" \h \z \u </w:instrText>
          </w:r>
          <w:r w:rsidRPr="00307028">
            <w:fldChar w:fldCharType="separate"/>
          </w:r>
          <w:hyperlink r:id="rId9" w:anchor="_Toc142492920" w:history="1">
            <w:r w:rsidR="00E82857" w:rsidRPr="00B20DC4">
              <w:rPr>
                <w:rStyle w:val="Hyperlink"/>
                <w:noProof/>
              </w:rPr>
              <w:t>IEVADS</w:t>
            </w:r>
            <w:r w:rsidR="00E82857">
              <w:rPr>
                <w:noProof/>
                <w:webHidden/>
              </w:rPr>
              <w:tab/>
            </w:r>
            <w:r w:rsidR="00E82857">
              <w:rPr>
                <w:noProof/>
                <w:webHidden/>
              </w:rPr>
              <w:fldChar w:fldCharType="begin"/>
            </w:r>
            <w:r w:rsidR="00E82857">
              <w:rPr>
                <w:noProof/>
                <w:webHidden/>
              </w:rPr>
              <w:instrText xml:space="preserve"> PAGEREF _Toc142492920 \h </w:instrText>
            </w:r>
            <w:r w:rsidR="00E82857">
              <w:rPr>
                <w:noProof/>
                <w:webHidden/>
              </w:rPr>
            </w:r>
            <w:r w:rsidR="00E82857">
              <w:rPr>
                <w:noProof/>
                <w:webHidden/>
              </w:rPr>
              <w:fldChar w:fldCharType="separate"/>
            </w:r>
            <w:r w:rsidR="004F0520">
              <w:rPr>
                <w:noProof/>
                <w:webHidden/>
              </w:rPr>
              <w:t>5</w:t>
            </w:r>
            <w:r w:rsidR="00E82857">
              <w:rPr>
                <w:noProof/>
                <w:webHidden/>
              </w:rPr>
              <w:fldChar w:fldCharType="end"/>
            </w:r>
          </w:hyperlink>
        </w:p>
        <w:p w14:paraId="4B46DD8B" w14:textId="46B5CDAD" w:rsidR="00E82857" w:rsidRDefault="002B2091">
          <w:pPr>
            <w:pStyle w:val="TOC1"/>
            <w:rPr>
              <w:rFonts w:asciiTheme="minorHAnsi" w:eastAsiaTheme="minorEastAsia" w:hAnsiTheme="minorHAnsi" w:cstheme="minorBidi"/>
              <w:noProof/>
              <w:kern w:val="2"/>
              <w:sz w:val="22"/>
              <w:szCs w:val="22"/>
              <w:lang w:eastAsia="lv-LV"/>
              <w14:ligatures w14:val="standardContextual"/>
            </w:rPr>
          </w:pPr>
          <w:hyperlink w:anchor="_Toc142492921" w:history="1">
            <w:r w:rsidR="00E82857" w:rsidRPr="00B20DC4">
              <w:rPr>
                <w:rStyle w:val="Hyperlink"/>
                <w:noProof/>
                <w:lang w:eastAsia="lv-LV"/>
              </w:rPr>
              <w:t>VALSTS PAMATBUDŽETA un VALSTS SPECIĀLĀ BUDŽETA BĀZES PROJEKTS</w:t>
            </w:r>
            <w:r w:rsidR="00E82857">
              <w:rPr>
                <w:noProof/>
                <w:webHidden/>
              </w:rPr>
              <w:tab/>
            </w:r>
            <w:r w:rsidR="00E82857">
              <w:rPr>
                <w:noProof/>
                <w:webHidden/>
              </w:rPr>
              <w:fldChar w:fldCharType="begin"/>
            </w:r>
            <w:r w:rsidR="00E82857">
              <w:rPr>
                <w:noProof/>
                <w:webHidden/>
              </w:rPr>
              <w:instrText xml:space="preserve"> PAGEREF _Toc142492921 \h </w:instrText>
            </w:r>
            <w:r w:rsidR="00E82857">
              <w:rPr>
                <w:noProof/>
                <w:webHidden/>
              </w:rPr>
            </w:r>
            <w:r w:rsidR="00E82857">
              <w:rPr>
                <w:noProof/>
                <w:webHidden/>
              </w:rPr>
              <w:fldChar w:fldCharType="separate"/>
            </w:r>
            <w:r w:rsidR="004F0520">
              <w:rPr>
                <w:noProof/>
                <w:webHidden/>
              </w:rPr>
              <w:t>6</w:t>
            </w:r>
            <w:r w:rsidR="00E82857">
              <w:rPr>
                <w:noProof/>
                <w:webHidden/>
              </w:rPr>
              <w:fldChar w:fldCharType="end"/>
            </w:r>
          </w:hyperlink>
        </w:p>
        <w:p w14:paraId="78ADF5E9" w14:textId="1BDE70ED" w:rsidR="00E82857" w:rsidRDefault="002B2091">
          <w:pPr>
            <w:pStyle w:val="TOC1"/>
            <w:rPr>
              <w:rFonts w:asciiTheme="minorHAnsi" w:eastAsiaTheme="minorEastAsia" w:hAnsiTheme="minorHAnsi" w:cstheme="minorBidi"/>
              <w:noProof/>
              <w:kern w:val="2"/>
              <w:sz w:val="22"/>
              <w:szCs w:val="22"/>
              <w:lang w:eastAsia="lv-LV"/>
              <w14:ligatures w14:val="standardContextual"/>
            </w:rPr>
          </w:pPr>
          <w:hyperlink w:anchor="_Toc142492922" w:history="1">
            <w:r w:rsidR="00E82857" w:rsidRPr="00B20DC4">
              <w:rPr>
                <w:rStyle w:val="Hyperlink"/>
                <w:noProof/>
              </w:rPr>
              <w:t>VALSTS BUDŽETA IZDEVUMU PĀRSKATĪŠANA</w:t>
            </w:r>
            <w:r w:rsidR="00E82857">
              <w:rPr>
                <w:noProof/>
                <w:webHidden/>
              </w:rPr>
              <w:tab/>
            </w:r>
            <w:r w:rsidR="00E82857">
              <w:rPr>
                <w:noProof/>
                <w:webHidden/>
              </w:rPr>
              <w:fldChar w:fldCharType="begin"/>
            </w:r>
            <w:r w:rsidR="00E82857">
              <w:rPr>
                <w:noProof/>
                <w:webHidden/>
              </w:rPr>
              <w:instrText xml:space="preserve"> PAGEREF _Toc142492922 \h </w:instrText>
            </w:r>
            <w:r w:rsidR="00E82857">
              <w:rPr>
                <w:noProof/>
                <w:webHidden/>
              </w:rPr>
            </w:r>
            <w:r w:rsidR="00E82857">
              <w:rPr>
                <w:noProof/>
                <w:webHidden/>
              </w:rPr>
              <w:fldChar w:fldCharType="separate"/>
            </w:r>
            <w:r w:rsidR="004F0520">
              <w:rPr>
                <w:noProof/>
                <w:webHidden/>
              </w:rPr>
              <w:t>23</w:t>
            </w:r>
            <w:r w:rsidR="00E82857">
              <w:rPr>
                <w:noProof/>
                <w:webHidden/>
              </w:rPr>
              <w:fldChar w:fldCharType="end"/>
            </w:r>
          </w:hyperlink>
        </w:p>
        <w:p w14:paraId="44BFD25F" w14:textId="1E0C2A90" w:rsidR="00E82857" w:rsidRDefault="002B2091">
          <w:pPr>
            <w:pStyle w:val="TOC2"/>
            <w:rPr>
              <w:rFonts w:asciiTheme="minorHAnsi" w:eastAsiaTheme="minorEastAsia" w:hAnsiTheme="minorHAnsi" w:cstheme="minorBidi"/>
              <w:noProof/>
              <w:kern w:val="2"/>
              <w:sz w:val="22"/>
              <w:szCs w:val="22"/>
              <w:lang w:eastAsia="lv-LV"/>
              <w14:ligatures w14:val="standardContextual"/>
            </w:rPr>
          </w:pPr>
          <w:hyperlink w:anchor="_Toc142492923" w:history="1">
            <w:r w:rsidR="00E82857" w:rsidRPr="00B20DC4">
              <w:rPr>
                <w:rStyle w:val="Hyperlink"/>
                <w:noProof/>
              </w:rPr>
              <w:t>1.</w:t>
            </w:r>
            <w:r w:rsidR="00E82857">
              <w:rPr>
                <w:rFonts w:asciiTheme="minorHAnsi" w:eastAsiaTheme="minorEastAsia" w:hAnsiTheme="minorHAnsi" w:cstheme="minorBidi"/>
                <w:noProof/>
                <w:kern w:val="2"/>
                <w:sz w:val="22"/>
                <w:szCs w:val="22"/>
                <w:lang w:eastAsia="lv-LV"/>
                <w14:ligatures w14:val="standardContextual"/>
              </w:rPr>
              <w:tab/>
            </w:r>
            <w:r w:rsidR="00E82857" w:rsidRPr="00B20DC4">
              <w:rPr>
                <w:rStyle w:val="Hyperlink"/>
                <w:noProof/>
              </w:rPr>
              <w:t>Iepriekšējās izdevumu pārskatīšanas rezultātu ieviešana</w:t>
            </w:r>
            <w:r w:rsidR="00E82857">
              <w:rPr>
                <w:noProof/>
                <w:webHidden/>
              </w:rPr>
              <w:tab/>
            </w:r>
            <w:r w:rsidR="00E82857">
              <w:rPr>
                <w:noProof/>
                <w:webHidden/>
              </w:rPr>
              <w:fldChar w:fldCharType="begin"/>
            </w:r>
            <w:r w:rsidR="00E82857">
              <w:rPr>
                <w:noProof/>
                <w:webHidden/>
              </w:rPr>
              <w:instrText xml:space="preserve"> PAGEREF _Toc142492923 \h </w:instrText>
            </w:r>
            <w:r w:rsidR="00E82857">
              <w:rPr>
                <w:noProof/>
                <w:webHidden/>
              </w:rPr>
            </w:r>
            <w:r w:rsidR="00E82857">
              <w:rPr>
                <w:noProof/>
                <w:webHidden/>
              </w:rPr>
              <w:fldChar w:fldCharType="separate"/>
            </w:r>
            <w:r w:rsidR="004F0520">
              <w:rPr>
                <w:noProof/>
                <w:webHidden/>
              </w:rPr>
              <w:t>26</w:t>
            </w:r>
            <w:r w:rsidR="00E82857">
              <w:rPr>
                <w:noProof/>
                <w:webHidden/>
              </w:rPr>
              <w:fldChar w:fldCharType="end"/>
            </w:r>
          </w:hyperlink>
        </w:p>
        <w:p w14:paraId="0DF6618E" w14:textId="0E975DEF" w:rsidR="00E82857" w:rsidRDefault="002B2091">
          <w:pPr>
            <w:pStyle w:val="TOC2"/>
            <w:rPr>
              <w:rFonts w:asciiTheme="minorHAnsi" w:eastAsiaTheme="minorEastAsia" w:hAnsiTheme="minorHAnsi" w:cstheme="minorBidi"/>
              <w:noProof/>
              <w:kern w:val="2"/>
              <w:sz w:val="22"/>
              <w:szCs w:val="22"/>
              <w:lang w:eastAsia="lv-LV"/>
              <w14:ligatures w14:val="standardContextual"/>
            </w:rPr>
          </w:pPr>
          <w:hyperlink w:anchor="_Toc142492924" w:history="1">
            <w:r w:rsidR="00E82857" w:rsidRPr="00B20DC4">
              <w:rPr>
                <w:rStyle w:val="Hyperlink"/>
                <w:noProof/>
              </w:rPr>
              <w:t>2. Valsts budžeta programmu horizontāla pārskatīšana</w:t>
            </w:r>
            <w:r w:rsidR="00E82857">
              <w:rPr>
                <w:noProof/>
                <w:webHidden/>
              </w:rPr>
              <w:tab/>
            </w:r>
            <w:r w:rsidR="00E82857">
              <w:rPr>
                <w:noProof/>
                <w:webHidden/>
              </w:rPr>
              <w:fldChar w:fldCharType="begin"/>
            </w:r>
            <w:r w:rsidR="00E82857">
              <w:rPr>
                <w:noProof/>
                <w:webHidden/>
              </w:rPr>
              <w:instrText xml:space="preserve"> PAGEREF _Toc142492924 \h </w:instrText>
            </w:r>
            <w:r w:rsidR="00E82857">
              <w:rPr>
                <w:noProof/>
                <w:webHidden/>
              </w:rPr>
            </w:r>
            <w:r w:rsidR="00E82857">
              <w:rPr>
                <w:noProof/>
                <w:webHidden/>
              </w:rPr>
              <w:fldChar w:fldCharType="separate"/>
            </w:r>
            <w:r w:rsidR="004F0520">
              <w:rPr>
                <w:noProof/>
                <w:webHidden/>
              </w:rPr>
              <w:t>40</w:t>
            </w:r>
            <w:r w:rsidR="00E82857">
              <w:rPr>
                <w:noProof/>
                <w:webHidden/>
              </w:rPr>
              <w:fldChar w:fldCharType="end"/>
            </w:r>
          </w:hyperlink>
        </w:p>
        <w:p w14:paraId="40092C4C" w14:textId="2373EA2E"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25" w:history="1">
            <w:r w:rsidR="00E82857" w:rsidRPr="00B20DC4">
              <w:rPr>
                <w:rStyle w:val="Hyperlink"/>
                <w:noProof/>
              </w:rPr>
              <w:t>2.1. Nozares ministriju izdevumu analīze un ietekme uz 2024. gada budžetu</w:t>
            </w:r>
            <w:r w:rsidR="00E82857">
              <w:rPr>
                <w:noProof/>
                <w:webHidden/>
              </w:rPr>
              <w:tab/>
            </w:r>
            <w:r w:rsidR="00E82857">
              <w:rPr>
                <w:noProof/>
                <w:webHidden/>
              </w:rPr>
              <w:fldChar w:fldCharType="begin"/>
            </w:r>
            <w:r w:rsidR="00E82857">
              <w:rPr>
                <w:noProof/>
                <w:webHidden/>
              </w:rPr>
              <w:instrText xml:space="preserve"> PAGEREF _Toc142492925 \h </w:instrText>
            </w:r>
            <w:r w:rsidR="00E82857">
              <w:rPr>
                <w:noProof/>
                <w:webHidden/>
              </w:rPr>
            </w:r>
            <w:r w:rsidR="00E82857">
              <w:rPr>
                <w:noProof/>
                <w:webHidden/>
              </w:rPr>
              <w:fldChar w:fldCharType="separate"/>
            </w:r>
            <w:r w:rsidR="004F0520">
              <w:rPr>
                <w:noProof/>
                <w:webHidden/>
              </w:rPr>
              <w:t>40</w:t>
            </w:r>
            <w:r w:rsidR="00E82857">
              <w:rPr>
                <w:noProof/>
                <w:webHidden/>
              </w:rPr>
              <w:fldChar w:fldCharType="end"/>
            </w:r>
          </w:hyperlink>
        </w:p>
        <w:p w14:paraId="3AF543CA" w14:textId="48F8271C"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26" w:history="1">
            <w:r w:rsidR="00E82857" w:rsidRPr="00B20DC4">
              <w:rPr>
                <w:rStyle w:val="Hyperlink"/>
                <w:noProof/>
              </w:rPr>
              <w:t>2.2. Piešķirtā finansējuma prioritārajiem pasākumiem pārskatīšana</w:t>
            </w:r>
            <w:r w:rsidR="00E82857">
              <w:rPr>
                <w:noProof/>
                <w:webHidden/>
              </w:rPr>
              <w:tab/>
            </w:r>
            <w:r w:rsidR="00E82857">
              <w:rPr>
                <w:noProof/>
                <w:webHidden/>
              </w:rPr>
              <w:fldChar w:fldCharType="begin"/>
            </w:r>
            <w:r w:rsidR="00E82857">
              <w:rPr>
                <w:noProof/>
                <w:webHidden/>
              </w:rPr>
              <w:instrText xml:space="preserve"> PAGEREF _Toc142492926 \h </w:instrText>
            </w:r>
            <w:r w:rsidR="00E82857">
              <w:rPr>
                <w:noProof/>
                <w:webHidden/>
              </w:rPr>
            </w:r>
            <w:r w:rsidR="00E82857">
              <w:rPr>
                <w:noProof/>
                <w:webHidden/>
              </w:rPr>
              <w:fldChar w:fldCharType="separate"/>
            </w:r>
            <w:r w:rsidR="004F0520">
              <w:rPr>
                <w:noProof/>
                <w:webHidden/>
              </w:rPr>
              <w:t>61</w:t>
            </w:r>
            <w:r w:rsidR="00E82857">
              <w:rPr>
                <w:noProof/>
                <w:webHidden/>
              </w:rPr>
              <w:fldChar w:fldCharType="end"/>
            </w:r>
          </w:hyperlink>
        </w:p>
        <w:p w14:paraId="6E36709A" w14:textId="27F0F8C3"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27" w:history="1">
            <w:r w:rsidR="00E82857" w:rsidRPr="00B20DC4">
              <w:rPr>
                <w:rStyle w:val="Hyperlink"/>
                <w:noProof/>
              </w:rPr>
              <w:t>2.3. Pamatbudžeta pamatfunkciju darbības rezultatīvo rādītāju 2022. gada izpildes analīze</w:t>
            </w:r>
            <w:r w:rsidR="00E82857">
              <w:rPr>
                <w:noProof/>
                <w:webHidden/>
              </w:rPr>
              <w:tab/>
            </w:r>
            <w:r w:rsidR="00E82857">
              <w:rPr>
                <w:noProof/>
                <w:webHidden/>
              </w:rPr>
              <w:fldChar w:fldCharType="begin"/>
            </w:r>
            <w:r w:rsidR="00E82857">
              <w:rPr>
                <w:noProof/>
                <w:webHidden/>
              </w:rPr>
              <w:instrText xml:space="preserve"> PAGEREF _Toc142492927 \h </w:instrText>
            </w:r>
            <w:r w:rsidR="00E82857">
              <w:rPr>
                <w:noProof/>
                <w:webHidden/>
              </w:rPr>
            </w:r>
            <w:r w:rsidR="00E82857">
              <w:rPr>
                <w:noProof/>
                <w:webHidden/>
              </w:rPr>
              <w:fldChar w:fldCharType="separate"/>
            </w:r>
            <w:r w:rsidR="004F0520">
              <w:rPr>
                <w:noProof/>
                <w:webHidden/>
              </w:rPr>
              <w:t>81</w:t>
            </w:r>
            <w:r w:rsidR="00E82857">
              <w:rPr>
                <w:noProof/>
                <w:webHidden/>
              </w:rPr>
              <w:fldChar w:fldCharType="end"/>
            </w:r>
          </w:hyperlink>
        </w:p>
        <w:p w14:paraId="398AA414" w14:textId="27964EB7"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28" w:history="1">
            <w:r w:rsidR="00E82857" w:rsidRPr="00B20DC4">
              <w:rPr>
                <w:rStyle w:val="Hyperlink"/>
                <w:noProof/>
              </w:rPr>
              <w:t>2.4. Atsevišķu funkciju horizontāla pārskatīšana</w:t>
            </w:r>
            <w:r w:rsidR="00E82857">
              <w:rPr>
                <w:noProof/>
                <w:webHidden/>
              </w:rPr>
              <w:tab/>
            </w:r>
            <w:r w:rsidR="00E82857">
              <w:rPr>
                <w:noProof/>
                <w:webHidden/>
              </w:rPr>
              <w:fldChar w:fldCharType="begin"/>
            </w:r>
            <w:r w:rsidR="00E82857">
              <w:rPr>
                <w:noProof/>
                <w:webHidden/>
              </w:rPr>
              <w:instrText xml:space="preserve"> PAGEREF _Toc142492928 \h </w:instrText>
            </w:r>
            <w:r w:rsidR="00E82857">
              <w:rPr>
                <w:noProof/>
                <w:webHidden/>
              </w:rPr>
            </w:r>
            <w:r w:rsidR="00E82857">
              <w:rPr>
                <w:noProof/>
                <w:webHidden/>
              </w:rPr>
              <w:fldChar w:fldCharType="separate"/>
            </w:r>
            <w:r w:rsidR="004F0520">
              <w:rPr>
                <w:noProof/>
                <w:webHidden/>
              </w:rPr>
              <w:t>96</w:t>
            </w:r>
            <w:r w:rsidR="00E82857">
              <w:rPr>
                <w:noProof/>
                <w:webHidden/>
              </w:rPr>
              <w:fldChar w:fldCharType="end"/>
            </w:r>
          </w:hyperlink>
        </w:p>
        <w:p w14:paraId="16C56EE8" w14:textId="700481F0" w:rsidR="00E82857" w:rsidRDefault="002B2091">
          <w:pPr>
            <w:pStyle w:val="TOC2"/>
            <w:rPr>
              <w:rFonts w:asciiTheme="minorHAnsi" w:eastAsiaTheme="minorEastAsia" w:hAnsiTheme="minorHAnsi" w:cstheme="minorBidi"/>
              <w:noProof/>
              <w:kern w:val="2"/>
              <w:sz w:val="22"/>
              <w:szCs w:val="22"/>
              <w:lang w:eastAsia="lv-LV"/>
              <w14:ligatures w14:val="standardContextual"/>
            </w:rPr>
          </w:pPr>
          <w:hyperlink w:anchor="_Toc142492929" w:history="1">
            <w:r w:rsidR="00E82857" w:rsidRPr="00B20DC4">
              <w:rPr>
                <w:rStyle w:val="Hyperlink"/>
                <w:noProof/>
              </w:rPr>
              <w:t>3.</w:t>
            </w:r>
            <w:r w:rsidR="00E82857">
              <w:rPr>
                <w:rFonts w:asciiTheme="minorHAnsi" w:eastAsiaTheme="minorEastAsia" w:hAnsiTheme="minorHAnsi" w:cstheme="minorBidi"/>
                <w:noProof/>
                <w:kern w:val="2"/>
                <w:sz w:val="22"/>
                <w:szCs w:val="22"/>
                <w:lang w:eastAsia="lv-LV"/>
                <w14:ligatures w14:val="standardContextual"/>
              </w:rPr>
              <w:tab/>
            </w:r>
            <w:r w:rsidR="00E82857" w:rsidRPr="00B20DC4">
              <w:rPr>
                <w:rStyle w:val="Hyperlink"/>
                <w:noProof/>
              </w:rPr>
              <w:t>Nozaru ministriju pārraudzībā esošo finansēšanas politiku analīze</w:t>
            </w:r>
            <w:r w:rsidR="00E82857">
              <w:rPr>
                <w:noProof/>
                <w:webHidden/>
              </w:rPr>
              <w:tab/>
            </w:r>
            <w:r w:rsidR="00E82857">
              <w:rPr>
                <w:noProof/>
                <w:webHidden/>
              </w:rPr>
              <w:fldChar w:fldCharType="begin"/>
            </w:r>
            <w:r w:rsidR="00E82857">
              <w:rPr>
                <w:noProof/>
                <w:webHidden/>
              </w:rPr>
              <w:instrText xml:space="preserve"> PAGEREF _Toc142492929 \h </w:instrText>
            </w:r>
            <w:r w:rsidR="00E82857">
              <w:rPr>
                <w:noProof/>
                <w:webHidden/>
              </w:rPr>
            </w:r>
            <w:r w:rsidR="00E82857">
              <w:rPr>
                <w:noProof/>
                <w:webHidden/>
              </w:rPr>
              <w:fldChar w:fldCharType="separate"/>
            </w:r>
            <w:r w:rsidR="004F0520">
              <w:rPr>
                <w:noProof/>
                <w:webHidden/>
              </w:rPr>
              <w:t>126</w:t>
            </w:r>
            <w:r w:rsidR="00E82857">
              <w:rPr>
                <w:noProof/>
                <w:webHidden/>
              </w:rPr>
              <w:fldChar w:fldCharType="end"/>
            </w:r>
          </w:hyperlink>
        </w:p>
        <w:p w14:paraId="2F3C7361" w14:textId="71222FED"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30" w:history="1">
            <w:r w:rsidR="00E82857" w:rsidRPr="00B20DC4">
              <w:rPr>
                <w:rStyle w:val="Hyperlink"/>
                <w:noProof/>
              </w:rPr>
              <w:t>3.1. Veselības nozares atsevišķu finansēšanas politiku analīze</w:t>
            </w:r>
            <w:r w:rsidR="00E82857">
              <w:rPr>
                <w:noProof/>
                <w:webHidden/>
              </w:rPr>
              <w:tab/>
            </w:r>
            <w:r w:rsidR="00E82857">
              <w:rPr>
                <w:noProof/>
                <w:webHidden/>
              </w:rPr>
              <w:fldChar w:fldCharType="begin"/>
            </w:r>
            <w:r w:rsidR="00E82857">
              <w:rPr>
                <w:noProof/>
                <w:webHidden/>
              </w:rPr>
              <w:instrText xml:space="preserve"> PAGEREF _Toc142492930 \h </w:instrText>
            </w:r>
            <w:r w:rsidR="00E82857">
              <w:rPr>
                <w:noProof/>
                <w:webHidden/>
              </w:rPr>
            </w:r>
            <w:r w:rsidR="00E82857">
              <w:rPr>
                <w:noProof/>
                <w:webHidden/>
              </w:rPr>
              <w:fldChar w:fldCharType="separate"/>
            </w:r>
            <w:r w:rsidR="004F0520">
              <w:rPr>
                <w:noProof/>
                <w:webHidden/>
              </w:rPr>
              <w:t>126</w:t>
            </w:r>
            <w:r w:rsidR="00E82857">
              <w:rPr>
                <w:noProof/>
                <w:webHidden/>
              </w:rPr>
              <w:fldChar w:fldCharType="end"/>
            </w:r>
          </w:hyperlink>
        </w:p>
        <w:p w14:paraId="3D231373" w14:textId="01DEF43F"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31" w:history="1">
            <w:r w:rsidR="00E82857" w:rsidRPr="00B20DC4">
              <w:rPr>
                <w:rStyle w:val="Hyperlink"/>
                <w:noProof/>
              </w:rPr>
              <w:t>3.2. Izglītības nozares atsevišķu finansēšanas politiku analīze</w:t>
            </w:r>
            <w:r w:rsidR="00E82857">
              <w:rPr>
                <w:noProof/>
                <w:webHidden/>
              </w:rPr>
              <w:tab/>
            </w:r>
            <w:r w:rsidR="00E82857">
              <w:rPr>
                <w:noProof/>
                <w:webHidden/>
              </w:rPr>
              <w:fldChar w:fldCharType="begin"/>
            </w:r>
            <w:r w:rsidR="00E82857">
              <w:rPr>
                <w:noProof/>
                <w:webHidden/>
              </w:rPr>
              <w:instrText xml:space="preserve"> PAGEREF _Toc142492931 \h </w:instrText>
            </w:r>
            <w:r w:rsidR="00E82857">
              <w:rPr>
                <w:noProof/>
                <w:webHidden/>
              </w:rPr>
            </w:r>
            <w:r w:rsidR="00E82857">
              <w:rPr>
                <w:noProof/>
                <w:webHidden/>
              </w:rPr>
              <w:fldChar w:fldCharType="separate"/>
            </w:r>
            <w:r w:rsidR="004F0520">
              <w:rPr>
                <w:noProof/>
                <w:webHidden/>
              </w:rPr>
              <w:t>154</w:t>
            </w:r>
            <w:r w:rsidR="00E82857">
              <w:rPr>
                <w:noProof/>
                <w:webHidden/>
              </w:rPr>
              <w:fldChar w:fldCharType="end"/>
            </w:r>
          </w:hyperlink>
        </w:p>
        <w:p w14:paraId="05ADF9FF" w14:textId="40705D41" w:rsidR="00E82857" w:rsidRDefault="002B2091">
          <w:pPr>
            <w:pStyle w:val="TOC3"/>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42492932" w:history="1">
            <w:r w:rsidR="00E82857" w:rsidRPr="00B20DC4">
              <w:rPr>
                <w:rStyle w:val="Hyperlink"/>
                <w:noProof/>
              </w:rPr>
              <w:t>3.3. Valsts budžeta iestāžu IKT izdevumu analīze</w:t>
            </w:r>
            <w:r w:rsidR="00E82857">
              <w:rPr>
                <w:noProof/>
                <w:webHidden/>
              </w:rPr>
              <w:tab/>
            </w:r>
            <w:r w:rsidR="00E82857">
              <w:rPr>
                <w:noProof/>
                <w:webHidden/>
              </w:rPr>
              <w:fldChar w:fldCharType="begin"/>
            </w:r>
            <w:r w:rsidR="00E82857">
              <w:rPr>
                <w:noProof/>
                <w:webHidden/>
              </w:rPr>
              <w:instrText xml:space="preserve"> PAGEREF _Toc142492932 \h </w:instrText>
            </w:r>
            <w:r w:rsidR="00E82857">
              <w:rPr>
                <w:noProof/>
                <w:webHidden/>
              </w:rPr>
            </w:r>
            <w:r w:rsidR="00E82857">
              <w:rPr>
                <w:noProof/>
                <w:webHidden/>
              </w:rPr>
              <w:fldChar w:fldCharType="separate"/>
            </w:r>
            <w:r w:rsidR="004F0520">
              <w:rPr>
                <w:noProof/>
                <w:webHidden/>
              </w:rPr>
              <w:t>172</w:t>
            </w:r>
            <w:r w:rsidR="00E82857">
              <w:rPr>
                <w:noProof/>
                <w:webHidden/>
              </w:rPr>
              <w:fldChar w:fldCharType="end"/>
            </w:r>
          </w:hyperlink>
        </w:p>
        <w:p w14:paraId="7E5C6F98" w14:textId="1A244452" w:rsidR="00E82857" w:rsidRDefault="002B2091">
          <w:pPr>
            <w:pStyle w:val="TOC2"/>
            <w:rPr>
              <w:rFonts w:asciiTheme="minorHAnsi" w:eastAsiaTheme="minorEastAsia" w:hAnsiTheme="minorHAnsi" w:cstheme="minorBidi"/>
              <w:noProof/>
              <w:kern w:val="2"/>
              <w:sz w:val="22"/>
              <w:szCs w:val="22"/>
              <w:lang w:eastAsia="lv-LV"/>
              <w14:ligatures w14:val="standardContextual"/>
            </w:rPr>
          </w:pPr>
          <w:hyperlink w:anchor="_Toc142492933" w:history="1">
            <w:r w:rsidR="00E82857" w:rsidRPr="00B20DC4">
              <w:rPr>
                <w:rStyle w:val="Hyperlink"/>
                <w:noProof/>
              </w:rPr>
              <w:t xml:space="preserve">4. </w:t>
            </w:r>
            <w:r w:rsidR="00E82857">
              <w:rPr>
                <w:rFonts w:asciiTheme="minorHAnsi" w:eastAsiaTheme="minorEastAsia" w:hAnsiTheme="minorHAnsi" w:cstheme="minorBidi"/>
                <w:noProof/>
                <w:kern w:val="2"/>
                <w:sz w:val="22"/>
                <w:szCs w:val="22"/>
                <w:lang w:eastAsia="lv-LV"/>
                <w14:ligatures w14:val="standardContextual"/>
              </w:rPr>
              <w:tab/>
            </w:r>
            <w:r w:rsidR="00E82857" w:rsidRPr="00B20DC4">
              <w:rPr>
                <w:rStyle w:val="Hyperlink"/>
                <w:noProof/>
              </w:rPr>
              <w:t>Ministriju, to padotībā esošo valsts budžeta iestāžu, citu centrālo valsts iestāžu un neatkarīgo iestāžu vajadzībām izmantotā nekustamā īpašuma (biroja ēku) reģionos un tā apsaimniekošanas izdevumu izvērtējums</w:t>
            </w:r>
            <w:r w:rsidR="00E82857">
              <w:rPr>
                <w:noProof/>
                <w:webHidden/>
              </w:rPr>
              <w:tab/>
            </w:r>
            <w:r w:rsidR="00E82857">
              <w:rPr>
                <w:noProof/>
                <w:webHidden/>
              </w:rPr>
              <w:fldChar w:fldCharType="begin"/>
            </w:r>
            <w:r w:rsidR="00E82857">
              <w:rPr>
                <w:noProof/>
                <w:webHidden/>
              </w:rPr>
              <w:instrText xml:space="preserve"> PAGEREF _Toc142492933 \h </w:instrText>
            </w:r>
            <w:r w:rsidR="00E82857">
              <w:rPr>
                <w:noProof/>
                <w:webHidden/>
              </w:rPr>
            </w:r>
            <w:r w:rsidR="00E82857">
              <w:rPr>
                <w:noProof/>
                <w:webHidden/>
              </w:rPr>
              <w:fldChar w:fldCharType="separate"/>
            </w:r>
            <w:r w:rsidR="004F0520">
              <w:rPr>
                <w:noProof/>
                <w:webHidden/>
              </w:rPr>
              <w:t>178</w:t>
            </w:r>
            <w:r w:rsidR="00E82857">
              <w:rPr>
                <w:noProof/>
                <w:webHidden/>
              </w:rPr>
              <w:fldChar w:fldCharType="end"/>
            </w:r>
          </w:hyperlink>
        </w:p>
        <w:p w14:paraId="7983D778" w14:textId="3B3210C2" w:rsidR="00DA0139" w:rsidRPr="00307028" w:rsidRDefault="00DA0139">
          <w:r w:rsidRPr="00307028">
            <w:rPr>
              <w:b/>
              <w:bCs/>
            </w:rPr>
            <w:fldChar w:fldCharType="end"/>
          </w:r>
        </w:p>
      </w:sdtContent>
    </w:sdt>
    <w:p w14:paraId="31D75540" w14:textId="77777777" w:rsidR="00543EBB" w:rsidRPr="00307028" w:rsidRDefault="00543EBB" w:rsidP="00543EBB">
      <w:pPr>
        <w:spacing w:after="120" w:line="259" w:lineRule="auto"/>
        <w:jc w:val="center"/>
        <w:rPr>
          <w:rFonts w:eastAsia="Times New Roman"/>
          <w:b/>
          <w:bCs/>
          <w:sz w:val="32"/>
          <w:szCs w:val="22"/>
          <w:lang w:eastAsia="en-US"/>
        </w:rPr>
      </w:pPr>
    </w:p>
    <w:p w14:paraId="49E7BB08" w14:textId="77777777" w:rsidR="00543EBB" w:rsidRPr="00307028" w:rsidRDefault="00543EBB" w:rsidP="00543EBB">
      <w:pPr>
        <w:spacing w:after="120" w:line="259" w:lineRule="auto"/>
        <w:jc w:val="center"/>
        <w:rPr>
          <w:rFonts w:eastAsia="Times New Roman"/>
          <w:b/>
          <w:bCs/>
          <w:sz w:val="32"/>
          <w:szCs w:val="22"/>
          <w:lang w:eastAsia="en-US"/>
        </w:rPr>
      </w:pPr>
    </w:p>
    <w:p w14:paraId="282EC77D" w14:textId="77777777" w:rsidR="00543EBB" w:rsidRPr="00307028" w:rsidRDefault="00543EBB" w:rsidP="00543EBB">
      <w:pPr>
        <w:spacing w:after="120" w:line="259" w:lineRule="auto"/>
        <w:jc w:val="center"/>
        <w:rPr>
          <w:rFonts w:eastAsia="Times New Roman"/>
          <w:b/>
          <w:bCs/>
          <w:sz w:val="32"/>
          <w:szCs w:val="22"/>
          <w:lang w:eastAsia="en-US"/>
        </w:rPr>
      </w:pPr>
    </w:p>
    <w:p w14:paraId="31E5E4DB" w14:textId="77777777" w:rsidR="00543EBB" w:rsidRPr="00307028" w:rsidRDefault="00543EBB" w:rsidP="00543EBB">
      <w:pPr>
        <w:spacing w:after="120" w:line="259" w:lineRule="auto"/>
        <w:jc w:val="center"/>
        <w:rPr>
          <w:rFonts w:eastAsia="Times New Roman"/>
          <w:b/>
          <w:bCs/>
          <w:sz w:val="32"/>
          <w:szCs w:val="22"/>
          <w:lang w:eastAsia="en-US"/>
        </w:rPr>
      </w:pPr>
    </w:p>
    <w:p w14:paraId="4602F10D" w14:textId="77777777" w:rsidR="00543EBB" w:rsidRPr="00307028" w:rsidRDefault="00543EBB" w:rsidP="00543EBB">
      <w:pPr>
        <w:spacing w:after="120" w:line="259" w:lineRule="auto"/>
        <w:jc w:val="center"/>
        <w:rPr>
          <w:rFonts w:eastAsia="Times New Roman"/>
          <w:b/>
          <w:bCs/>
          <w:sz w:val="32"/>
          <w:szCs w:val="22"/>
          <w:lang w:eastAsia="en-US"/>
        </w:rPr>
      </w:pPr>
    </w:p>
    <w:p w14:paraId="17AD1C77" w14:textId="77777777" w:rsidR="00543EBB" w:rsidRPr="00307028" w:rsidRDefault="00543EBB" w:rsidP="00543EBB">
      <w:pPr>
        <w:spacing w:after="120" w:line="259" w:lineRule="auto"/>
        <w:jc w:val="center"/>
        <w:rPr>
          <w:rFonts w:eastAsia="Times New Roman"/>
          <w:b/>
          <w:bCs/>
          <w:sz w:val="32"/>
          <w:szCs w:val="22"/>
          <w:lang w:eastAsia="en-US"/>
        </w:rPr>
      </w:pPr>
    </w:p>
    <w:p w14:paraId="49B52B02" w14:textId="77777777" w:rsidR="00543EBB" w:rsidRPr="00307028" w:rsidRDefault="00543EBB" w:rsidP="00543EBB">
      <w:pPr>
        <w:spacing w:after="120" w:line="259" w:lineRule="auto"/>
        <w:jc w:val="center"/>
        <w:rPr>
          <w:rFonts w:eastAsia="Times New Roman"/>
          <w:b/>
          <w:bCs/>
          <w:sz w:val="32"/>
          <w:szCs w:val="22"/>
          <w:lang w:eastAsia="en-US"/>
        </w:rPr>
      </w:pPr>
    </w:p>
    <w:p w14:paraId="4F90918E" w14:textId="77777777" w:rsidR="00D24868" w:rsidRPr="00307028" w:rsidRDefault="00D24868" w:rsidP="007917E2">
      <w:pPr>
        <w:spacing w:after="120" w:line="259" w:lineRule="auto"/>
        <w:rPr>
          <w:rFonts w:eastAsia="Times New Roman"/>
          <w:b/>
          <w:bCs/>
          <w:sz w:val="32"/>
          <w:szCs w:val="22"/>
          <w:lang w:eastAsia="en-US"/>
        </w:rPr>
      </w:pPr>
    </w:p>
    <w:p w14:paraId="4D0F0288" w14:textId="77777777" w:rsidR="00CE3100" w:rsidRPr="00307028" w:rsidRDefault="00CE3100" w:rsidP="007917E2">
      <w:pPr>
        <w:spacing w:after="120" w:line="259" w:lineRule="auto"/>
        <w:rPr>
          <w:rFonts w:eastAsia="Times New Roman"/>
          <w:b/>
          <w:bCs/>
          <w:sz w:val="32"/>
          <w:szCs w:val="22"/>
          <w:lang w:eastAsia="en-US"/>
        </w:rPr>
      </w:pPr>
    </w:p>
    <w:p w14:paraId="5AEE0A15" w14:textId="77777777" w:rsidR="00812B20" w:rsidRPr="00307028" w:rsidRDefault="00812B20" w:rsidP="007917E2">
      <w:pPr>
        <w:spacing w:after="120" w:line="259" w:lineRule="auto"/>
        <w:rPr>
          <w:rFonts w:eastAsia="Times New Roman"/>
          <w:b/>
          <w:bCs/>
          <w:sz w:val="32"/>
          <w:szCs w:val="22"/>
          <w:lang w:eastAsia="en-US"/>
        </w:rPr>
      </w:pPr>
    </w:p>
    <w:p w14:paraId="296CE9C3" w14:textId="77777777" w:rsidR="00B77250" w:rsidRPr="00307028" w:rsidRDefault="00B77250" w:rsidP="00090B98">
      <w:pPr>
        <w:spacing w:after="120" w:line="259" w:lineRule="auto"/>
        <w:rPr>
          <w:rFonts w:eastAsia="Times New Roman"/>
          <w:b/>
          <w:bCs/>
          <w:sz w:val="32"/>
          <w:szCs w:val="22"/>
          <w:lang w:eastAsia="en-US"/>
        </w:rPr>
      </w:pPr>
    </w:p>
    <w:p w14:paraId="44673198" w14:textId="77777777" w:rsidR="0044492A" w:rsidRPr="00307028" w:rsidRDefault="0044492A" w:rsidP="00090B98">
      <w:pPr>
        <w:spacing w:after="120" w:line="259" w:lineRule="auto"/>
        <w:rPr>
          <w:rFonts w:eastAsia="Times New Roman"/>
          <w:b/>
          <w:bCs/>
          <w:sz w:val="32"/>
          <w:szCs w:val="22"/>
          <w:lang w:eastAsia="en-US"/>
        </w:rPr>
      </w:pPr>
    </w:p>
    <w:p w14:paraId="38AF6BB4" w14:textId="338C5385" w:rsidR="00543EBB" w:rsidRPr="00307028" w:rsidRDefault="00543EBB" w:rsidP="00090B98">
      <w:pPr>
        <w:spacing w:after="120" w:line="259" w:lineRule="auto"/>
        <w:rPr>
          <w:rFonts w:eastAsia="Times New Roman"/>
          <w:b/>
          <w:bCs/>
          <w:sz w:val="32"/>
          <w:szCs w:val="22"/>
          <w:lang w:eastAsia="en-US"/>
        </w:rPr>
      </w:pPr>
      <w:r w:rsidRPr="00307028">
        <w:rPr>
          <w:noProof/>
          <w:lang w:eastAsia="en-US"/>
        </w:rPr>
        <w:lastRenderedPageBreak/>
        <mc:AlternateContent>
          <mc:Choice Requires="wps">
            <w:drawing>
              <wp:anchor distT="0" distB="0" distL="114300" distR="114300" simplePos="0" relativeHeight="251663360" behindDoc="0" locked="0" layoutInCell="1" allowOverlap="1" wp14:anchorId="0B2EA19A" wp14:editId="77B2F5B3">
                <wp:simplePos x="0" y="0"/>
                <wp:positionH relativeFrom="column">
                  <wp:posOffset>-315860</wp:posOffset>
                </wp:positionH>
                <wp:positionV relativeFrom="paragraph">
                  <wp:posOffset>30537</wp:posOffset>
                </wp:positionV>
                <wp:extent cx="7646035" cy="450376"/>
                <wp:effectExtent l="0" t="0" r="0" b="6985"/>
                <wp:wrapNone/>
                <wp:docPr id="11" name="Rectangle 11"/>
                <wp:cNvGraphicFramePr/>
                <a:graphic xmlns:a="http://schemas.openxmlformats.org/drawingml/2006/main">
                  <a:graphicData uri="http://schemas.microsoft.com/office/word/2010/wordprocessingShape">
                    <wps:wsp>
                      <wps:cNvSpPr/>
                      <wps:spPr>
                        <a:xfrm>
                          <a:off x="0" y="0"/>
                          <a:ext cx="7646035" cy="450376"/>
                        </a:xfrm>
                        <a:prstGeom prst="rect">
                          <a:avLst/>
                        </a:prstGeom>
                        <a:solidFill>
                          <a:srgbClr val="3399CC">
                            <a:lumMod val="60000"/>
                            <a:lumOff val="40000"/>
                          </a:srgbClr>
                        </a:solidFill>
                        <a:ln w="25400" cap="flat" cmpd="sng" algn="ctr">
                          <a:noFill/>
                          <a:prstDash val="solid"/>
                        </a:ln>
                        <a:effectLst/>
                      </wps:spPr>
                      <wps:txbx>
                        <w:txbxContent>
                          <w:p w14:paraId="056760B9" w14:textId="7CB4D3D3" w:rsidR="00543EBB" w:rsidRPr="00307028" w:rsidRDefault="00543EBB" w:rsidP="00543EBB">
                            <w:pPr>
                              <w:rPr>
                                <w:b/>
                                <w:bCs/>
                                <w:iCs/>
                                <w:color w:val="000000"/>
                                <w:sz w:val="32"/>
                                <w:szCs w:val="40"/>
                              </w:rPr>
                            </w:pPr>
                            <w:bookmarkStart w:id="0" w:name="_Toc139457844"/>
                            <w:bookmarkStart w:id="1" w:name="_Toc139458022"/>
                            <w:bookmarkStart w:id="2" w:name="_Toc139457034"/>
                            <w:bookmarkStart w:id="3" w:name="_Toc139457112"/>
                            <w:bookmarkStart w:id="4" w:name="_Toc139457477"/>
                            <w:bookmarkStart w:id="5" w:name="_Toc139457549"/>
                            <w:bookmarkStart w:id="6" w:name="_Toc139450165"/>
                            <w:bookmarkStart w:id="7" w:name="_Toc139450185"/>
                            <w:bookmarkStart w:id="8" w:name="_Toc139450200"/>
                            <w:r w:rsidRPr="00307028">
                              <w:rPr>
                                <w:rStyle w:val="Emphasis"/>
                                <w:b/>
                                <w:bCs/>
                                <w:color w:val="000000"/>
                                <w:sz w:val="32"/>
                                <w:szCs w:val="40"/>
                              </w:rPr>
                              <w:t>INFORMATĪVAJĀ ZIŅOJUMĀ LIETOTIE SAĪSINĀJUMI</w:t>
                            </w:r>
                            <w:bookmarkEnd w:id="0"/>
                            <w:bookmarkEnd w:id="1"/>
                            <w:bookmarkEnd w:id="2"/>
                            <w:bookmarkEnd w:id="3"/>
                            <w:bookmarkEnd w:id="4"/>
                            <w:bookmarkEnd w:id="5"/>
                            <w:bookmarkEnd w:id="6"/>
                            <w:bookmarkEnd w:id="7"/>
                            <w:bookmarkEnd w:id="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EA19A" id="Rectangle 11" o:spid="_x0000_s1027" style="position:absolute;margin-left:-24.85pt;margin-top:2.4pt;width:602.05pt;height:3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" fillcolor="#85c2e0" stroked="f" strokeweight="2pt">
                <v:textbox>
                  <w:txbxContent>
                    <w:p w14:paraId="056760B9" w14:textId="7CB4D3D3" w:rsidR="00543EBB" w:rsidRPr="00307028" w:rsidRDefault="00543EBB" w:rsidP="00543EBB">
                      <w:pPr>
                        <w:rPr>
                          <w:b/>
                          <w:bCs/>
                          <w:iCs/>
                          <w:color w:val="000000"/>
                          <w:sz w:val="32"/>
                          <w:szCs w:val="40"/>
                        </w:rPr>
                      </w:pPr>
                      <w:bookmarkStart w:id="9" w:name="_Toc139457844"/>
                      <w:bookmarkStart w:id="10" w:name="_Toc139458022"/>
                      <w:bookmarkStart w:id="11" w:name="_Toc139457034"/>
                      <w:bookmarkStart w:id="12" w:name="_Toc139457112"/>
                      <w:bookmarkStart w:id="13" w:name="_Toc139457477"/>
                      <w:bookmarkStart w:id="14" w:name="_Toc139457549"/>
                      <w:bookmarkStart w:id="15" w:name="_Toc139450165"/>
                      <w:bookmarkStart w:id="16" w:name="_Toc139450185"/>
                      <w:bookmarkStart w:id="17" w:name="_Toc139450200"/>
                      <w:r w:rsidRPr="00307028">
                        <w:rPr>
                          <w:rStyle w:val="Emphasis"/>
                          <w:b/>
                          <w:bCs/>
                          <w:color w:val="000000"/>
                          <w:sz w:val="32"/>
                          <w:szCs w:val="40"/>
                        </w:rPr>
                        <w:t>INFORMATĪVAJĀ ZIŅOJUMĀ LIETOTIE SAĪSINĀJUMI</w:t>
                      </w:r>
                      <w:bookmarkEnd w:id="9"/>
                      <w:bookmarkEnd w:id="10"/>
                      <w:bookmarkEnd w:id="11"/>
                      <w:bookmarkEnd w:id="12"/>
                      <w:bookmarkEnd w:id="13"/>
                      <w:bookmarkEnd w:id="14"/>
                      <w:bookmarkEnd w:id="15"/>
                      <w:bookmarkEnd w:id="16"/>
                      <w:bookmarkEnd w:id="17"/>
                    </w:p>
                  </w:txbxContent>
                </v:textbox>
              </v:rect>
            </w:pict>
          </mc:Fallback>
        </mc:AlternateContent>
      </w:r>
    </w:p>
    <w:p w14:paraId="0568177F" w14:textId="3615C05A" w:rsidR="00543EBB" w:rsidRPr="00307028" w:rsidRDefault="00543EBB"/>
    <w:tbl>
      <w:tblPr>
        <w:tblW w:w="10491" w:type="dxa"/>
        <w:tblInd w:w="-142" w:type="dxa"/>
        <w:tblLook w:val="04A0" w:firstRow="1" w:lastRow="0" w:firstColumn="1" w:lastColumn="0" w:noHBand="0" w:noVBand="1"/>
      </w:tblPr>
      <w:tblGrid>
        <w:gridCol w:w="1257"/>
        <w:gridCol w:w="9234"/>
      </w:tblGrid>
      <w:tr w:rsidR="00DA0139" w:rsidRPr="00307028" w14:paraId="35E04AA4" w14:textId="77777777" w:rsidTr="00DA0139">
        <w:trPr>
          <w:trHeight w:val="269"/>
        </w:trPr>
        <w:tc>
          <w:tcPr>
            <w:tcW w:w="1257" w:type="dxa"/>
            <w:shd w:val="clear" w:color="auto" w:fill="auto"/>
          </w:tcPr>
          <w:p w14:paraId="1E816D88" w14:textId="77777777" w:rsidR="00DA0139" w:rsidRPr="00307028" w:rsidRDefault="00DA0139" w:rsidP="007F2948">
            <w:pPr>
              <w:tabs>
                <w:tab w:val="left" w:pos="1494"/>
              </w:tabs>
              <w:rPr>
                <w:rFonts w:eastAsiaTheme="minorHAnsi"/>
                <w:sz w:val="22"/>
                <w:szCs w:val="22"/>
              </w:rPr>
            </w:pPr>
            <w:bookmarkStart w:id="18" w:name="_Hlk139458895"/>
            <w:r w:rsidRPr="00307028">
              <w:rPr>
                <w:rFonts w:eastAsiaTheme="minorHAnsi"/>
                <w:sz w:val="22"/>
                <w:szCs w:val="22"/>
              </w:rPr>
              <w:t>AiM</w:t>
            </w:r>
          </w:p>
        </w:tc>
        <w:tc>
          <w:tcPr>
            <w:tcW w:w="9234" w:type="dxa"/>
            <w:shd w:val="clear" w:color="auto" w:fill="auto"/>
          </w:tcPr>
          <w:p w14:paraId="6653BF57"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Aizsardzības ministrija</w:t>
            </w:r>
          </w:p>
        </w:tc>
      </w:tr>
      <w:tr w:rsidR="00F06038" w:rsidRPr="00307028" w14:paraId="747BA6EA" w14:textId="77777777" w:rsidTr="00DA0139">
        <w:trPr>
          <w:trHeight w:val="269"/>
        </w:trPr>
        <w:tc>
          <w:tcPr>
            <w:tcW w:w="1257" w:type="dxa"/>
            <w:shd w:val="clear" w:color="auto" w:fill="auto"/>
          </w:tcPr>
          <w:p w14:paraId="45E316FD" w14:textId="51192E6C" w:rsidR="00F06038" w:rsidRPr="00307028" w:rsidRDefault="00F06038" w:rsidP="007F2948">
            <w:pPr>
              <w:tabs>
                <w:tab w:val="left" w:pos="1494"/>
              </w:tabs>
              <w:rPr>
                <w:rFonts w:eastAsiaTheme="minorHAnsi"/>
                <w:sz w:val="22"/>
                <w:szCs w:val="22"/>
              </w:rPr>
            </w:pPr>
            <w:r w:rsidRPr="00307028">
              <w:rPr>
                <w:rFonts w:eastAsiaTheme="minorHAnsi"/>
                <w:sz w:val="22"/>
                <w:szCs w:val="22"/>
              </w:rPr>
              <w:t>ANM</w:t>
            </w:r>
          </w:p>
        </w:tc>
        <w:tc>
          <w:tcPr>
            <w:tcW w:w="9234" w:type="dxa"/>
            <w:shd w:val="clear" w:color="auto" w:fill="auto"/>
          </w:tcPr>
          <w:p w14:paraId="33F5B709" w14:textId="7315671D" w:rsidR="00F06038" w:rsidRPr="00307028" w:rsidRDefault="00F06038" w:rsidP="007F2948">
            <w:pPr>
              <w:tabs>
                <w:tab w:val="left" w:pos="3019"/>
                <w:tab w:val="left" w:pos="3444"/>
              </w:tabs>
              <w:rPr>
                <w:rFonts w:eastAsiaTheme="minorHAnsi"/>
                <w:sz w:val="22"/>
                <w:szCs w:val="22"/>
              </w:rPr>
            </w:pPr>
            <w:r w:rsidRPr="00307028">
              <w:rPr>
                <w:rFonts w:eastAsiaTheme="minorHAnsi"/>
                <w:sz w:val="22"/>
                <w:szCs w:val="22"/>
              </w:rPr>
              <w:t>Atveseļošanas un noturības mehānisms</w:t>
            </w:r>
          </w:p>
        </w:tc>
      </w:tr>
      <w:tr w:rsidR="004118D9" w:rsidRPr="00307028" w14:paraId="706FB782" w14:textId="77777777" w:rsidTr="00DA0139">
        <w:trPr>
          <w:trHeight w:val="269"/>
        </w:trPr>
        <w:tc>
          <w:tcPr>
            <w:tcW w:w="1257" w:type="dxa"/>
            <w:shd w:val="clear" w:color="auto" w:fill="auto"/>
          </w:tcPr>
          <w:p w14:paraId="0A4170FE" w14:textId="407CB8BC" w:rsidR="004118D9" w:rsidRPr="00307028" w:rsidRDefault="004118D9" w:rsidP="007F2948">
            <w:pPr>
              <w:tabs>
                <w:tab w:val="left" w:pos="1494"/>
              </w:tabs>
              <w:rPr>
                <w:rFonts w:eastAsiaTheme="minorHAnsi"/>
                <w:sz w:val="22"/>
                <w:szCs w:val="22"/>
              </w:rPr>
            </w:pPr>
            <w:r w:rsidRPr="00307028">
              <w:rPr>
                <w:rFonts w:eastAsiaTheme="minorHAnsi"/>
                <w:sz w:val="22"/>
                <w:szCs w:val="22"/>
              </w:rPr>
              <w:t>ANO</w:t>
            </w:r>
          </w:p>
        </w:tc>
        <w:tc>
          <w:tcPr>
            <w:tcW w:w="9234" w:type="dxa"/>
            <w:shd w:val="clear" w:color="auto" w:fill="auto"/>
          </w:tcPr>
          <w:p w14:paraId="0B986537" w14:textId="61465360" w:rsidR="004118D9" w:rsidRPr="00307028" w:rsidRDefault="004118D9" w:rsidP="007F2948">
            <w:pPr>
              <w:tabs>
                <w:tab w:val="left" w:pos="3019"/>
                <w:tab w:val="left" w:pos="3444"/>
              </w:tabs>
              <w:rPr>
                <w:rFonts w:eastAsiaTheme="minorHAnsi"/>
                <w:sz w:val="22"/>
                <w:szCs w:val="22"/>
              </w:rPr>
            </w:pPr>
            <w:r w:rsidRPr="00307028">
              <w:rPr>
                <w:rFonts w:eastAsiaTheme="minorHAnsi"/>
                <w:sz w:val="22"/>
                <w:szCs w:val="22"/>
              </w:rPr>
              <w:t>Apvienoto Nāciju Organizācija</w:t>
            </w:r>
          </w:p>
        </w:tc>
      </w:tr>
      <w:tr w:rsidR="00BC5DE5" w:rsidRPr="00307028" w14:paraId="52B90EA9" w14:textId="77777777" w:rsidTr="00DA0139">
        <w:trPr>
          <w:trHeight w:val="269"/>
        </w:trPr>
        <w:tc>
          <w:tcPr>
            <w:tcW w:w="1257" w:type="dxa"/>
            <w:shd w:val="clear" w:color="auto" w:fill="auto"/>
          </w:tcPr>
          <w:p w14:paraId="709FBFE3" w14:textId="27A8C1F2" w:rsidR="00BC5DE5" w:rsidRPr="00307028" w:rsidRDefault="00BC5DE5" w:rsidP="007F2948">
            <w:pPr>
              <w:tabs>
                <w:tab w:val="left" w:pos="1494"/>
              </w:tabs>
              <w:rPr>
                <w:rFonts w:eastAsiaTheme="minorHAnsi"/>
                <w:sz w:val="22"/>
                <w:szCs w:val="22"/>
              </w:rPr>
            </w:pPr>
            <w:r w:rsidRPr="00307028">
              <w:rPr>
                <w:rFonts w:eastAsiaTheme="minorHAnsi"/>
                <w:sz w:val="22"/>
                <w:szCs w:val="22"/>
              </w:rPr>
              <w:t>AS</w:t>
            </w:r>
          </w:p>
        </w:tc>
        <w:tc>
          <w:tcPr>
            <w:tcW w:w="9234" w:type="dxa"/>
            <w:shd w:val="clear" w:color="auto" w:fill="auto"/>
          </w:tcPr>
          <w:p w14:paraId="3B915D67" w14:textId="2420F01E" w:rsidR="00BC5DE5" w:rsidRPr="00307028" w:rsidRDefault="00BC5DE5" w:rsidP="007F2948">
            <w:pPr>
              <w:tabs>
                <w:tab w:val="left" w:pos="3019"/>
                <w:tab w:val="left" w:pos="3444"/>
              </w:tabs>
              <w:rPr>
                <w:rFonts w:eastAsiaTheme="minorHAnsi"/>
                <w:sz w:val="22"/>
                <w:szCs w:val="22"/>
              </w:rPr>
            </w:pPr>
            <w:r w:rsidRPr="00307028">
              <w:rPr>
                <w:rFonts w:eastAsiaTheme="minorHAnsi"/>
                <w:sz w:val="22"/>
                <w:szCs w:val="22"/>
              </w:rPr>
              <w:t>Akciju sabiedrība</w:t>
            </w:r>
          </w:p>
        </w:tc>
      </w:tr>
      <w:tr w:rsidR="00555485" w:rsidRPr="00307028" w14:paraId="6A6A6244" w14:textId="77777777" w:rsidTr="00DA0139">
        <w:trPr>
          <w:trHeight w:val="269"/>
        </w:trPr>
        <w:tc>
          <w:tcPr>
            <w:tcW w:w="1257" w:type="dxa"/>
            <w:shd w:val="clear" w:color="auto" w:fill="auto"/>
          </w:tcPr>
          <w:p w14:paraId="427755D9" w14:textId="19077EAE" w:rsidR="00555485" w:rsidRPr="00307028" w:rsidRDefault="00555485" w:rsidP="007F2948">
            <w:pPr>
              <w:tabs>
                <w:tab w:val="left" w:pos="1494"/>
              </w:tabs>
              <w:rPr>
                <w:rFonts w:eastAsiaTheme="minorHAnsi"/>
                <w:sz w:val="22"/>
                <w:szCs w:val="22"/>
              </w:rPr>
            </w:pPr>
            <w:r w:rsidRPr="00307028">
              <w:rPr>
                <w:rFonts w:eastAsiaTheme="minorHAnsi"/>
                <w:sz w:val="22"/>
                <w:szCs w:val="22"/>
              </w:rPr>
              <w:t>AT</w:t>
            </w:r>
          </w:p>
        </w:tc>
        <w:tc>
          <w:tcPr>
            <w:tcW w:w="9234" w:type="dxa"/>
            <w:shd w:val="clear" w:color="auto" w:fill="auto"/>
          </w:tcPr>
          <w:p w14:paraId="77253B8C" w14:textId="6C2300B4" w:rsidR="00555485" w:rsidRPr="00307028" w:rsidRDefault="009A5752" w:rsidP="007F2948">
            <w:pPr>
              <w:tabs>
                <w:tab w:val="left" w:pos="3019"/>
                <w:tab w:val="left" w:pos="3444"/>
              </w:tabs>
              <w:rPr>
                <w:rFonts w:eastAsiaTheme="minorHAnsi"/>
                <w:sz w:val="22"/>
                <w:szCs w:val="22"/>
              </w:rPr>
            </w:pPr>
            <w:r w:rsidRPr="00307028">
              <w:rPr>
                <w:rFonts w:eastAsiaTheme="minorHAnsi"/>
                <w:sz w:val="22"/>
                <w:szCs w:val="22"/>
              </w:rPr>
              <w:t>Augstākā tiesa</w:t>
            </w:r>
          </w:p>
        </w:tc>
      </w:tr>
      <w:tr w:rsidR="00DA0139" w:rsidRPr="00307028" w14:paraId="0906E23D" w14:textId="77777777" w:rsidTr="00DA0139">
        <w:trPr>
          <w:trHeight w:val="269"/>
        </w:trPr>
        <w:tc>
          <w:tcPr>
            <w:tcW w:w="1257" w:type="dxa"/>
            <w:shd w:val="clear" w:color="auto" w:fill="auto"/>
          </w:tcPr>
          <w:p w14:paraId="0337AC4E"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ĀM</w:t>
            </w:r>
          </w:p>
        </w:tc>
        <w:tc>
          <w:tcPr>
            <w:tcW w:w="9234" w:type="dxa"/>
            <w:shd w:val="clear" w:color="auto" w:fill="auto"/>
          </w:tcPr>
          <w:p w14:paraId="09D9F133"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Ārlietu ministrija</w:t>
            </w:r>
          </w:p>
        </w:tc>
      </w:tr>
      <w:tr w:rsidR="00DA0139" w:rsidRPr="00307028" w14:paraId="50CD24B8" w14:textId="77777777" w:rsidTr="00DA0139">
        <w:trPr>
          <w:trHeight w:val="269"/>
        </w:trPr>
        <w:tc>
          <w:tcPr>
            <w:tcW w:w="1257" w:type="dxa"/>
            <w:shd w:val="clear" w:color="auto" w:fill="auto"/>
          </w:tcPr>
          <w:p w14:paraId="2194C02F"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CFLA</w:t>
            </w:r>
          </w:p>
        </w:tc>
        <w:tc>
          <w:tcPr>
            <w:tcW w:w="9234" w:type="dxa"/>
            <w:shd w:val="clear" w:color="auto" w:fill="auto"/>
          </w:tcPr>
          <w:p w14:paraId="629D8A3D"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Centrālā finanšu un līgumu aģentūra</w:t>
            </w:r>
          </w:p>
        </w:tc>
      </w:tr>
      <w:tr w:rsidR="00DA0139" w:rsidRPr="00307028" w14:paraId="5AF69860" w14:textId="77777777" w:rsidTr="00DA0139">
        <w:trPr>
          <w:trHeight w:val="269"/>
        </w:trPr>
        <w:tc>
          <w:tcPr>
            <w:tcW w:w="1257" w:type="dxa"/>
            <w:shd w:val="clear" w:color="auto" w:fill="auto"/>
          </w:tcPr>
          <w:p w14:paraId="6906898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Covid-19</w:t>
            </w:r>
          </w:p>
        </w:tc>
        <w:tc>
          <w:tcPr>
            <w:tcW w:w="9234" w:type="dxa"/>
            <w:shd w:val="clear" w:color="auto" w:fill="auto"/>
          </w:tcPr>
          <w:p w14:paraId="3AD6BBFC"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Koronavīrusa SARS-CoV-2 izraisītās infekcijas slimība</w:t>
            </w:r>
          </w:p>
        </w:tc>
      </w:tr>
      <w:tr w:rsidR="00DA0139" w:rsidRPr="00307028" w14:paraId="23F671FA" w14:textId="77777777" w:rsidTr="00DA0139">
        <w:trPr>
          <w:trHeight w:val="269"/>
        </w:trPr>
        <w:tc>
          <w:tcPr>
            <w:tcW w:w="1257" w:type="dxa"/>
            <w:shd w:val="clear" w:color="auto" w:fill="auto"/>
          </w:tcPr>
          <w:p w14:paraId="41406EF2"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CSP</w:t>
            </w:r>
          </w:p>
        </w:tc>
        <w:tc>
          <w:tcPr>
            <w:tcW w:w="9234" w:type="dxa"/>
            <w:shd w:val="clear" w:color="auto" w:fill="auto"/>
          </w:tcPr>
          <w:p w14:paraId="5FED0C1C"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Centrālā statistikas pārvalde</w:t>
            </w:r>
          </w:p>
        </w:tc>
      </w:tr>
      <w:tr w:rsidR="00DA0139" w:rsidRPr="00307028" w14:paraId="205E46A1" w14:textId="77777777" w:rsidTr="00DA0139">
        <w:trPr>
          <w:trHeight w:val="269"/>
        </w:trPr>
        <w:tc>
          <w:tcPr>
            <w:tcW w:w="1257" w:type="dxa"/>
            <w:shd w:val="clear" w:color="auto" w:fill="auto"/>
          </w:tcPr>
          <w:p w14:paraId="407F5B90"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CVK</w:t>
            </w:r>
          </w:p>
        </w:tc>
        <w:tc>
          <w:tcPr>
            <w:tcW w:w="9234" w:type="dxa"/>
            <w:shd w:val="clear" w:color="auto" w:fill="auto"/>
          </w:tcPr>
          <w:p w14:paraId="70E871AF"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Centrālā vēlēšanu komisija</w:t>
            </w:r>
          </w:p>
        </w:tc>
      </w:tr>
      <w:tr w:rsidR="004253C6" w:rsidRPr="00307028" w14:paraId="69305669" w14:textId="77777777" w:rsidTr="00DA0139">
        <w:trPr>
          <w:trHeight w:val="269"/>
        </w:trPr>
        <w:tc>
          <w:tcPr>
            <w:tcW w:w="1257" w:type="dxa"/>
            <w:shd w:val="clear" w:color="auto" w:fill="auto"/>
          </w:tcPr>
          <w:p w14:paraId="5CDC6DE3" w14:textId="2DF0FF46" w:rsidR="004253C6" w:rsidRPr="00307028" w:rsidRDefault="004253C6" w:rsidP="007F2948">
            <w:pPr>
              <w:tabs>
                <w:tab w:val="left" w:pos="1494"/>
              </w:tabs>
              <w:rPr>
                <w:rFonts w:eastAsiaTheme="minorHAnsi"/>
                <w:sz w:val="22"/>
                <w:szCs w:val="22"/>
              </w:rPr>
            </w:pPr>
            <w:r w:rsidRPr="00307028">
              <w:rPr>
                <w:rFonts w:eastAsiaTheme="minorHAnsi"/>
                <w:sz w:val="22"/>
                <w:szCs w:val="22"/>
              </w:rPr>
              <w:t>DAP</w:t>
            </w:r>
          </w:p>
        </w:tc>
        <w:tc>
          <w:tcPr>
            <w:tcW w:w="9234" w:type="dxa"/>
            <w:shd w:val="clear" w:color="auto" w:fill="auto"/>
          </w:tcPr>
          <w:p w14:paraId="0F707B21" w14:textId="20E52F4E" w:rsidR="004253C6" w:rsidRPr="00307028" w:rsidRDefault="004253C6" w:rsidP="007F2948">
            <w:pPr>
              <w:tabs>
                <w:tab w:val="left" w:pos="3019"/>
                <w:tab w:val="left" w:pos="3444"/>
              </w:tabs>
              <w:rPr>
                <w:rFonts w:eastAsiaTheme="minorHAnsi"/>
                <w:sz w:val="22"/>
                <w:szCs w:val="22"/>
              </w:rPr>
            </w:pPr>
            <w:r w:rsidRPr="00307028">
              <w:rPr>
                <w:rFonts w:eastAsiaTheme="minorHAnsi"/>
                <w:sz w:val="22"/>
                <w:szCs w:val="22"/>
              </w:rPr>
              <w:t>Dabas aizsardzības pārvalde</w:t>
            </w:r>
          </w:p>
        </w:tc>
      </w:tr>
      <w:tr w:rsidR="00BC5DE5" w:rsidRPr="00307028" w14:paraId="4B5EB0FD" w14:textId="77777777" w:rsidTr="00DA0139">
        <w:trPr>
          <w:trHeight w:val="269"/>
        </w:trPr>
        <w:tc>
          <w:tcPr>
            <w:tcW w:w="1257" w:type="dxa"/>
            <w:shd w:val="clear" w:color="auto" w:fill="auto"/>
          </w:tcPr>
          <w:p w14:paraId="11EB246D" w14:textId="27408397" w:rsidR="00BC5DE5" w:rsidRPr="00307028" w:rsidRDefault="00BC5DE5" w:rsidP="007F2948">
            <w:pPr>
              <w:tabs>
                <w:tab w:val="left" w:pos="1494"/>
              </w:tabs>
              <w:rPr>
                <w:rFonts w:eastAsiaTheme="minorHAnsi"/>
                <w:sz w:val="22"/>
                <w:szCs w:val="22"/>
              </w:rPr>
            </w:pPr>
            <w:r w:rsidRPr="00307028">
              <w:rPr>
                <w:rFonts w:eastAsiaTheme="minorHAnsi"/>
                <w:sz w:val="22"/>
                <w:szCs w:val="22"/>
              </w:rPr>
              <w:t>DRR</w:t>
            </w:r>
          </w:p>
        </w:tc>
        <w:tc>
          <w:tcPr>
            <w:tcW w:w="9234" w:type="dxa"/>
            <w:shd w:val="clear" w:color="auto" w:fill="auto"/>
          </w:tcPr>
          <w:p w14:paraId="04E11E93" w14:textId="41B76787" w:rsidR="00BC5DE5" w:rsidRPr="00307028" w:rsidRDefault="00BC5DE5" w:rsidP="007F2948">
            <w:pPr>
              <w:tabs>
                <w:tab w:val="left" w:pos="3019"/>
                <w:tab w:val="left" w:pos="3444"/>
              </w:tabs>
              <w:rPr>
                <w:rFonts w:eastAsiaTheme="minorHAnsi"/>
                <w:sz w:val="22"/>
                <w:szCs w:val="22"/>
              </w:rPr>
            </w:pPr>
            <w:r w:rsidRPr="00307028">
              <w:rPr>
                <w:rFonts w:eastAsiaTheme="minorHAnsi"/>
                <w:sz w:val="22"/>
                <w:szCs w:val="22"/>
              </w:rPr>
              <w:t>Darbības rezultatīvais rādītājs</w:t>
            </w:r>
          </w:p>
        </w:tc>
      </w:tr>
      <w:tr w:rsidR="00C733F6" w:rsidRPr="00307028" w14:paraId="5DF77119" w14:textId="77777777" w:rsidTr="00DA0139">
        <w:trPr>
          <w:trHeight w:val="269"/>
        </w:trPr>
        <w:tc>
          <w:tcPr>
            <w:tcW w:w="1257" w:type="dxa"/>
            <w:shd w:val="clear" w:color="auto" w:fill="auto"/>
          </w:tcPr>
          <w:p w14:paraId="2E8E64A7" w14:textId="39A60007" w:rsidR="00C733F6" w:rsidRPr="00307028" w:rsidRDefault="00C733F6" w:rsidP="007F2948">
            <w:pPr>
              <w:tabs>
                <w:tab w:val="left" w:pos="1494"/>
              </w:tabs>
              <w:rPr>
                <w:rFonts w:eastAsiaTheme="minorHAnsi"/>
                <w:sz w:val="22"/>
                <w:szCs w:val="22"/>
              </w:rPr>
            </w:pPr>
            <w:r w:rsidRPr="00307028">
              <w:rPr>
                <w:rFonts w:eastAsiaTheme="minorHAnsi"/>
                <w:sz w:val="22"/>
                <w:szCs w:val="22"/>
              </w:rPr>
              <w:t>EDS</w:t>
            </w:r>
          </w:p>
        </w:tc>
        <w:tc>
          <w:tcPr>
            <w:tcW w:w="9234" w:type="dxa"/>
            <w:shd w:val="clear" w:color="auto" w:fill="auto"/>
          </w:tcPr>
          <w:p w14:paraId="27B821DA" w14:textId="22A01023" w:rsidR="00C733F6" w:rsidRPr="00307028" w:rsidRDefault="00C733F6" w:rsidP="007F2948">
            <w:pPr>
              <w:tabs>
                <w:tab w:val="left" w:pos="3019"/>
                <w:tab w:val="left" w:pos="3444"/>
              </w:tabs>
              <w:rPr>
                <w:rFonts w:eastAsiaTheme="minorHAnsi"/>
                <w:sz w:val="22"/>
                <w:szCs w:val="22"/>
              </w:rPr>
            </w:pPr>
            <w:r w:rsidRPr="00307028">
              <w:rPr>
                <w:sz w:val="22"/>
                <w:szCs w:val="22"/>
              </w:rPr>
              <w:t>Elektroniskās deklarēšanas sistēma</w:t>
            </w:r>
          </w:p>
        </w:tc>
      </w:tr>
      <w:tr w:rsidR="00DA0139" w:rsidRPr="00307028" w14:paraId="3102DEF9" w14:textId="77777777" w:rsidTr="00DA0139">
        <w:trPr>
          <w:trHeight w:val="269"/>
        </w:trPr>
        <w:tc>
          <w:tcPr>
            <w:tcW w:w="1257" w:type="dxa"/>
            <w:shd w:val="clear" w:color="auto" w:fill="auto"/>
          </w:tcPr>
          <w:p w14:paraId="5BC8524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EEZ</w:t>
            </w:r>
          </w:p>
        </w:tc>
        <w:tc>
          <w:tcPr>
            <w:tcW w:w="9234" w:type="dxa"/>
            <w:shd w:val="clear" w:color="auto" w:fill="auto"/>
          </w:tcPr>
          <w:p w14:paraId="2F0A1636"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Eiropas Ekonomikas zona</w:t>
            </w:r>
          </w:p>
        </w:tc>
      </w:tr>
      <w:tr w:rsidR="00DA0139" w:rsidRPr="00307028" w14:paraId="1A296448" w14:textId="77777777" w:rsidTr="00DA0139">
        <w:trPr>
          <w:trHeight w:val="269"/>
        </w:trPr>
        <w:tc>
          <w:tcPr>
            <w:tcW w:w="1257" w:type="dxa"/>
            <w:shd w:val="clear" w:color="auto" w:fill="auto"/>
          </w:tcPr>
          <w:p w14:paraId="5630C9A0"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EK</w:t>
            </w:r>
          </w:p>
        </w:tc>
        <w:tc>
          <w:tcPr>
            <w:tcW w:w="9234" w:type="dxa"/>
            <w:shd w:val="clear" w:color="auto" w:fill="auto"/>
          </w:tcPr>
          <w:p w14:paraId="28B3F0CB"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Eiropas Komisija</w:t>
            </w:r>
          </w:p>
        </w:tc>
      </w:tr>
      <w:tr w:rsidR="00DA0139" w:rsidRPr="00307028" w14:paraId="359F58B1" w14:textId="77777777" w:rsidTr="00DA0139">
        <w:trPr>
          <w:trHeight w:val="269"/>
        </w:trPr>
        <w:tc>
          <w:tcPr>
            <w:tcW w:w="1257" w:type="dxa"/>
            <w:shd w:val="clear" w:color="auto" w:fill="auto"/>
          </w:tcPr>
          <w:p w14:paraId="40F8CB0A" w14:textId="77777777" w:rsidR="00DA0139" w:rsidRPr="00307028" w:rsidRDefault="00DA0139" w:rsidP="007F2948">
            <w:pPr>
              <w:tabs>
                <w:tab w:val="left" w:pos="1494"/>
              </w:tabs>
              <w:rPr>
                <w:rFonts w:eastAsiaTheme="minorHAnsi"/>
                <w:sz w:val="22"/>
                <w:szCs w:val="22"/>
                <w:lang w:eastAsia="lv-LV"/>
              </w:rPr>
            </w:pPr>
            <w:r w:rsidRPr="00307028">
              <w:rPr>
                <w:rFonts w:eastAsiaTheme="minorHAnsi"/>
                <w:sz w:val="22"/>
                <w:szCs w:val="22"/>
              </w:rPr>
              <w:t>EKK</w:t>
            </w:r>
          </w:p>
        </w:tc>
        <w:tc>
          <w:tcPr>
            <w:tcW w:w="9234" w:type="dxa"/>
            <w:shd w:val="clear" w:color="auto" w:fill="auto"/>
          </w:tcPr>
          <w:p w14:paraId="239210E8" w14:textId="77777777" w:rsidR="00DA0139" w:rsidRPr="00307028" w:rsidRDefault="00DA0139" w:rsidP="007F2948">
            <w:pPr>
              <w:tabs>
                <w:tab w:val="left" w:pos="3019"/>
                <w:tab w:val="left" w:pos="3444"/>
              </w:tabs>
              <w:rPr>
                <w:rFonts w:eastAsiaTheme="minorHAnsi"/>
                <w:sz w:val="22"/>
                <w:szCs w:val="22"/>
                <w:lang w:eastAsia="lv-LV"/>
              </w:rPr>
            </w:pPr>
            <w:r w:rsidRPr="00307028">
              <w:rPr>
                <w:rFonts w:eastAsiaTheme="minorHAnsi"/>
                <w:sz w:val="22"/>
                <w:szCs w:val="22"/>
              </w:rPr>
              <w:t>Ekonomiskās klasifikācijas kodi</w:t>
            </w:r>
          </w:p>
        </w:tc>
      </w:tr>
      <w:tr w:rsidR="00B903BC" w:rsidRPr="00307028" w14:paraId="044563F2" w14:textId="77777777" w:rsidTr="00DA0139">
        <w:trPr>
          <w:trHeight w:val="269"/>
        </w:trPr>
        <w:tc>
          <w:tcPr>
            <w:tcW w:w="1257" w:type="dxa"/>
            <w:shd w:val="clear" w:color="auto" w:fill="auto"/>
          </w:tcPr>
          <w:p w14:paraId="29C3FDC6" w14:textId="318A2201" w:rsidR="00B903BC" w:rsidRPr="00307028" w:rsidRDefault="00B903BC" w:rsidP="007F2948">
            <w:pPr>
              <w:tabs>
                <w:tab w:val="left" w:pos="1494"/>
              </w:tabs>
              <w:rPr>
                <w:rFonts w:eastAsiaTheme="minorHAnsi"/>
                <w:sz w:val="22"/>
                <w:szCs w:val="22"/>
              </w:rPr>
            </w:pPr>
            <w:r w:rsidRPr="00307028">
              <w:rPr>
                <w:rFonts w:eastAsiaTheme="minorHAnsi"/>
                <w:sz w:val="22"/>
                <w:szCs w:val="22"/>
              </w:rPr>
              <w:t>ERAF</w:t>
            </w:r>
          </w:p>
        </w:tc>
        <w:tc>
          <w:tcPr>
            <w:tcW w:w="9234" w:type="dxa"/>
            <w:shd w:val="clear" w:color="auto" w:fill="auto"/>
          </w:tcPr>
          <w:p w14:paraId="5EEB4F13" w14:textId="11BDBA60" w:rsidR="00B903BC" w:rsidRPr="00307028" w:rsidRDefault="00B903BC" w:rsidP="007F2948">
            <w:pPr>
              <w:tabs>
                <w:tab w:val="left" w:pos="3019"/>
                <w:tab w:val="left" w:pos="3444"/>
              </w:tabs>
              <w:rPr>
                <w:rFonts w:eastAsiaTheme="minorHAnsi"/>
                <w:sz w:val="22"/>
                <w:szCs w:val="22"/>
              </w:rPr>
            </w:pPr>
            <w:r w:rsidRPr="00307028">
              <w:rPr>
                <w:rFonts w:eastAsiaTheme="minorHAnsi"/>
                <w:sz w:val="22"/>
                <w:szCs w:val="22"/>
              </w:rPr>
              <w:t>Eiropas Reģionālās attīstības fonds</w:t>
            </w:r>
          </w:p>
        </w:tc>
      </w:tr>
      <w:tr w:rsidR="00DA0139" w:rsidRPr="00307028" w14:paraId="789E0036" w14:textId="77777777" w:rsidTr="00DA0139">
        <w:trPr>
          <w:trHeight w:val="284"/>
        </w:trPr>
        <w:tc>
          <w:tcPr>
            <w:tcW w:w="1257" w:type="dxa"/>
            <w:shd w:val="clear" w:color="auto" w:fill="auto"/>
          </w:tcPr>
          <w:p w14:paraId="3D1A51E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ES</w:t>
            </w:r>
          </w:p>
        </w:tc>
        <w:tc>
          <w:tcPr>
            <w:tcW w:w="9234" w:type="dxa"/>
            <w:shd w:val="clear" w:color="auto" w:fill="auto"/>
          </w:tcPr>
          <w:p w14:paraId="35C5997C"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Eiropas Savienība</w:t>
            </w:r>
          </w:p>
        </w:tc>
      </w:tr>
      <w:tr w:rsidR="00B903BC" w:rsidRPr="00307028" w14:paraId="0C223C86" w14:textId="77777777" w:rsidTr="00DA0139">
        <w:trPr>
          <w:trHeight w:val="284"/>
        </w:trPr>
        <w:tc>
          <w:tcPr>
            <w:tcW w:w="1257" w:type="dxa"/>
            <w:shd w:val="clear" w:color="auto" w:fill="auto"/>
          </w:tcPr>
          <w:p w14:paraId="5ED6F4C8" w14:textId="661C9A80" w:rsidR="00B903BC" w:rsidRPr="00307028" w:rsidRDefault="00B903BC" w:rsidP="007F2948">
            <w:pPr>
              <w:tabs>
                <w:tab w:val="left" w:pos="1494"/>
              </w:tabs>
              <w:rPr>
                <w:rFonts w:eastAsiaTheme="minorHAnsi"/>
                <w:sz w:val="22"/>
                <w:szCs w:val="22"/>
              </w:rPr>
            </w:pPr>
            <w:r w:rsidRPr="00307028">
              <w:rPr>
                <w:rFonts w:eastAsiaTheme="minorHAnsi"/>
                <w:sz w:val="22"/>
                <w:szCs w:val="22"/>
              </w:rPr>
              <w:t>ESF</w:t>
            </w:r>
          </w:p>
        </w:tc>
        <w:tc>
          <w:tcPr>
            <w:tcW w:w="9234" w:type="dxa"/>
            <w:shd w:val="clear" w:color="auto" w:fill="auto"/>
          </w:tcPr>
          <w:p w14:paraId="7779864D" w14:textId="462A2C76" w:rsidR="00B903BC" w:rsidRPr="00307028" w:rsidRDefault="00B903BC" w:rsidP="007F2948">
            <w:pPr>
              <w:tabs>
                <w:tab w:val="left" w:pos="3019"/>
                <w:tab w:val="left" w:pos="3444"/>
              </w:tabs>
              <w:rPr>
                <w:rFonts w:eastAsiaTheme="minorHAnsi"/>
                <w:sz w:val="22"/>
                <w:szCs w:val="22"/>
              </w:rPr>
            </w:pPr>
            <w:r w:rsidRPr="00307028">
              <w:rPr>
                <w:rFonts w:eastAsiaTheme="minorHAnsi"/>
                <w:sz w:val="22"/>
                <w:szCs w:val="22"/>
              </w:rPr>
              <w:t>Eiropas sociālais fonds</w:t>
            </w:r>
          </w:p>
        </w:tc>
      </w:tr>
      <w:tr w:rsidR="00DA0139" w:rsidRPr="00307028" w14:paraId="5ACD2CF8" w14:textId="77777777" w:rsidTr="00DA0139">
        <w:trPr>
          <w:trHeight w:val="284"/>
        </w:trPr>
        <w:tc>
          <w:tcPr>
            <w:tcW w:w="1257" w:type="dxa"/>
            <w:shd w:val="clear" w:color="auto" w:fill="auto"/>
          </w:tcPr>
          <w:p w14:paraId="607B1379"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FM</w:t>
            </w:r>
          </w:p>
        </w:tc>
        <w:tc>
          <w:tcPr>
            <w:tcW w:w="9234" w:type="dxa"/>
            <w:shd w:val="clear" w:color="auto" w:fill="auto"/>
          </w:tcPr>
          <w:p w14:paraId="6CA6EC89"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Finanšu ministrija</w:t>
            </w:r>
          </w:p>
        </w:tc>
      </w:tr>
      <w:tr w:rsidR="00DC6891" w:rsidRPr="00307028" w14:paraId="516A7F46" w14:textId="77777777" w:rsidTr="00DA0139">
        <w:trPr>
          <w:trHeight w:val="269"/>
        </w:trPr>
        <w:tc>
          <w:tcPr>
            <w:tcW w:w="1257" w:type="dxa"/>
            <w:shd w:val="clear" w:color="auto" w:fill="auto"/>
          </w:tcPr>
          <w:p w14:paraId="7A4D6E09" w14:textId="268663FC" w:rsidR="00DC6891" w:rsidRPr="00307028" w:rsidRDefault="00DC6891" w:rsidP="007F2948">
            <w:pPr>
              <w:tabs>
                <w:tab w:val="left" w:pos="1494"/>
              </w:tabs>
              <w:rPr>
                <w:rFonts w:eastAsiaTheme="minorHAnsi"/>
                <w:sz w:val="22"/>
                <w:szCs w:val="22"/>
              </w:rPr>
            </w:pPr>
            <w:r w:rsidRPr="00307028">
              <w:rPr>
                <w:rFonts w:eastAsiaTheme="minorHAnsi"/>
                <w:sz w:val="22"/>
                <w:szCs w:val="22"/>
              </w:rPr>
              <w:t>IAUI</w:t>
            </w:r>
          </w:p>
        </w:tc>
        <w:tc>
          <w:tcPr>
            <w:tcW w:w="9234" w:type="dxa"/>
            <w:shd w:val="clear" w:color="auto" w:fill="auto"/>
          </w:tcPr>
          <w:p w14:paraId="0783413D" w14:textId="77849416" w:rsidR="00DC6891" w:rsidRPr="00307028" w:rsidRDefault="00DC6891" w:rsidP="007F2948">
            <w:pPr>
              <w:tabs>
                <w:tab w:val="left" w:pos="3019"/>
                <w:tab w:val="left" w:pos="3444"/>
              </w:tabs>
              <w:rPr>
                <w:rFonts w:eastAsiaTheme="minorHAnsi"/>
                <w:sz w:val="22"/>
                <w:szCs w:val="22"/>
              </w:rPr>
            </w:pPr>
            <w:r w:rsidRPr="00307028">
              <w:rPr>
                <w:rFonts w:eastAsiaTheme="minorHAnsi"/>
                <w:sz w:val="22"/>
                <w:szCs w:val="22"/>
              </w:rPr>
              <w:t>Izložu un azartspēļu uzraudzības inspekcija</w:t>
            </w:r>
          </w:p>
        </w:tc>
      </w:tr>
      <w:tr w:rsidR="00DA0139" w:rsidRPr="00307028" w14:paraId="3700E937" w14:textId="77777777" w:rsidTr="00DA0139">
        <w:trPr>
          <w:trHeight w:val="269"/>
        </w:trPr>
        <w:tc>
          <w:tcPr>
            <w:tcW w:w="1257" w:type="dxa"/>
            <w:shd w:val="clear" w:color="auto" w:fill="auto"/>
          </w:tcPr>
          <w:p w14:paraId="0C4300D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IeM</w:t>
            </w:r>
          </w:p>
        </w:tc>
        <w:tc>
          <w:tcPr>
            <w:tcW w:w="9234" w:type="dxa"/>
            <w:shd w:val="clear" w:color="auto" w:fill="auto"/>
          </w:tcPr>
          <w:p w14:paraId="0183C3F3"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Iekšlietu ministrija</w:t>
            </w:r>
          </w:p>
        </w:tc>
      </w:tr>
      <w:tr w:rsidR="00C846A4" w:rsidRPr="00307028" w14:paraId="6888528E" w14:textId="77777777" w:rsidTr="00DA0139">
        <w:trPr>
          <w:trHeight w:val="269"/>
        </w:trPr>
        <w:tc>
          <w:tcPr>
            <w:tcW w:w="1257" w:type="dxa"/>
            <w:shd w:val="clear" w:color="auto" w:fill="auto"/>
          </w:tcPr>
          <w:p w14:paraId="58CBFC63" w14:textId="764E0B61" w:rsidR="00C846A4" w:rsidRPr="00307028" w:rsidRDefault="00C846A4" w:rsidP="007F2948">
            <w:pPr>
              <w:tabs>
                <w:tab w:val="left" w:pos="1494"/>
              </w:tabs>
              <w:rPr>
                <w:rFonts w:eastAsiaTheme="minorHAnsi"/>
                <w:sz w:val="22"/>
                <w:szCs w:val="22"/>
              </w:rPr>
            </w:pPr>
            <w:r w:rsidRPr="00307028">
              <w:rPr>
                <w:rFonts w:eastAsiaTheme="minorHAnsi"/>
                <w:sz w:val="22"/>
                <w:szCs w:val="22"/>
              </w:rPr>
              <w:t>IeM VSC</w:t>
            </w:r>
          </w:p>
        </w:tc>
        <w:tc>
          <w:tcPr>
            <w:tcW w:w="9234" w:type="dxa"/>
            <w:shd w:val="clear" w:color="auto" w:fill="auto"/>
          </w:tcPr>
          <w:p w14:paraId="249E50A3" w14:textId="54CA55FB" w:rsidR="00C846A4" w:rsidRPr="00307028" w:rsidRDefault="00C846A4" w:rsidP="007F2948">
            <w:pPr>
              <w:tabs>
                <w:tab w:val="left" w:pos="3019"/>
                <w:tab w:val="left" w:pos="3444"/>
              </w:tabs>
              <w:rPr>
                <w:rFonts w:eastAsiaTheme="minorHAnsi"/>
                <w:sz w:val="22"/>
                <w:szCs w:val="22"/>
              </w:rPr>
            </w:pPr>
            <w:r w:rsidRPr="00307028">
              <w:rPr>
                <w:rFonts w:eastAsiaTheme="minorHAnsi"/>
                <w:sz w:val="22"/>
                <w:szCs w:val="22"/>
              </w:rPr>
              <w:t>Iekšlietu ministrijas veselības un sporta centrs</w:t>
            </w:r>
          </w:p>
        </w:tc>
      </w:tr>
      <w:tr w:rsidR="00DA0139" w:rsidRPr="00307028" w14:paraId="754B585B" w14:textId="77777777" w:rsidTr="00DA0139">
        <w:trPr>
          <w:trHeight w:val="269"/>
        </w:trPr>
        <w:tc>
          <w:tcPr>
            <w:tcW w:w="1257" w:type="dxa"/>
            <w:shd w:val="clear" w:color="auto" w:fill="auto"/>
          </w:tcPr>
          <w:p w14:paraId="38FFB5B4"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IeVP</w:t>
            </w:r>
          </w:p>
        </w:tc>
        <w:tc>
          <w:tcPr>
            <w:tcW w:w="9234" w:type="dxa"/>
            <w:shd w:val="clear" w:color="auto" w:fill="auto"/>
          </w:tcPr>
          <w:p w14:paraId="44EA8DB6" w14:textId="77777777" w:rsidR="00DA0139" w:rsidRPr="00307028" w:rsidRDefault="00DA0139" w:rsidP="00DA0139">
            <w:pPr>
              <w:rPr>
                <w:rFonts w:eastAsiaTheme="minorHAnsi"/>
                <w:sz w:val="22"/>
                <w:szCs w:val="22"/>
              </w:rPr>
            </w:pPr>
            <w:r w:rsidRPr="00307028">
              <w:rPr>
                <w:rFonts w:eastAsiaTheme="minorHAnsi"/>
                <w:sz w:val="22"/>
                <w:szCs w:val="22"/>
              </w:rPr>
              <w:t>Ieslodzījuma vietu pārvalde</w:t>
            </w:r>
          </w:p>
        </w:tc>
      </w:tr>
      <w:tr w:rsidR="00DA0139" w:rsidRPr="00307028" w14:paraId="31B79E81" w14:textId="77777777" w:rsidTr="00DA0139">
        <w:trPr>
          <w:trHeight w:val="269"/>
        </w:trPr>
        <w:tc>
          <w:tcPr>
            <w:tcW w:w="1257" w:type="dxa"/>
            <w:shd w:val="clear" w:color="auto" w:fill="auto"/>
          </w:tcPr>
          <w:p w14:paraId="668981B5"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IKP</w:t>
            </w:r>
          </w:p>
        </w:tc>
        <w:tc>
          <w:tcPr>
            <w:tcW w:w="9234" w:type="dxa"/>
            <w:shd w:val="clear" w:color="auto" w:fill="auto"/>
          </w:tcPr>
          <w:p w14:paraId="4441F743"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Iekšzemes kopprodukts</w:t>
            </w:r>
          </w:p>
        </w:tc>
      </w:tr>
      <w:tr w:rsidR="00DA0139" w:rsidRPr="00307028" w14:paraId="005A75AE" w14:textId="77777777" w:rsidTr="00DA0139">
        <w:trPr>
          <w:trHeight w:val="269"/>
        </w:trPr>
        <w:tc>
          <w:tcPr>
            <w:tcW w:w="1257" w:type="dxa"/>
            <w:shd w:val="clear" w:color="auto" w:fill="auto"/>
          </w:tcPr>
          <w:p w14:paraId="6C489A8B"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IKT</w:t>
            </w:r>
          </w:p>
        </w:tc>
        <w:tc>
          <w:tcPr>
            <w:tcW w:w="9234" w:type="dxa"/>
            <w:shd w:val="clear" w:color="auto" w:fill="auto"/>
          </w:tcPr>
          <w:p w14:paraId="385DC4FA"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Informācijas un komunikācijas tehnoloģijas</w:t>
            </w:r>
          </w:p>
        </w:tc>
      </w:tr>
      <w:tr w:rsidR="00DA0139" w:rsidRPr="00307028" w14:paraId="3F4240BC" w14:textId="77777777" w:rsidTr="00DA0139">
        <w:trPr>
          <w:trHeight w:val="269"/>
        </w:trPr>
        <w:tc>
          <w:tcPr>
            <w:tcW w:w="1257" w:type="dxa"/>
            <w:shd w:val="clear" w:color="auto" w:fill="auto"/>
          </w:tcPr>
          <w:p w14:paraId="296132EF"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IS</w:t>
            </w:r>
          </w:p>
        </w:tc>
        <w:tc>
          <w:tcPr>
            <w:tcW w:w="9234" w:type="dxa"/>
            <w:shd w:val="clear" w:color="auto" w:fill="auto"/>
          </w:tcPr>
          <w:p w14:paraId="10EBC070"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Informācijas sistēma</w:t>
            </w:r>
          </w:p>
        </w:tc>
      </w:tr>
      <w:tr w:rsidR="004253C6" w:rsidRPr="00307028" w14:paraId="154A0838" w14:textId="77777777" w:rsidTr="00DA0139">
        <w:trPr>
          <w:trHeight w:val="269"/>
        </w:trPr>
        <w:tc>
          <w:tcPr>
            <w:tcW w:w="1257" w:type="dxa"/>
            <w:shd w:val="clear" w:color="auto" w:fill="auto"/>
          </w:tcPr>
          <w:p w14:paraId="2CE61820" w14:textId="6B5620CD" w:rsidR="004253C6" w:rsidRPr="00307028" w:rsidRDefault="004253C6" w:rsidP="007F2948">
            <w:pPr>
              <w:tabs>
                <w:tab w:val="left" w:pos="1494"/>
              </w:tabs>
              <w:rPr>
                <w:rFonts w:eastAsiaTheme="minorHAnsi"/>
                <w:sz w:val="22"/>
                <w:szCs w:val="22"/>
              </w:rPr>
            </w:pPr>
            <w:r w:rsidRPr="00307028">
              <w:rPr>
                <w:rFonts w:eastAsiaTheme="minorHAnsi"/>
                <w:sz w:val="22"/>
                <w:szCs w:val="22"/>
              </w:rPr>
              <w:t>IT</w:t>
            </w:r>
          </w:p>
        </w:tc>
        <w:tc>
          <w:tcPr>
            <w:tcW w:w="9234" w:type="dxa"/>
            <w:shd w:val="clear" w:color="auto" w:fill="auto"/>
          </w:tcPr>
          <w:p w14:paraId="12384F61" w14:textId="43414EDA" w:rsidR="004253C6" w:rsidRPr="00307028" w:rsidRDefault="004253C6" w:rsidP="007F2948">
            <w:pPr>
              <w:tabs>
                <w:tab w:val="left" w:pos="3019"/>
                <w:tab w:val="left" w:pos="3444"/>
              </w:tabs>
              <w:rPr>
                <w:rFonts w:eastAsiaTheme="minorHAnsi"/>
                <w:sz w:val="22"/>
                <w:szCs w:val="22"/>
              </w:rPr>
            </w:pPr>
            <w:r w:rsidRPr="00307028">
              <w:rPr>
                <w:rFonts w:eastAsiaTheme="minorHAnsi"/>
                <w:sz w:val="22"/>
                <w:szCs w:val="22"/>
              </w:rPr>
              <w:t>Informācijas tehnoloģijas</w:t>
            </w:r>
          </w:p>
        </w:tc>
      </w:tr>
      <w:tr w:rsidR="00BD3E66" w:rsidRPr="00307028" w14:paraId="653229D4" w14:textId="77777777" w:rsidTr="00DA0139">
        <w:trPr>
          <w:trHeight w:val="269"/>
        </w:trPr>
        <w:tc>
          <w:tcPr>
            <w:tcW w:w="1257" w:type="dxa"/>
            <w:shd w:val="clear" w:color="auto" w:fill="auto"/>
          </w:tcPr>
          <w:p w14:paraId="61A855BA" w14:textId="1047AE29" w:rsidR="00BD3E66" w:rsidRPr="00307028" w:rsidRDefault="00BD3E66" w:rsidP="007F2948">
            <w:pPr>
              <w:tabs>
                <w:tab w:val="left" w:pos="1494"/>
              </w:tabs>
              <w:rPr>
                <w:rFonts w:eastAsiaTheme="minorHAnsi"/>
                <w:sz w:val="22"/>
                <w:szCs w:val="22"/>
              </w:rPr>
            </w:pPr>
            <w:r w:rsidRPr="00307028">
              <w:rPr>
                <w:rFonts w:eastAsiaTheme="minorHAnsi"/>
                <w:sz w:val="22"/>
                <w:szCs w:val="22"/>
              </w:rPr>
              <w:t>IUB</w:t>
            </w:r>
          </w:p>
        </w:tc>
        <w:tc>
          <w:tcPr>
            <w:tcW w:w="9234" w:type="dxa"/>
            <w:shd w:val="clear" w:color="auto" w:fill="auto"/>
          </w:tcPr>
          <w:p w14:paraId="11EDA726" w14:textId="30C4975D" w:rsidR="00BD3E66" w:rsidRPr="00307028" w:rsidRDefault="00BD3E66" w:rsidP="007F2948">
            <w:pPr>
              <w:tabs>
                <w:tab w:val="left" w:pos="3019"/>
                <w:tab w:val="left" w:pos="3444"/>
              </w:tabs>
              <w:rPr>
                <w:rFonts w:eastAsiaTheme="minorHAnsi"/>
                <w:sz w:val="22"/>
                <w:szCs w:val="22"/>
              </w:rPr>
            </w:pPr>
            <w:r w:rsidRPr="00307028">
              <w:rPr>
                <w:rFonts w:eastAsiaTheme="minorHAnsi"/>
                <w:sz w:val="22"/>
                <w:szCs w:val="22"/>
              </w:rPr>
              <w:t>Iepirkumu uzraudzības birojs</w:t>
            </w:r>
          </w:p>
        </w:tc>
      </w:tr>
      <w:tr w:rsidR="00DA0139" w:rsidRPr="00307028" w14:paraId="3E89722D" w14:textId="77777777" w:rsidTr="00DA0139">
        <w:trPr>
          <w:trHeight w:val="269"/>
        </w:trPr>
        <w:tc>
          <w:tcPr>
            <w:tcW w:w="1257" w:type="dxa"/>
            <w:shd w:val="clear" w:color="auto" w:fill="auto"/>
          </w:tcPr>
          <w:p w14:paraId="0A35643E"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IZM</w:t>
            </w:r>
          </w:p>
        </w:tc>
        <w:tc>
          <w:tcPr>
            <w:tcW w:w="9234" w:type="dxa"/>
            <w:shd w:val="clear" w:color="auto" w:fill="auto"/>
          </w:tcPr>
          <w:p w14:paraId="3D5344F6"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Izglītības un zinātnes ministrija</w:t>
            </w:r>
          </w:p>
        </w:tc>
      </w:tr>
      <w:tr w:rsidR="00C733F6" w:rsidRPr="00307028" w14:paraId="0D1C83B6" w14:textId="77777777" w:rsidTr="00DA0139">
        <w:trPr>
          <w:trHeight w:val="269"/>
        </w:trPr>
        <w:tc>
          <w:tcPr>
            <w:tcW w:w="1257" w:type="dxa"/>
            <w:shd w:val="clear" w:color="auto" w:fill="auto"/>
          </w:tcPr>
          <w:p w14:paraId="0BB1BB67" w14:textId="4586434A" w:rsidR="00C733F6" w:rsidRPr="00307028" w:rsidRDefault="00C733F6" w:rsidP="007F2948">
            <w:pPr>
              <w:tabs>
                <w:tab w:val="left" w:pos="1494"/>
              </w:tabs>
              <w:rPr>
                <w:rFonts w:eastAsiaTheme="minorHAnsi"/>
                <w:sz w:val="22"/>
                <w:szCs w:val="22"/>
              </w:rPr>
            </w:pPr>
            <w:r w:rsidRPr="00307028">
              <w:rPr>
                <w:rFonts w:eastAsiaTheme="minorHAnsi"/>
                <w:sz w:val="22"/>
                <w:szCs w:val="22"/>
              </w:rPr>
              <w:t>KISC</w:t>
            </w:r>
          </w:p>
        </w:tc>
        <w:tc>
          <w:tcPr>
            <w:tcW w:w="9234" w:type="dxa"/>
            <w:shd w:val="clear" w:color="auto" w:fill="auto"/>
          </w:tcPr>
          <w:p w14:paraId="3C6F18F0" w14:textId="3FCAFD76" w:rsidR="00C733F6" w:rsidRPr="00307028" w:rsidRDefault="00C733F6" w:rsidP="00C733F6">
            <w:pPr>
              <w:rPr>
                <w:sz w:val="22"/>
                <w:szCs w:val="22"/>
              </w:rPr>
            </w:pPr>
            <w:r w:rsidRPr="00307028">
              <w:rPr>
                <w:sz w:val="22"/>
                <w:szCs w:val="22"/>
              </w:rPr>
              <w:t>Kultūras informācijas sistēmu centrs</w:t>
            </w:r>
          </w:p>
        </w:tc>
      </w:tr>
      <w:tr w:rsidR="00DA0139" w:rsidRPr="00307028" w14:paraId="7605DE7D" w14:textId="77777777" w:rsidTr="00DA0139">
        <w:trPr>
          <w:trHeight w:val="153"/>
        </w:trPr>
        <w:tc>
          <w:tcPr>
            <w:tcW w:w="1257" w:type="dxa"/>
            <w:shd w:val="clear" w:color="auto" w:fill="auto"/>
          </w:tcPr>
          <w:p w14:paraId="39EDF5E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KM</w:t>
            </w:r>
          </w:p>
        </w:tc>
        <w:tc>
          <w:tcPr>
            <w:tcW w:w="9234" w:type="dxa"/>
            <w:shd w:val="clear" w:color="auto" w:fill="auto"/>
          </w:tcPr>
          <w:p w14:paraId="78FF5251"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Kultūras ministrija</w:t>
            </w:r>
          </w:p>
        </w:tc>
      </w:tr>
      <w:tr w:rsidR="004253C6" w:rsidRPr="00307028" w14:paraId="05F751E8" w14:textId="77777777" w:rsidTr="00DA0139">
        <w:trPr>
          <w:trHeight w:val="153"/>
        </w:trPr>
        <w:tc>
          <w:tcPr>
            <w:tcW w:w="1257" w:type="dxa"/>
            <w:shd w:val="clear" w:color="auto" w:fill="auto"/>
          </w:tcPr>
          <w:p w14:paraId="190DF677" w14:textId="69E475A3" w:rsidR="004253C6" w:rsidRPr="00307028" w:rsidRDefault="004253C6" w:rsidP="007F2948">
            <w:pPr>
              <w:tabs>
                <w:tab w:val="left" w:pos="1494"/>
              </w:tabs>
              <w:rPr>
                <w:rFonts w:eastAsiaTheme="minorHAnsi"/>
                <w:sz w:val="22"/>
                <w:szCs w:val="22"/>
              </w:rPr>
            </w:pPr>
            <w:r w:rsidRPr="00307028">
              <w:rPr>
                <w:rFonts w:eastAsiaTheme="minorHAnsi"/>
                <w:sz w:val="22"/>
                <w:szCs w:val="22"/>
              </w:rPr>
              <w:t>KNAB</w:t>
            </w:r>
          </w:p>
        </w:tc>
        <w:tc>
          <w:tcPr>
            <w:tcW w:w="9234" w:type="dxa"/>
            <w:shd w:val="clear" w:color="auto" w:fill="auto"/>
          </w:tcPr>
          <w:p w14:paraId="47B50115" w14:textId="7F404A3B" w:rsidR="004253C6" w:rsidRPr="00307028" w:rsidRDefault="004253C6" w:rsidP="007F2948">
            <w:pPr>
              <w:tabs>
                <w:tab w:val="left" w:pos="3019"/>
                <w:tab w:val="left" w:pos="3444"/>
              </w:tabs>
              <w:rPr>
                <w:rFonts w:eastAsiaTheme="minorHAnsi"/>
                <w:sz w:val="22"/>
                <w:szCs w:val="22"/>
              </w:rPr>
            </w:pPr>
            <w:r w:rsidRPr="00307028">
              <w:rPr>
                <w:rFonts w:eastAsiaTheme="minorHAnsi"/>
                <w:sz w:val="22"/>
                <w:szCs w:val="22"/>
              </w:rPr>
              <w:t>Korupcijas novēršanas un apkarošanas birojs</w:t>
            </w:r>
          </w:p>
        </w:tc>
      </w:tr>
      <w:tr w:rsidR="00DA0139" w:rsidRPr="00307028" w14:paraId="0F86251B" w14:textId="77777777" w:rsidTr="00DA0139">
        <w:trPr>
          <w:trHeight w:val="119"/>
        </w:trPr>
        <w:tc>
          <w:tcPr>
            <w:tcW w:w="1257" w:type="dxa"/>
            <w:shd w:val="clear" w:color="auto" w:fill="auto"/>
          </w:tcPr>
          <w:p w14:paraId="49058B87" w14:textId="7BD02F11" w:rsidR="00DA0139" w:rsidRPr="00307028" w:rsidRDefault="00DA0139" w:rsidP="007F2948">
            <w:pPr>
              <w:tabs>
                <w:tab w:val="left" w:pos="1494"/>
              </w:tabs>
              <w:rPr>
                <w:rFonts w:eastAsiaTheme="minorHAnsi"/>
                <w:sz w:val="22"/>
                <w:szCs w:val="22"/>
              </w:rPr>
            </w:pPr>
            <w:r w:rsidRPr="00307028">
              <w:rPr>
                <w:rFonts w:eastAsiaTheme="minorHAnsi"/>
                <w:sz w:val="22"/>
                <w:szCs w:val="22"/>
              </w:rPr>
              <w:t>LAD</w:t>
            </w:r>
          </w:p>
        </w:tc>
        <w:tc>
          <w:tcPr>
            <w:tcW w:w="9234" w:type="dxa"/>
            <w:shd w:val="clear" w:color="auto" w:fill="auto"/>
          </w:tcPr>
          <w:p w14:paraId="02D06382" w14:textId="7CAA9F60"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Lauku atbalsta dienests</w:t>
            </w:r>
          </w:p>
        </w:tc>
      </w:tr>
      <w:tr w:rsidR="00ED29CC" w:rsidRPr="00307028" w14:paraId="42D15CEF" w14:textId="77777777" w:rsidTr="00DA0139">
        <w:trPr>
          <w:trHeight w:val="119"/>
        </w:trPr>
        <w:tc>
          <w:tcPr>
            <w:tcW w:w="1257" w:type="dxa"/>
            <w:shd w:val="clear" w:color="auto" w:fill="auto"/>
          </w:tcPr>
          <w:p w14:paraId="28A6DE78" w14:textId="0DCDA8AF" w:rsidR="00ED29CC" w:rsidRPr="00307028" w:rsidRDefault="00ED29CC" w:rsidP="007F2948">
            <w:pPr>
              <w:tabs>
                <w:tab w:val="left" w:pos="1494"/>
              </w:tabs>
              <w:rPr>
                <w:rFonts w:eastAsiaTheme="minorHAnsi"/>
                <w:sz w:val="22"/>
                <w:szCs w:val="22"/>
              </w:rPr>
            </w:pPr>
            <w:r w:rsidRPr="00307028">
              <w:rPr>
                <w:rFonts w:eastAsiaTheme="minorHAnsi"/>
                <w:sz w:val="22"/>
                <w:szCs w:val="22"/>
              </w:rPr>
              <w:t>LB</w:t>
            </w:r>
          </w:p>
        </w:tc>
        <w:tc>
          <w:tcPr>
            <w:tcW w:w="9234" w:type="dxa"/>
            <w:shd w:val="clear" w:color="auto" w:fill="auto"/>
          </w:tcPr>
          <w:p w14:paraId="24B159DE" w14:textId="5660BB96" w:rsidR="00ED29CC" w:rsidRPr="00307028" w:rsidRDefault="00ED29CC" w:rsidP="007F2948">
            <w:pPr>
              <w:tabs>
                <w:tab w:val="left" w:pos="3019"/>
                <w:tab w:val="left" w:pos="3444"/>
              </w:tabs>
              <w:rPr>
                <w:rFonts w:eastAsiaTheme="minorHAnsi"/>
                <w:sz w:val="22"/>
                <w:szCs w:val="22"/>
              </w:rPr>
            </w:pPr>
            <w:r w:rsidRPr="00307028">
              <w:rPr>
                <w:rFonts w:eastAsiaTheme="minorHAnsi"/>
                <w:sz w:val="22"/>
                <w:szCs w:val="22"/>
              </w:rPr>
              <w:t>Latvijas Banka</w:t>
            </w:r>
          </w:p>
        </w:tc>
      </w:tr>
      <w:tr w:rsidR="00DA0139" w:rsidRPr="00307028" w14:paraId="5DAC8ECA" w14:textId="77777777" w:rsidTr="00DA0139">
        <w:trPr>
          <w:trHeight w:val="219"/>
        </w:trPr>
        <w:tc>
          <w:tcPr>
            <w:tcW w:w="1257" w:type="dxa"/>
            <w:shd w:val="clear" w:color="auto" w:fill="auto"/>
          </w:tcPr>
          <w:p w14:paraId="284A3D1A"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LBFV</w:t>
            </w:r>
          </w:p>
        </w:tc>
        <w:tc>
          <w:tcPr>
            <w:tcW w:w="9234" w:type="dxa"/>
            <w:shd w:val="clear" w:color="auto" w:fill="auto"/>
          </w:tcPr>
          <w:p w14:paraId="4316D314"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Likums par budžetu un finanšu vadību</w:t>
            </w:r>
          </w:p>
        </w:tc>
      </w:tr>
      <w:tr w:rsidR="00DA0139" w:rsidRPr="00307028" w14:paraId="4F4F3BDE" w14:textId="77777777" w:rsidTr="00DA0139">
        <w:trPr>
          <w:trHeight w:val="219"/>
        </w:trPr>
        <w:tc>
          <w:tcPr>
            <w:tcW w:w="1257" w:type="dxa"/>
            <w:shd w:val="clear" w:color="auto" w:fill="auto"/>
          </w:tcPr>
          <w:p w14:paraId="3FEEC422"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LDC</w:t>
            </w:r>
          </w:p>
        </w:tc>
        <w:tc>
          <w:tcPr>
            <w:tcW w:w="9234" w:type="dxa"/>
            <w:shd w:val="clear" w:color="auto" w:fill="auto"/>
          </w:tcPr>
          <w:p w14:paraId="45E723A5"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Lauksaimniecības datu centrs</w:t>
            </w:r>
          </w:p>
        </w:tc>
      </w:tr>
      <w:tr w:rsidR="00DA0139" w:rsidRPr="00307028" w14:paraId="641A770A" w14:textId="77777777" w:rsidTr="00DA0139">
        <w:trPr>
          <w:trHeight w:val="284"/>
        </w:trPr>
        <w:tc>
          <w:tcPr>
            <w:tcW w:w="1257" w:type="dxa"/>
            <w:shd w:val="clear" w:color="auto" w:fill="auto"/>
          </w:tcPr>
          <w:p w14:paraId="1D1F698D"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LM</w:t>
            </w:r>
          </w:p>
        </w:tc>
        <w:tc>
          <w:tcPr>
            <w:tcW w:w="9234" w:type="dxa"/>
            <w:shd w:val="clear" w:color="auto" w:fill="auto"/>
          </w:tcPr>
          <w:p w14:paraId="59210DC7"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Labklājības ministrija</w:t>
            </w:r>
          </w:p>
        </w:tc>
      </w:tr>
      <w:tr w:rsidR="00DA0139" w:rsidRPr="00307028" w14:paraId="70F8A5B9" w14:textId="77777777" w:rsidTr="00DA0139">
        <w:trPr>
          <w:trHeight w:val="284"/>
        </w:trPr>
        <w:tc>
          <w:tcPr>
            <w:tcW w:w="1257" w:type="dxa"/>
            <w:shd w:val="clear" w:color="auto" w:fill="auto"/>
          </w:tcPr>
          <w:p w14:paraId="66559C1D"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LNA</w:t>
            </w:r>
          </w:p>
        </w:tc>
        <w:tc>
          <w:tcPr>
            <w:tcW w:w="9234" w:type="dxa"/>
            <w:shd w:val="clear" w:color="auto" w:fill="auto"/>
          </w:tcPr>
          <w:p w14:paraId="7D52EA6F"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Latvijas Nacionālais arhīvs</w:t>
            </w:r>
          </w:p>
        </w:tc>
      </w:tr>
      <w:tr w:rsidR="004253C6" w:rsidRPr="00307028" w14:paraId="0BBA3B10" w14:textId="77777777" w:rsidTr="00DA0139">
        <w:trPr>
          <w:trHeight w:val="284"/>
        </w:trPr>
        <w:tc>
          <w:tcPr>
            <w:tcW w:w="1257" w:type="dxa"/>
            <w:shd w:val="clear" w:color="auto" w:fill="auto"/>
          </w:tcPr>
          <w:p w14:paraId="1183EDA7" w14:textId="718AFCB6" w:rsidR="004253C6" w:rsidRPr="00307028" w:rsidRDefault="004253C6" w:rsidP="007F2948">
            <w:pPr>
              <w:tabs>
                <w:tab w:val="left" w:pos="1494"/>
              </w:tabs>
              <w:rPr>
                <w:rFonts w:eastAsiaTheme="minorHAnsi"/>
                <w:sz w:val="22"/>
                <w:szCs w:val="22"/>
              </w:rPr>
            </w:pPr>
            <w:r w:rsidRPr="00307028">
              <w:rPr>
                <w:rFonts w:eastAsiaTheme="minorHAnsi"/>
                <w:sz w:val="22"/>
                <w:szCs w:val="22"/>
              </w:rPr>
              <w:t>LNBD</w:t>
            </w:r>
          </w:p>
        </w:tc>
        <w:tc>
          <w:tcPr>
            <w:tcW w:w="9234" w:type="dxa"/>
            <w:shd w:val="clear" w:color="auto" w:fill="auto"/>
          </w:tcPr>
          <w:p w14:paraId="0D40D864" w14:textId="6BC78C95" w:rsidR="004253C6" w:rsidRPr="00307028" w:rsidRDefault="004253C6" w:rsidP="007F2948">
            <w:pPr>
              <w:tabs>
                <w:tab w:val="left" w:pos="3019"/>
                <w:tab w:val="left" w:pos="3444"/>
              </w:tabs>
              <w:rPr>
                <w:rFonts w:eastAsiaTheme="minorHAnsi"/>
                <w:sz w:val="22"/>
                <w:szCs w:val="22"/>
              </w:rPr>
            </w:pPr>
            <w:r w:rsidRPr="00307028">
              <w:rPr>
                <w:rFonts w:eastAsiaTheme="minorHAnsi"/>
                <w:sz w:val="22"/>
                <w:szCs w:val="22"/>
              </w:rPr>
              <w:t>Latvijas Nacionālais botāniskais dārzs</w:t>
            </w:r>
          </w:p>
        </w:tc>
      </w:tr>
      <w:tr w:rsidR="00DA0139" w:rsidRPr="00307028" w14:paraId="483EE62D" w14:textId="77777777" w:rsidTr="00DA0139">
        <w:trPr>
          <w:trHeight w:val="284"/>
        </w:trPr>
        <w:tc>
          <w:tcPr>
            <w:tcW w:w="1257" w:type="dxa"/>
            <w:shd w:val="clear" w:color="auto" w:fill="auto"/>
          </w:tcPr>
          <w:p w14:paraId="3D8521E9"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LNKC</w:t>
            </w:r>
          </w:p>
        </w:tc>
        <w:tc>
          <w:tcPr>
            <w:tcW w:w="9234" w:type="dxa"/>
            <w:shd w:val="clear" w:color="auto" w:fill="auto"/>
          </w:tcPr>
          <w:p w14:paraId="3772C010" w14:textId="77777777" w:rsidR="00DA0139" w:rsidRPr="00307028" w:rsidRDefault="00DA0139" w:rsidP="007F2948">
            <w:pPr>
              <w:tabs>
                <w:tab w:val="left" w:pos="3019"/>
                <w:tab w:val="left" w:pos="3444"/>
              </w:tabs>
              <w:rPr>
                <w:rFonts w:eastAsiaTheme="minorHAnsi"/>
                <w:sz w:val="22"/>
                <w:szCs w:val="22"/>
              </w:rPr>
            </w:pPr>
            <w:r w:rsidRPr="00307028">
              <w:rPr>
                <w:sz w:val="22"/>
                <w:szCs w:val="22"/>
              </w:rPr>
              <w:t>Latvijas Nacionālais kultūras centrs</w:t>
            </w:r>
          </w:p>
        </w:tc>
      </w:tr>
      <w:tr w:rsidR="001A5C83" w:rsidRPr="00307028" w14:paraId="262B2FD7" w14:textId="77777777" w:rsidTr="00DA0139">
        <w:trPr>
          <w:trHeight w:val="284"/>
        </w:trPr>
        <w:tc>
          <w:tcPr>
            <w:tcW w:w="1257" w:type="dxa"/>
            <w:shd w:val="clear" w:color="auto" w:fill="auto"/>
          </w:tcPr>
          <w:p w14:paraId="5419A4DE" w14:textId="782041E4" w:rsidR="001A5C83" w:rsidRPr="00307028" w:rsidRDefault="001A5C83" w:rsidP="007F2948">
            <w:pPr>
              <w:tabs>
                <w:tab w:val="left" w:pos="1494"/>
              </w:tabs>
              <w:rPr>
                <w:rFonts w:eastAsiaTheme="minorHAnsi"/>
                <w:sz w:val="22"/>
                <w:szCs w:val="22"/>
              </w:rPr>
            </w:pPr>
            <w:r w:rsidRPr="00307028">
              <w:rPr>
                <w:rFonts w:eastAsiaTheme="minorHAnsi"/>
                <w:sz w:val="22"/>
                <w:szCs w:val="22"/>
              </w:rPr>
              <w:t>LNMM</w:t>
            </w:r>
          </w:p>
        </w:tc>
        <w:tc>
          <w:tcPr>
            <w:tcW w:w="9234" w:type="dxa"/>
            <w:shd w:val="clear" w:color="auto" w:fill="auto"/>
          </w:tcPr>
          <w:p w14:paraId="76D6B6AE" w14:textId="3E6BD8E7" w:rsidR="001A5C83" w:rsidRPr="00307028" w:rsidRDefault="002D0816" w:rsidP="007F2948">
            <w:pPr>
              <w:tabs>
                <w:tab w:val="left" w:pos="3019"/>
                <w:tab w:val="left" w:pos="3444"/>
              </w:tabs>
              <w:rPr>
                <w:sz w:val="22"/>
                <w:szCs w:val="22"/>
              </w:rPr>
            </w:pPr>
            <w:r w:rsidRPr="00307028">
              <w:rPr>
                <w:sz w:val="22"/>
                <w:szCs w:val="22"/>
              </w:rPr>
              <w:t>Latvijas Nacionālais mākslas muzejs</w:t>
            </w:r>
          </w:p>
        </w:tc>
      </w:tr>
      <w:tr w:rsidR="00831E7E" w:rsidRPr="00307028" w14:paraId="38A53BDA" w14:textId="77777777" w:rsidTr="00DA0139">
        <w:trPr>
          <w:trHeight w:val="284"/>
        </w:trPr>
        <w:tc>
          <w:tcPr>
            <w:tcW w:w="1257" w:type="dxa"/>
            <w:shd w:val="clear" w:color="auto" w:fill="auto"/>
          </w:tcPr>
          <w:p w14:paraId="388DA3C0" w14:textId="6F3F6C5C" w:rsidR="00831E7E" w:rsidRPr="00307028" w:rsidRDefault="00831E7E" w:rsidP="007F2948">
            <w:pPr>
              <w:tabs>
                <w:tab w:val="left" w:pos="1494"/>
              </w:tabs>
              <w:rPr>
                <w:rFonts w:eastAsiaTheme="minorHAnsi"/>
                <w:sz w:val="22"/>
                <w:szCs w:val="22"/>
              </w:rPr>
            </w:pPr>
            <w:r w:rsidRPr="00307028">
              <w:rPr>
                <w:rFonts w:eastAsiaTheme="minorHAnsi"/>
                <w:sz w:val="22"/>
                <w:szCs w:val="22"/>
              </w:rPr>
              <w:t>LOK</w:t>
            </w:r>
          </w:p>
        </w:tc>
        <w:tc>
          <w:tcPr>
            <w:tcW w:w="9234" w:type="dxa"/>
            <w:shd w:val="clear" w:color="auto" w:fill="auto"/>
          </w:tcPr>
          <w:p w14:paraId="2CCFBD7D" w14:textId="26162FE0" w:rsidR="00831E7E" w:rsidRPr="00307028" w:rsidRDefault="00831E7E" w:rsidP="007F2948">
            <w:pPr>
              <w:tabs>
                <w:tab w:val="left" w:pos="3019"/>
                <w:tab w:val="left" w:pos="3444"/>
              </w:tabs>
              <w:rPr>
                <w:sz w:val="22"/>
                <w:szCs w:val="22"/>
              </w:rPr>
            </w:pPr>
            <w:r w:rsidRPr="00307028">
              <w:rPr>
                <w:sz w:val="22"/>
                <w:szCs w:val="22"/>
              </w:rPr>
              <w:t>Latvijas Olimpiskā komiteja</w:t>
            </w:r>
          </w:p>
        </w:tc>
      </w:tr>
      <w:tr w:rsidR="0055158C" w:rsidRPr="00307028" w14:paraId="6075E9D9" w14:textId="77777777" w:rsidTr="00DA0139">
        <w:trPr>
          <w:trHeight w:val="284"/>
        </w:trPr>
        <w:tc>
          <w:tcPr>
            <w:tcW w:w="1257" w:type="dxa"/>
            <w:shd w:val="clear" w:color="auto" w:fill="auto"/>
          </w:tcPr>
          <w:p w14:paraId="45B4F1AE" w14:textId="5A732985" w:rsidR="0055158C" w:rsidRPr="00307028" w:rsidRDefault="0055158C" w:rsidP="007F2948">
            <w:pPr>
              <w:tabs>
                <w:tab w:val="left" w:pos="1494"/>
              </w:tabs>
              <w:rPr>
                <w:rFonts w:eastAsiaTheme="minorHAnsi"/>
                <w:sz w:val="22"/>
                <w:szCs w:val="22"/>
              </w:rPr>
            </w:pPr>
            <w:r w:rsidRPr="00307028">
              <w:rPr>
                <w:rFonts w:eastAsiaTheme="minorHAnsi"/>
                <w:sz w:val="22"/>
                <w:szCs w:val="22"/>
              </w:rPr>
              <w:t>LR</w:t>
            </w:r>
          </w:p>
        </w:tc>
        <w:tc>
          <w:tcPr>
            <w:tcW w:w="9234" w:type="dxa"/>
            <w:shd w:val="clear" w:color="auto" w:fill="auto"/>
          </w:tcPr>
          <w:p w14:paraId="49A88151" w14:textId="20D8C40E" w:rsidR="0055158C" w:rsidRPr="00307028" w:rsidRDefault="0055158C" w:rsidP="007F2948">
            <w:pPr>
              <w:tabs>
                <w:tab w:val="left" w:pos="3019"/>
                <w:tab w:val="left" w:pos="3444"/>
              </w:tabs>
              <w:rPr>
                <w:sz w:val="22"/>
                <w:szCs w:val="22"/>
              </w:rPr>
            </w:pPr>
            <w:r w:rsidRPr="00307028">
              <w:rPr>
                <w:sz w:val="22"/>
                <w:szCs w:val="22"/>
              </w:rPr>
              <w:t>Latvijas Republika</w:t>
            </w:r>
          </w:p>
        </w:tc>
      </w:tr>
      <w:tr w:rsidR="004253C6" w:rsidRPr="00307028" w14:paraId="1C0617BF" w14:textId="77777777" w:rsidTr="00DA0139">
        <w:trPr>
          <w:trHeight w:val="284"/>
        </w:trPr>
        <w:tc>
          <w:tcPr>
            <w:tcW w:w="1257" w:type="dxa"/>
            <w:shd w:val="clear" w:color="auto" w:fill="auto"/>
          </w:tcPr>
          <w:p w14:paraId="22B28E92" w14:textId="0FF41867" w:rsidR="004253C6" w:rsidRPr="00307028" w:rsidRDefault="004253C6" w:rsidP="007F2948">
            <w:pPr>
              <w:tabs>
                <w:tab w:val="left" w:pos="1494"/>
              </w:tabs>
              <w:rPr>
                <w:rFonts w:eastAsiaTheme="minorHAnsi"/>
                <w:sz w:val="22"/>
                <w:szCs w:val="22"/>
              </w:rPr>
            </w:pPr>
            <w:r w:rsidRPr="00307028">
              <w:rPr>
                <w:rFonts w:eastAsiaTheme="minorHAnsi"/>
                <w:sz w:val="22"/>
                <w:szCs w:val="22"/>
              </w:rPr>
              <w:t>LVAF</w:t>
            </w:r>
          </w:p>
        </w:tc>
        <w:tc>
          <w:tcPr>
            <w:tcW w:w="9234" w:type="dxa"/>
            <w:shd w:val="clear" w:color="auto" w:fill="auto"/>
          </w:tcPr>
          <w:p w14:paraId="37142CC3" w14:textId="0EA4DBD3" w:rsidR="004253C6" w:rsidRPr="00307028" w:rsidRDefault="004253C6" w:rsidP="007F2948">
            <w:pPr>
              <w:tabs>
                <w:tab w:val="left" w:pos="3019"/>
                <w:tab w:val="left" w:pos="3444"/>
              </w:tabs>
              <w:rPr>
                <w:rFonts w:eastAsiaTheme="minorHAnsi"/>
                <w:sz w:val="22"/>
                <w:szCs w:val="22"/>
              </w:rPr>
            </w:pPr>
            <w:r w:rsidRPr="00307028">
              <w:rPr>
                <w:rFonts w:eastAsiaTheme="minorHAnsi"/>
                <w:sz w:val="22"/>
                <w:szCs w:val="22"/>
              </w:rPr>
              <w:t>Latvijas vides aizsardzības fonds</w:t>
            </w:r>
          </w:p>
        </w:tc>
      </w:tr>
      <w:tr w:rsidR="00DA0139" w:rsidRPr="00307028" w14:paraId="252DBF95" w14:textId="77777777" w:rsidTr="00DA0139">
        <w:trPr>
          <w:trHeight w:val="284"/>
        </w:trPr>
        <w:tc>
          <w:tcPr>
            <w:tcW w:w="1257" w:type="dxa"/>
            <w:shd w:val="clear" w:color="auto" w:fill="auto"/>
          </w:tcPr>
          <w:p w14:paraId="19AE054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LVRTC</w:t>
            </w:r>
          </w:p>
        </w:tc>
        <w:tc>
          <w:tcPr>
            <w:tcW w:w="9234" w:type="dxa"/>
            <w:shd w:val="clear" w:color="auto" w:fill="auto"/>
          </w:tcPr>
          <w:p w14:paraId="440C4131"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VAS “Latvijas Valsts radio un televīzijas centrs”</w:t>
            </w:r>
          </w:p>
        </w:tc>
      </w:tr>
      <w:tr w:rsidR="00DA0139" w:rsidRPr="00307028" w14:paraId="43C36C0C" w14:textId="77777777" w:rsidTr="00DA0139">
        <w:trPr>
          <w:trHeight w:val="284"/>
        </w:trPr>
        <w:tc>
          <w:tcPr>
            <w:tcW w:w="1257" w:type="dxa"/>
            <w:shd w:val="clear" w:color="auto" w:fill="auto"/>
          </w:tcPr>
          <w:p w14:paraId="671B753E"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LZP</w:t>
            </w:r>
          </w:p>
        </w:tc>
        <w:tc>
          <w:tcPr>
            <w:tcW w:w="9234" w:type="dxa"/>
            <w:shd w:val="clear" w:color="auto" w:fill="auto"/>
          </w:tcPr>
          <w:p w14:paraId="236DBB9E"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Latvijas Zinātnes padome</w:t>
            </w:r>
          </w:p>
        </w:tc>
      </w:tr>
      <w:tr w:rsidR="00DA0139" w:rsidRPr="00307028" w14:paraId="6D1A9736" w14:textId="77777777" w:rsidTr="00DA0139">
        <w:trPr>
          <w:trHeight w:val="284"/>
        </w:trPr>
        <w:tc>
          <w:tcPr>
            <w:tcW w:w="1257" w:type="dxa"/>
            <w:shd w:val="clear" w:color="auto" w:fill="auto"/>
          </w:tcPr>
          <w:p w14:paraId="3B14E56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Ministrijas</w:t>
            </w:r>
          </w:p>
        </w:tc>
        <w:tc>
          <w:tcPr>
            <w:tcW w:w="9234" w:type="dxa"/>
            <w:shd w:val="clear" w:color="auto" w:fill="auto"/>
          </w:tcPr>
          <w:p w14:paraId="2BB22AA4"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Ministrijas un citas centrālās valsts iestādes</w:t>
            </w:r>
          </w:p>
        </w:tc>
      </w:tr>
      <w:tr w:rsidR="00DA0139" w:rsidRPr="00307028" w14:paraId="40A8EF11" w14:textId="77777777" w:rsidTr="00DA0139">
        <w:trPr>
          <w:trHeight w:val="284"/>
        </w:trPr>
        <w:tc>
          <w:tcPr>
            <w:tcW w:w="1257" w:type="dxa"/>
            <w:shd w:val="clear" w:color="auto" w:fill="auto"/>
          </w:tcPr>
          <w:p w14:paraId="3027F75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MK</w:t>
            </w:r>
          </w:p>
        </w:tc>
        <w:tc>
          <w:tcPr>
            <w:tcW w:w="9234" w:type="dxa"/>
            <w:shd w:val="clear" w:color="auto" w:fill="auto"/>
          </w:tcPr>
          <w:p w14:paraId="0847AC48"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Ministru kabinets</w:t>
            </w:r>
          </w:p>
        </w:tc>
      </w:tr>
      <w:tr w:rsidR="00DA0139" w:rsidRPr="00307028" w14:paraId="23FE7F2D" w14:textId="77777777" w:rsidTr="00DA0139">
        <w:trPr>
          <w:trHeight w:val="284"/>
        </w:trPr>
        <w:tc>
          <w:tcPr>
            <w:tcW w:w="1257" w:type="dxa"/>
            <w:shd w:val="clear" w:color="auto" w:fill="auto"/>
          </w:tcPr>
          <w:p w14:paraId="2BE83FC3"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NBS</w:t>
            </w:r>
          </w:p>
        </w:tc>
        <w:tc>
          <w:tcPr>
            <w:tcW w:w="9234" w:type="dxa"/>
            <w:shd w:val="clear" w:color="auto" w:fill="auto"/>
          </w:tcPr>
          <w:p w14:paraId="07E2D47D"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Nacionālie bruņotie spēki</w:t>
            </w:r>
          </w:p>
        </w:tc>
      </w:tr>
      <w:tr w:rsidR="00DA0139" w:rsidRPr="00307028" w14:paraId="45E3335D" w14:textId="77777777" w:rsidTr="00DA0139">
        <w:trPr>
          <w:trHeight w:val="284"/>
        </w:trPr>
        <w:tc>
          <w:tcPr>
            <w:tcW w:w="1257" w:type="dxa"/>
            <w:shd w:val="clear" w:color="auto" w:fill="auto"/>
          </w:tcPr>
          <w:p w14:paraId="7561AAED" w14:textId="77777777" w:rsidR="00DA0139" w:rsidRPr="00307028" w:rsidRDefault="00DA0139" w:rsidP="007F2948">
            <w:pPr>
              <w:tabs>
                <w:tab w:val="left" w:pos="1494"/>
              </w:tabs>
              <w:rPr>
                <w:rFonts w:eastAsiaTheme="minorHAnsi"/>
                <w:sz w:val="22"/>
                <w:szCs w:val="22"/>
              </w:rPr>
            </w:pPr>
            <w:r w:rsidRPr="00307028">
              <w:rPr>
                <w:rFonts w:eastAsia="Times New Roman"/>
                <w:color w:val="000000"/>
                <w:sz w:val="22"/>
                <w:szCs w:val="22"/>
                <w:lang w:eastAsia="lv-LV"/>
              </w:rPr>
              <w:lastRenderedPageBreak/>
              <w:t>NEPLP</w:t>
            </w:r>
          </w:p>
        </w:tc>
        <w:tc>
          <w:tcPr>
            <w:tcW w:w="9234" w:type="dxa"/>
            <w:shd w:val="clear" w:color="auto" w:fill="auto"/>
          </w:tcPr>
          <w:p w14:paraId="3EE72E2C" w14:textId="77777777" w:rsidR="00DA0139" w:rsidRPr="00307028" w:rsidRDefault="00DA0139" w:rsidP="007F2948">
            <w:pPr>
              <w:tabs>
                <w:tab w:val="left" w:pos="3019"/>
                <w:tab w:val="left" w:pos="3444"/>
              </w:tabs>
              <w:rPr>
                <w:rFonts w:eastAsiaTheme="minorHAnsi"/>
                <w:sz w:val="22"/>
                <w:szCs w:val="22"/>
              </w:rPr>
            </w:pPr>
            <w:r w:rsidRPr="00307028">
              <w:rPr>
                <w:rFonts w:eastAsiaTheme="minorHAnsi"/>
                <w:sz w:val="22"/>
                <w:szCs w:val="22"/>
              </w:rPr>
              <w:t>Nacionālā elektronisko plašsaziņas līdzekļu padome</w:t>
            </w:r>
          </w:p>
        </w:tc>
      </w:tr>
      <w:tr w:rsidR="00DA0139" w:rsidRPr="00307028" w14:paraId="6E77F3A3" w14:textId="77777777" w:rsidTr="00DA0139">
        <w:trPr>
          <w:trHeight w:val="284"/>
        </w:trPr>
        <w:tc>
          <w:tcPr>
            <w:tcW w:w="1257" w:type="dxa"/>
            <w:shd w:val="clear" w:color="auto" w:fill="auto"/>
          </w:tcPr>
          <w:p w14:paraId="3C6F45C9" w14:textId="77777777" w:rsidR="00DA0139" w:rsidRPr="00307028" w:rsidRDefault="00DA0139" w:rsidP="007F2948">
            <w:pPr>
              <w:tabs>
                <w:tab w:val="left" w:pos="1494"/>
              </w:tabs>
              <w:rPr>
                <w:rFonts w:eastAsia="Times New Roman"/>
                <w:color w:val="000000"/>
                <w:sz w:val="22"/>
                <w:szCs w:val="22"/>
                <w:lang w:eastAsia="lv-LV"/>
              </w:rPr>
            </w:pPr>
            <w:r w:rsidRPr="00307028">
              <w:rPr>
                <w:rFonts w:eastAsia="Times New Roman"/>
                <w:color w:val="000000"/>
                <w:sz w:val="22"/>
                <w:szCs w:val="22"/>
                <w:lang w:eastAsia="lv-LV"/>
              </w:rPr>
              <w:t>NMPD</w:t>
            </w:r>
          </w:p>
        </w:tc>
        <w:tc>
          <w:tcPr>
            <w:tcW w:w="9234" w:type="dxa"/>
            <w:shd w:val="clear" w:color="auto" w:fill="auto"/>
          </w:tcPr>
          <w:p w14:paraId="13D506F0"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Neatliekamās medicīniskās palīdzības dienests</w:t>
            </w:r>
          </w:p>
        </w:tc>
      </w:tr>
      <w:tr w:rsidR="00831E7E" w:rsidRPr="00307028" w14:paraId="5C173830" w14:textId="77777777" w:rsidTr="00DA0139">
        <w:trPr>
          <w:trHeight w:val="284"/>
        </w:trPr>
        <w:tc>
          <w:tcPr>
            <w:tcW w:w="1257" w:type="dxa"/>
            <w:shd w:val="clear" w:color="auto" w:fill="auto"/>
          </w:tcPr>
          <w:p w14:paraId="549D83F7" w14:textId="5F90DD17" w:rsidR="00831E7E" w:rsidRPr="00307028" w:rsidRDefault="00831E7E" w:rsidP="007F2948">
            <w:pPr>
              <w:tabs>
                <w:tab w:val="left" w:pos="1494"/>
              </w:tabs>
              <w:rPr>
                <w:rFonts w:eastAsia="Times New Roman"/>
                <w:color w:val="000000"/>
                <w:sz w:val="22"/>
                <w:szCs w:val="22"/>
                <w:lang w:eastAsia="lv-LV"/>
              </w:rPr>
            </w:pPr>
            <w:r w:rsidRPr="00307028">
              <w:rPr>
                <w:rFonts w:eastAsia="Times New Roman"/>
                <w:color w:val="000000"/>
                <w:sz w:val="22"/>
                <w:szCs w:val="22"/>
                <w:lang w:eastAsia="lv-LV"/>
              </w:rPr>
              <w:t>NMPP</w:t>
            </w:r>
          </w:p>
        </w:tc>
        <w:tc>
          <w:tcPr>
            <w:tcW w:w="9234" w:type="dxa"/>
            <w:shd w:val="clear" w:color="auto" w:fill="auto"/>
          </w:tcPr>
          <w:p w14:paraId="39DC8641" w14:textId="78D295F2" w:rsidR="00831E7E" w:rsidRPr="00307028" w:rsidRDefault="00831E7E" w:rsidP="007F2948">
            <w:pPr>
              <w:tabs>
                <w:tab w:val="left" w:pos="1494"/>
              </w:tabs>
              <w:rPr>
                <w:rFonts w:eastAsiaTheme="minorHAnsi"/>
                <w:sz w:val="22"/>
                <w:szCs w:val="22"/>
              </w:rPr>
            </w:pPr>
            <w:r w:rsidRPr="00307028">
              <w:rPr>
                <w:rFonts w:eastAsiaTheme="minorHAnsi"/>
                <w:sz w:val="22"/>
                <w:szCs w:val="22"/>
              </w:rPr>
              <w:t>Nodokļu un muitas policijas pārvalde</w:t>
            </w:r>
          </w:p>
        </w:tc>
      </w:tr>
      <w:tr w:rsidR="00DA0139" w:rsidRPr="00307028" w14:paraId="4F3DCFA8" w14:textId="77777777" w:rsidTr="00DA0139">
        <w:trPr>
          <w:trHeight w:val="284"/>
        </w:trPr>
        <w:tc>
          <w:tcPr>
            <w:tcW w:w="1257" w:type="dxa"/>
            <w:shd w:val="clear" w:color="auto" w:fill="auto"/>
          </w:tcPr>
          <w:p w14:paraId="0ACA94E0" w14:textId="77777777" w:rsidR="00DA0139" w:rsidRPr="00307028" w:rsidRDefault="00DA0139" w:rsidP="007F2948">
            <w:pPr>
              <w:tabs>
                <w:tab w:val="left" w:pos="1494"/>
              </w:tabs>
              <w:rPr>
                <w:rFonts w:eastAsia="Times New Roman"/>
                <w:color w:val="000000"/>
                <w:sz w:val="22"/>
                <w:szCs w:val="22"/>
                <w:lang w:eastAsia="lv-LV"/>
              </w:rPr>
            </w:pPr>
            <w:r w:rsidRPr="00307028">
              <w:rPr>
                <w:sz w:val="22"/>
                <w:szCs w:val="22"/>
              </w:rPr>
              <w:t>NVA</w:t>
            </w:r>
          </w:p>
        </w:tc>
        <w:tc>
          <w:tcPr>
            <w:tcW w:w="9234" w:type="dxa"/>
            <w:shd w:val="clear" w:color="auto" w:fill="auto"/>
          </w:tcPr>
          <w:p w14:paraId="18BE1524"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Nodarbinātības valsts aģentūra</w:t>
            </w:r>
          </w:p>
        </w:tc>
      </w:tr>
      <w:tr w:rsidR="00DA0139" w:rsidRPr="00307028" w14:paraId="00533732" w14:textId="77777777" w:rsidTr="00DA0139">
        <w:trPr>
          <w:trHeight w:val="269"/>
        </w:trPr>
        <w:tc>
          <w:tcPr>
            <w:tcW w:w="1257" w:type="dxa"/>
            <w:shd w:val="clear" w:color="auto" w:fill="auto"/>
          </w:tcPr>
          <w:p w14:paraId="1154481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NVD</w:t>
            </w:r>
          </w:p>
        </w:tc>
        <w:tc>
          <w:tcPr>
            <w:tcW w:w="9234" w:type="dxa"/>
            <w:shd w:val="clear" w:color="auto" w:fill="auto"/>
          </w:tcPr>
          <w:p w14:paraId="695F191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Nacionālais veselības dienests</w:t>
            </w:r>
          </w:p>
        </w:tc>
      </w:tr>
      <w:tr w:rsidR="000E5E0B" w:rsidRPr="00307028" w14:paraId="0CDBB821" w14:textId="77777777" w:rsidTr="00DA0139">
        <w:trPr>
          <w:trHeight w:val="269"/>
        </w:trPr>
        <w:tc>
          <w:tcPr>
            <w:tcW w:w="1257" w:type="dxa"/>
            <w:shd w:val="clear" w:color="auto" w:fill="auto"/>
          </w:tcPr>
          <w:p w14:paraId="2B33E949" w14:textId="7E5E0E11" w:rsidR="000E5E0B" w:rsidRPr="00307028" w:rsidRDefault="000E5E0B" w:rsidP="007F2948">
            <w:pPr>
              <w:tabs>
                <w:tab w:val="left" w:pos="1494"/>
              </w:tabs>
              <w:rPr>
                <w:rFonts w:eastAsiaTheme="minorHAnsi"/>
                <w:sz w:val="22"/>
                <w:szCs w:val="22"/>
              </w:rPr>
            </w:pPr>
            <w:r w:rsidRPr="00307028">
              <w:rPr>
                <w:rFonts w:eastAsiaTheme="minorHAnsi"/>
                <w:sz w:val="22"/>
                <w:szCs w:val="22"/>
              </w:rPr>
              <w:t>NVO</w:t>
            </w:r>
          </w:p>
        </w:tc>
        <w:tc>
          <w:tcPr>
            <w:tcW w:w="9234" w:type="dxa"/>
            <w:shd w:val="clear" w:color="auto" w:fill="auto"/>
          </w:tcPr>
          <w:p w14:paraId="01895703" w14:textId="0F0DF83D" w:rsidR="000E5E0B" w:rsidRPr="00307028" w:rsidRDefault="000E5E0B" w:rsidP="007F2948">
            <w:pPr>
              <w:tabs>
                <w:tab w:val="left" w:pos="1494"/>
              </w:tabs>
              <w:rPr>
                <w:rFonts w:eastAsiaTheme="minorHAnsi"/>
                <w:sz w:val="22"/>
                <w:szCs w:val="22"/>
              </w:rPr>
            </w:pPr>
            <w:r w:rsidRPr="00307028">
              <w:rPr>
                <w:rFonts w:eastAsiaTheme="minorHAnsi"/>
                <w:sz w:val="22"/>
                <w:szCs w:val="22"/>
              </w:rPr>
              <w:t>Nevalstiskā organizācija</w:t>
            </w:r>
          </w:p>
        </w:tc>
      </w:tr>
      <w:tr w:rsidR="00DA0139" w:rsidRPr="00307028" w14:paraId="734D030B" w14:textId="77777777" w:rsidTr="00DA0139">
        <w:trPr>
          <w:trHeight w:val="269"/>
        </w:trPr>
        <w:tc>
          <w:tcPr>
            <w:tcW w:w="1257" w:type="dxa"/>
            <w:shd w:val="clear" w:color="auto" w:fill="auto"/>
          </w:tcPr>
          <w:p w14:paraId="13791B7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OECD</w:t>
            </w:r>
          </w:p>
        </w:tc>
        <w:tc>
          <w:tcPr>
            <w:tcW w:w="9234" w:type="dxa"/>
            <w:shd w:val="clear" w:color="auto" w:fill="auto"/>
          </w:tcPr>
          <w:p w14:paraId="28201EDE"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Ekonomiskās sadarbības un attīstības organizācija</w:t>
            </w:r>
          </w:p>
        </w:tc>
      </w:tr>
      <w:tr w:rsidR="00DA0139" w:rsidRPr="00307028" w14:paraId="0D4B8CB0" w14:textId="77777777" w:rsidTr="00DA0139">
        <w:trPr>
          <w:trHeight w:val="269"/>
        </w:trPr>
        <w:tc>
          <w:tcPr>
            <w:tcW w:w="1257" w:type="dxa"/>
            <w:shd w:val="clear" w:color="auto" w:fill="auto"/>
          </w:tcPr>
          <w:p w14:paraId="6C7AAB96" w14:textId="57C64D02" w:rsidR="00DA0139" w:rsidRPr="00307028" w:rsidRDefault="00DA0139" w:rsidP="007F2948">
            <w:pPr>
              <w:tabs>
                <w:tab w:val="left" w:pos="1494"/>
              </w:tabs>
              <w:rPr>
                <w:rFonts w:eastAsiaTheme="minorHAnsi"/>
                <w:sz w:val="22"/>
                <w:szCs w:val="22"/>
              </w:rPr>
            </w:pPr>
            <w:r w:rsidRPr="00307028">
              <w:rPr>
                <w:rFonts w:eastAsiaTheme="minorHAnsi"/>
                <w:sz w:val="22"/>
                <w:szCs w:val="22"/>
              </w:rPr>
              <w:t>PML</w:t>
            </w:r>
            <w:r w:rsidR="00DC6891" w:rsidRPr="00307028">
              <w:rPr>
                <w:rFonts w:eastAsiaTheme="minorHAnsi"/>
                <w:sz w:val="22"/>
                <w:szCs w:val="22"/>
              </w:rPr>
              <w:t>P</w:t>
            </w:r>
          </w:p>
        </w:tc>
        <w:tc>
          <w:tcPr>
            <w:tcW w:w="9234" w:type="dxa"/>
            <w:shd w:val="clear" w:color="auto" w:fill="auto"/>
          </w:tcPr>
          <w:p w14:paraId="39159D97"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Pilsonības un migrācijas lietu pārvalde</w:t>
            </w:r>
          </w:p>
        </w:tc>
      </w:tr>
      <w:tr w:rsidR="00DA0139" w:rsidRPr="00307028" w14:paraId="0705766A" w14:textId="77777777" w:rsidTr="00DA0139">
        <w:trPr>
          <w:trHeight w:val="269"/>
        </w:trPr>
        <w:tc>
          <w:tcPr>
            <w:tcW w:w="1257" w:type="dxa"/>
            <w:shd w:val="clear" w:color="auto" w:fill="auto"/>
          </w:tcPr>
          <w:p w14:paraId="266105D2"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PP</w:t>
            </w:r>
          </w:p>
        </w:tc>
        <w:tc>
          <w:tcPr>
            <w:tcW w:w="9234" w:type="dxa"/>
            <w:shd w:val="clear" w:color="auto" w:fill="auto"/>
          </w:tcPr>
          <w:p w14:paraId="73290082"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Prioritārais pasākums</w:t>
            </w:r>
          </w:p>
        </w:tc>
      </w:tr>
      <w:tr w:rsidR="00303004" w:rsidRPr="00307028" w14:paraId="7939FE72" w14:textId="77777777" w:rsidTr="00DA0139">
        <w:trPr>
          <w:trHeight w:val="269"/>
        </w:trPr>
        <w:tc>
          <w:tcPr>
            <w:tcW w:w="1257" w:type="dxa"/>
            <w:shd w:val="clear" w:color="auto" w:fill="auto"/>
          </w:tcPr>
          <w:p w14:paraId="2BB0C73C" w14:textId="024FA382" w:rsidR="00303004" w:rsidRPr="00307028" w:rsidRDefault="00303004" w:rsidP="007F2948">
            <w:pPr>
              <w:tabs>
                <w:tab w:val="left" w:pos="1494"/>
              </w:tabs>
              <w:rPr>
                <w:rFonts w:eastAsiaTheme="minorHAnsi"/>
                <w:sz w:val="22"/>
                <w:szCs w:val="22"/>
                <w:highlight w:val="yellow"/>
              </w:rPr>
            </w:pPr>
            <w:r w:rsidRPr="00307028">
              <w:rPr>
                <w:sz w:val="22"/>
                <w:szCs w:val="22"/>
              </w:rPr>
              <w:t>PSMVM</w:t>
            </w:r>
          </w:p>
        </w:tc>
        <w:tc>
          <w:tcPr>
            <w:tcW w:w="9234" w:type="dxa"/>
            <w:shd w:val="clear" w:color="auto" w:fill="auto"/>
          </w:tcPr>
          <w:p w14:paraId="37D81F6A" w14:textId="42DB612A" w:rsidR="00303004" w:rsidRPr="00307028" w:rsidRDefault="004B74BA" w:rsidP="007F2948">
            <w:pPr>
              <w:tabs>
                <w:tab w:val="left" w:pos="1494"/>
              </w:tabs>
              <w:rPr>
                <w:rFonts w:eastAsiaTheme="minorHAnsi"/>
                <w:sz w:val="22"/>
                <w:szCs w:val="22"/>
                <w:highlight w:val="yellow"/>
              </w:rPr>
            </w:pPr>
            <w:r w:rsidRPr="00307028">
              <w:rPr>
                <w:rFonts w:eastAsiaTheme="minorHAnsi"/>
                <w:sz w:val="22"/>
                <w:szCs w:val="22"/>
              </w:rPr>
              <w:t>Paula Stradiņa medicīnas vēstures muzejs</w:t>
            </w:r>
          </w:p>
        </w:tc>
      </w:tr>
      <w:tr w:rsidR="00DA0139" w:rsidRPr="00307028" w14:paraId="48679750" w14:textId="77777777" w:rsidTr="00DA0139">
        <w:trPr>
          <w:trHeight w:val="269"/>
        </w:trPr>
        <w:tc>
          <w:tcPr>
            <w:tcW w:w="1257" w:type="dxa"/>
            <w:shd w:val="clear" w:color="auto" w:fill="auto"/>
          </w:tcPr>
          <w:p w14:paraId="779C654B"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PTAC</w:t>
            </w:r>
          </w:p>
        </w:tc>
        <w:tc>
          <w:tcPr>
            <w:tcW w:w="9234" w:type="dxa"/>
            <w:shd w:val="clear" w:color="auto" w:fill="auto"/>
          </w:tcPr>
          <w:p w14:paraId="45E6F59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Patērētāju tiesību aizsardzības centrs</w:t>
            </w:r>
          </w:p>
        </w:tc>
      </w:tr>
      <w:tr w:rsidR="00DA0139" w:rsidRPr="00307028" w14:paraId="67F5CC0B" w14:textId="77777777" w:rsidTr="00DA0139">
        <w:trPr>
          <w:trHeight w:val="269"/>
        </w:trPr>
        <w:tc>
          <w:tcPr>
            <w:tcW w:w="1257" w:type="dxa"/>
            <w:shd w:val="clear" w:color="auto" w:fill="auto"/>
          </w:tcPr>
          <w:p w14:paraId="4924B785"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lang w:eastAsia="lv-LV"/>
              </w:rPr>
              <w:t>PVD</w:t>
            </w:r>
          </w:p>
        </w:tc>
        <w:tc>
          <w:tcPr>
            <w:tcW w:w="9234" w:type="dxa"/>
            <w:shd w:val="clear" w:color="auto" w:fill="auto"/>
          </w:tcPr>
          <w:p w14:paraId="20A152E5"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lang w:eastAsia="lv-LV"/>
              </w:rPr>
              <w:t>Pārtikas un veterinārais dienests</w:t>
            </w:r>
          </w:p>
        </w:tc>
      </w:tr>
      <w:tr w:rsidR="00DA0139" w:rsidRPr="00307028" w14:paraId="4EF1E5D8" w14:textId="77777777" w:rsidTr="00DA0139">
        <w:trPr>
          <w:trHeight w:val="269"/>
        </w:trPr>
        <w:tc>
          <w:tcPr>
            <w:tcW w:w="1257" w:type="dxa"/>
            <w:shd w:val="clear" w:color="auto" w:fill="auto"/>
          </w:tcPr>
          <w:p w14:paraId="5BA1AC5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PVN</w:t>
            </w:r>
          </w:p>
        </w:tc>
        <w:tc>
          <w:tcPr>
            <w:tcW w:w="9234" w:type="dxa"/>
            <w:shd w:val="clear" w:color="auto" w:fill="auto"/>
          </w:tcPr>
          <w:p w14:paraId="645C95F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Pievienotās vērtības nodoklis</w:t>
            </w:r>
          </w:p>
        </w:tc>
      </w:tr>
      <w:tr w:rsidR="00C733F6" w:rsidRPr="00307028" w14:paraId="205C47D7" w14:textId="77777777" w:rsidTr="00DA0139">
        <w:trPr>
          <w:trHeight w:val="269"/>
        </w:trPr>
        <w:tc>
          <w:tcPr>
            <w:tcW w:w="1257" w:type="dxa"/>
            <w:shd w:val="clear" w:color="auto" w:fill="auto"/>
          </w:tcPr>
          <w:p w14:paraId="0E1994C5" w14:textId="609FD886" w:rsidR="00C733F6" w:rsidRPr="00307028" w:rsidRDefault="00C733F6" w:rsidP="007F2948">
            <w:pPr>
              <w:tabs>
                <w:tab w:val="left" w:pos="1494"/>
              </w:tabs>
              <w:rPr>
                <w:rFonts w:eastAsiaTheme="minorHAnsi"/>
                <w:sz w:val="22"/>
                <w:szCs w:val="22"/>
              </w:rPr>
            </w:pPr>
            <w:r w:rsidRPr="00307028">
              <w:rPr>
                <w:rFonts w:eastAsiaTheme="minorHAnsi"/>
                <w:sz w:val="22"/>
                <w:szCs w:val="22"/>
              </w:rPr>
              <w:t>PVO</w:t>
            </w:r>
          </w:p>
        </w:tc>
        <w:tc>
          <w:tcPr>
            <w:tcW w:w="9234" w:type="dxa"/>
            <w:shd w:val="clear" w:color="auto" w:fill="auto"/>
          </w:tcPr>
          <w:p w14:paraId="066D0B6F" w14:textId="7A9ACD61" w:rsidR="00C733F6" w:rsidRPr="00307028" w:rsidRDefault="00C733F6" w:rsidP="007F2948">
            <w:pPr>
              <w:tabs>
                <w:tab w:val="left" w:pos="1494"/>
              </w:tabs>
              <w:rPr>
                <w:rFonts w:eastAsiaTheme="minorHAnsi"/>
                <w:sz w:val="22"/>
                <w:szCs w:val="22"/>
              </w:rPr>
            </w:pPr>
            <w:r w:rsidRPr="00307028">
              <w:rPr>
                <w:sz w:val="22"/>
                <w:szCs w:val="22"/>
              </w:rPr>
              <w:t>Pasaules veselības organizācija</w:t>
            </w:r>
          </w:p>
        </w:tc>
      </w:tr>
      <w:tr w:rsidR="00497067" w:rsidRPr="00307028" w14:paraId="74DD42F3" w14:textId="77777777" w:rsidTr="00DA0139">
        <w:trPr>
          <w:trHeight w:val="269"/>
        </w:trPr>
        <w:tc>
          <w:tcPr>
            <w:tcW w:w="1257" w:type="dxa"/>
            <w:shd w:val="clear" w:color="auto" w:fill="auto"/>
          </w:tcPr>
          <w:p w14:paraId="032C4742" w14:textId="7E8F02D4" w:rsidR="00497067" w:rsidRPr="00307028" w:rsidRDefault="00497067" w:rsidP="007F2948">
            <w:pPr>
              <w:tabs>
                <w:tab w:val="left" w:pos="1494"/>
              </w:tabs>
              <w:rPr>
                <w:rFonts w:eastAsiaTheme="minorHAnsi"/>
                <w:sz w:val="22"/>
                <w:szCs w:val="22"/>
              </w:rPr>
            </w:pPr>
            <w:r w:rsidRPr="00307028">
              <w:rPr>
                <w:rFonts w:eastAsiaTheme="minorHAnsi"/>
                <w:sz w:val="22"/>
                <w:szCs w:val="22"/>
              </w:rPr>
              <w:t>RSU</w:t>
            </w:r>
          </w:p>
        </w:tc>
        <w:tc>
          <w:tcPr>
            <w:tcW w:w="9234" w:type="dxa"/>
            <w:shd w:val="clear" w:color="auto" w:fill="auto"/>
          </w:tcPr>
          <w:p w14:paraId="54B668BF" w14:textId="2A6342A4" w:rsidR="00497067" w:rsidRPr="00307028" w:rsidRDefault="00497067" w:rsidP="007F2948">
            <w:pPr>
              <w:tabs>
                <w:tab w:val="left" w:pos="1494"/>
              </w:tabs>
              <w:rPr>
                <w:sz w:val="22"/>
                <w:szCs w:val="22"/>
              </w:rPr>
            </w:pPr>
            <w:r w:rsidRPr="00307028">
              <w:rPr>
                <w:sz w:val="22"/>
                <w:szCs w:val="22"/>
              </w:rPr>
              <w:t>Rīgas Stradiņa universitāte</w:t>
            </w:r>
          </w:p>
        </w:tc>
      </w:tr>
      <w:tr w:rsidR="00DA0139" w:rsidRPr="00307028" w14:paraId="7E2806D6" w14:textId="77777777" w:rsidTr="00DA0139">
        <w:trPr>
          <w:trHeight w:val="269"/>
        </w:trPr>
        <w:tc>
          <w:tcPr>
            <w:tcW w:w="1257" w:type="dxa"/>
            <w:shd w:val="clear" w:color="auto" w:fill="auto"/>
          </w:tcPr>
          <w:p w14:paraId="6A2434D5"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SEPLP</w:t>
            </w:r>
          </w:p>
        </w:tc>
        <w:tc>
          <w:tcPr>
            <w:tcW w:w="9234" w:type="dxa"/>
            <w:shd w:val="clear" w:color="auto" w:fill="auto"/>
          </w:tcPr>
          <w:p w14:paraId="0A0BB4E9"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Sabiedrisko elektronisko plašsaziņas līdzekļu padome</w:t>
            </w:r>
          </w:p>
        </w:tc>
      </w:tr>
      <w:tr w:rsidR="00DA0139" w:rsidRPr="00307028" w14:paraId="11F51ADB" w14:textId="77777777" w:rsidTr="00DA0139">
        <w:trPr>
          <w:trHeight w:val="269"/>
        </w:trPr>
        <w:tc>
          <w:tcPr>
            <w:tcW w:w="1257" w:type="dxa"/>
            <w:shd w:val="clear" w:color="auto" w:fill="auto"/>
          </w:tcPr>
          <w:p w14:paraId="609B48C9"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SIF</w:t>
            </w:r>
          </w:p>
        </w:tc>
        <w:tc>
          <w:tcPr>
            <w:tcW w:w="9234" w:type="dxa"/>
            <w:shd w:val="clear" w:color="auto" w:fill="auto"/>
          </w:tcPr>
          <w:p w14:paraId="40442967"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Sabiedrības integrācijas fonds</w:t>
            </w:r>
          </w:p>
        </w:tc>
      </w:tr>
      <w:tr w:rsidR="00DA0139" w:rsidRPr="00307028" w14:paraId="1E4B8E61" w14:textId="77777777" w:rsidTr="00DA0139">
        <w:trPr>
          <w:trHeight w:val="217"/>
        </w:trPr>
        <w:tc>
          <w:tcPr>
            <w:tcW w:w="1257" w:type="dxa"/>
            <w:shd w:val="clear" w:color="auto" w:fill="auto"/>
          </w:tcPr>
          <w:p w14:paraId="0313ED2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SM</w:t>
            </w:r>
          </w:p>
        </w:tc>
        <w:tc>
          <w:tcPr>
            <w:tcW w:w="9234" w:type="dxa"/>
            <w:shd w:val="clear" w:color="auto" w:fill="auto"/>
          </w:tcPr>
          <w:p w14:paraId="2E7D7704"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Satiksmes ministrija</w:t>
            </w:r>
          </w:p>
        </w:tc>
      </w:tr>
      <w:tr w:rsidR="001A5C83" w:rsidRPr="00307028" w14:paraId="190603C9" w14:textId="77777777" w:rsidTr="00DA0139">
        <w:trPr>
          <w:trHeight w:val="217"/>
        </w:trPr>
        <w:tc>
          <w:tcPr>
            <w:tcW w:w="1257" w:type="dxa"/>
            <w:shd w:val="clear" w:color="auto" w:fill="auto"/>
          </w:tcPr>
          <w:p w14:paraId="7EABA5C6" w14:textId="3E002E16" w:rsidR="001A5C83" w:rsidRPr="00307028" w:rsidRDefault="001A5C83" w:rsidP="007F2948">
            <w:pPr>
              <w:tabs>
                <w:tab w:val="left" w:pos="1494"/>
              </w:tabs>
              <w:rPr>
                <w:rFonts w:eastAsiaTheme="minorHAnsi"/>
                <w:sz w:val="22"/>
                <w:szCs w:val="22"/>
                <w:highlight w:val="yellow"/>
              </w:rPr>
            </w:pPr>
            <w:r w:rsidRPr="00307028">
              <w:rPr>
                <w:rFonts w:eastAsiaTheme="minorHAnsi"/>
                <w:sz w:val="22"/>
                <w:szCs w:val="22"/>
              </w:rPr>
              <w:t>SPKC</w:t>
            </w:r>
          </w:p>
        </w:tc>
        <w:tc>
          <w:tcPr>
            <w:tcW w:w="9234" w:type="dxa"/>
            <w:shd w:val="clear" w:color="auto" w:fill="auto"/>
          </w:tcPr>
          <w:p w14:paraId="1A03A60D" w14:textId="0823B33E" w:rsidR="001A5C83" w:rsidRPr="00307028" w:rsidRDefault="001A5C83" w:rsidP="007F2948">
            <w:pPr>
              <w:tabs>
                <w:tab w:val="left" w:pos="1494"/>
              </w:tabs>
              <w:rPr>
                <w:rFonts w:eastAsiaTheme="minorHAnsi"/>
                <w:sz w:val="22"/>
                <w:szCs w:val="22"/>
                <w:highlight w:val="yellow"/>
              </w:rPr>
            </w:pPr>
            <w:r w:rsidRPr="00307028">
              <w:rPr>
                <w:rFonts w:eastAsiaTheme="minorHAnsi"/>
                <w:sz w:val="22"/>
                <w:szCs w:val="22"/>
              </w:rPr>
              <w:t>Slimību profilakses un kontroles centrs</w:t>
            </w:r>
          </w:p>
        </w:tc>
      </w:tr>
      <w:tr w:rsidR="00555485" w:rsidRPr="00307028" w14:paraId="205C4C31" w14:textId="77777777" w:rsidTr="00DA0139">
        <w:trPr>
          <w:trHeight w:val="217"/>
        </w:trPr>
        <w:tc>
          <w:tcPr>
            <w:tcW w:w="1257" w:type="dxa"/>
            <w:shd w:val="clear" w:color="auto" w:fill="auto"/>
          </w:tcPr>
          <w:p w14:paraId="44971EC8" w14:textId="2E255612" w:rsidR="00555485" w:rsidRPr="00307028" w:rsidRDefault="00555485" w:rsidP="007F2948">
            <w:pPr>
              <w:tabs>
                <w:tab w:val="left" w:pos="1494"/>
              </w:tabs>
              <w:rPr>
                <w:rFonts w:eastAsiaTheme="minorHAnsi"/>
                <w:sz w:val="22"/>
                <w:szCs w:val="22"/>
              </w:rPr>
            </w:pPr>
            <w:r w:rsidRPr="00307028">
              <w:rPr>
                <w:rFonts w:eastAsiaTheme="minorHAnsi"/>
                <w:sz w:val="22"/>
                <w:szCs w:val="22"/>
              </w:rPr>
              <w:t>SPRK</w:t>
            </w:r>
          </w:p>
        </w:tc>
        <w:tc>
          <w:tcPr>
            <w:tcW w:w="9234" w:type="dxa"/>
            <w:shd w:val="clear" w:color="auto" w:fill="auto"/>
          </w:tcPr>
          <w:p w14:paraId="7484A935" w14:textId="1F654F14" w:rsidR="00555485" w:rsidRPr="00307028" w:rsidRDefault="009A5752" w:rsidP="007F2948">
            <w:pPr>
              <w:tabs>
                <w:tab w:val="left" w:pos="1494"/>
              </w:tabs>
              <w:rPr>
                <w:rFonts w:eastAsiaTheme="minorHAnsi"/>
                <w:sz w:val="22"/>
                <w:szCs w:val="22"/>
              </w:rPr>
            </w:pPr>
            <w:r w:rsidRPr="00307028">
              <w:rPr>
                <w:rFonts w:eastAsiaTheme="minorHAnsi"/>
                <w:sz w:val="22"/>
                <w:szCs w:val="22"/>
              </w:rPr>
              <w:t>Sabiedrisko pakalpojumu regulēšanas komisija</w:t>
            </w:r>
          </w:p>
        </w:tc>
      </w:tr>
      <w:tr w:rsidR="00DA0139" w:rsidRPr="00307028" w14:paraId="7B16C11E" w14:textId="77777777" w:rsidTr="00DA0139">
        <w:trPr>
          <w:trHeight w:val="217"/>
        </w:trPr>
        <w:tc>
          <w:tcPr>
            <w:tcW w:w="1257" w:type="dxa"/>
            <w:shd w:val="clear" w:color="auto" w:fill="auto"/>
          </w:tcPr>
          <w:p w14:paraId="53A1D303"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ST</w:t>
            </w:r>
          </w:p>
        </w:tc>
        <w:tc>
          <w:tcPr>
            <w:tcW w:w="9234" w:type="dxa"/>
            <w:shd w:val="clear" w:color="auto" w:fill="auto"/>
          </w:tcPr>
          <w:p w14:paraId="022907A4"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Satversmes tiesa</w:t>
            </w:r>
          </w:p>
        </w:tc>
      </w:tr>
      <w:tr w:rsidR="00911252" w:rsidRPr="00307028" w14:paraId="761F3DFD" w14:textId="77777777" w:rsidTr="00DA0139">
        <w:trPr>
          <w:trHeight w:val="217"/>
        </w:trPr>
        <w:tc>
          <w:tcPr>
            <w:tcW w:w="1257" w:type="dxa"/>
            <w:shd w:val="clear" w:color="auto" w:fill="auto"/>
          </w:tcPr>
          <w:p w14:paraId="08042D09" w14:textId="5DF5C49B" w:rsidR="00911252" w:rsidRPr="00307028" w:rsidRDefault="00911252" w:rsidP="007F2948">
            <w:pPr>
              <w:tabs>
                <w:tab w:val="left" w:pos="1494"/>
              </w:tabs>
              <w:rPr>
                <w:rFonts w:eastAsiaTheme="minorHAnsi"/>
                <w:sz w:val="22"/>
                <w:szCs w:val="22"/>
              </w:rPr>
            </w:pPr>
            <w:r w:rsidRPr="00307028">
              <w:rPr>
                <w:rFonts w:eastAsiaTheme="minorHAnsi"/>
                <w:sz w:val="22"/>
                <w:szCs w:val="22"/>
              </w:rPr>
              <w:t>TA</w:t>
            </w:r>
          </w:p>
        </w:tc>
        <w:tc>
          <w:tcPr>
            <w:tcW w:w="9234" w:type="dxa"/>
            <w:shd w:val="clear" w:color="auto" w:fill="auto"/>
          </w:tcPr>
          <w:p w14:paraId="23405590" w14:textId="269A6439" w:rsidR="00911252" w:rsidRPr="00307028" w:rsidRDefault="00911252" w:rsidP="007F2948">
            <w:pPr>
              <w:tabs>
                <w:tab w:val="left" w:pos="1494"/>
              </w:tabs>
              <w:rPr>
                <w:rFonts w:eastAsiaTheme="minorHAnsi"/>
                <w:sz w:val="22"/>
                <w:szCs w:val="22"/>
              </w:rPr>
            </w:pPr>
            <w:r w:rsidRPr="00307028">
              <w:rPr>
                <w:rFonts w:eastAsiaTheme="minorHAnsi"/>
                <w:sz w:val="22"/>
                <w:szCs w:val="22"/>
              </w:rPr>
              <w:t>Tiesu administrācija</w:t>
            </w:r>
          </w:p>
        </w:tc>
      </w:tr>
      <w:tr w:rsidR="00DA0139" w:rsidRPr="00307028" w14:paraId="755AD037" w14:textId="77777777" w:rsidTr="00DA0139">
        <w:trPr>
          <w:trHeight w:val="217"/>
        </w:trPr>
        <w:tc>
          <w:tcPr>
            <w:tcW w:w="1257" w:type="dxa"/>
            <w:shd w:val="clear" w:color="auto" w:fill="auto"/>
          </w:tcPr>
          <w:p w14:paraId="32FB91FD"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TB</w:t>
            </w:r>
          </w:p>
        </w:tc>
        <w:tc>
          <w:tcPr>
            <w:tcW w:w="9234" w:type="dxa"/>
            <w:shd w:val="clear" w:color="auto" w:fill="auto"/>
          </w:tcPr>
          <w:p w14:paraId="781C6BA7"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Tiesībsarga birojs</w:t>
            </w:r>
          </w:p>
        </w:tc>
      </w:tr>
      <w:tr w:rsidR="00DA0139" w:rsidRPr="00307028" w14:paraId="32C01A02" w14:textId="77777777" w:rsidTr="00DA0139">
        <w:trPr>
          <w:trHeight w:val="284"/>
        </w:trPr>
        <w:tc>
          <w:tcPr>
            <w:tcW w:w="1257" w:type="dxa"/>
            <w:shd w:val="clear" w:color="auto" w:fill="auto"/>
          </w:tcPr>
          <w:p w14:paraId="37F2B33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TM</w:t>
            </w:r>
          </w:p>
        </w:tc>
        <w:tc>
          <w:tcPr>
            <w:tcW w:w="9234" w:type="dxa"/>
            <w:shd w:val="clear" w:color="auto" w:fill="auto"/>
          </w:tcPr>
          <w:p w14:paraId="74D1E160"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Tieslietu ministrija</w:t>
            </w:r>
          </w:p>
        </w:tc>
      </w:tr>
      <w:tr w:rsidR="00831E7E" w:rsidRPr="00307028" w14:paraId="4C402F81" w14:textId="77777777" w:rsidTr="00DA0139">
        <w:trPr>
          <w:trHeight w:val="284"/>
        </w:trPr>
        <w:tc>
          <w:tcPr>
            <w:tcW w:w="1257" w:type="dxa"/>
            <w:shd w:val="clear" w:color="auto" w:fill="auto"/>
          </w:tcPr>
          <w:p w14:paraId="33ED3BF6" w14:textId="0DA7D4DE" w:rsidR="00831E7E" w:rsidRPr="00307028" w:rsidRDefault="00831E7E" w:rsidP="007F2948">
            <w:pPr>
              <w:tabs>
                <w:tab w:val="left" w:pos="1494"/>
              </w:tabs>
              <w:rPr>
                <w:rFonts w:eastAsiaTheme="minorHAnsi"/>
                <w:sz w:val="22"/>
                <w:szCs w:val="22"/>
              </w:rPr>
            </w:pPr>
            <w:r w:rsidRPr="00307028">
              <w:rPr>
                <w:rFonts w:eastAsiaTheme="minorHAnsi"/>
                <w:sz w:val="22"/>
                <w:szCs w:val="22"/>
              </w:rPr>
              <w:t>UR</w:t>
            </w:r>
          </w:p>
        </w:tc>
        <w:tc>
          <w:tcPr>
            <w:tcW w:w="9234" w:type="dxa"/>
            <w:shd w:val="clear" w:color="auto" w:fill="auto"/>
          </w:tcPr>
          <w:p w14:paraId="2F222708" w14:textId="764E6ABE" w:rsidR="00831E7E" w:rsidRPr="00307028" w:rsidRDefault="00831E7E" w:rsidP="007F2948">
            <w:pPr>
              <w:tabs>
                <w:tab w:val="left" w:pos="1494"/>
              </w:tabs>
              <w:rPr>
                <w:rFonts w:eastAsiaTheme="minorHAnsi"/>
                <w:sz w:val="22"/>
                <w:szCs w:val="22"/>
              </w:rPr>
            </w:pPr>
            <w:r w:rsidRPr="00307028">
              <w:rPr>
                <w:rFonts w:eastAsiaTheme="minorHAnsi"/>
                <w:sz w:val="22"/>
                <w:szCs w:val="22"/>
              </w:rPr>
              <w:t>Uzņēmumu reģistrs</w:t>
            </w:r>
          </w:p>
        </w:tc>
      </w:tr>
      <w:tr w:rsidR="004118D9" w:rsidRPr="00307028" w14:paraId="4CFC4CDF" w14:textId="77777777" w:rsidTr="00DA0139">
        <w:trPr>
          <w:trHeight w:val="284"/>
        </w:trPr>
        <w:tc>
          <w:tcPr>
            <w:tcW w:w="1257" w:type="dxa"/>
            <w:shd w:val="clear" w:color="auto" w:fill="auto"/>
          </w:tcPr>
          <w:p w14:paraId="5174B3A9" w14:textId="34E8B4C8" w:rsidR="004118D9" w:rsidRPr="00307028" w:rsidRDefault="004118D9" w:rsidP="007F2948">
            <w:pPr>
              <w:tabs>
                <w:tab w:val="left" w:pos="1494"/>
              </w:tabs>
              <w:rPr>
                <w:rFonts w:eastAsiaTheme="minorHAnsi"/>
                <w:sz w:val="22"/>
                <w:szCs w:val="22"/>
              </w:rPr>
            </w:pPr>
            <w:r w:rsidRPr="00307028">
              <w:rPr>
                <w:rFonts w:eastAsiaTheme="minorHAnsi"/>
                <w:sz w:val="22"/>
                <w:szCs w:val="22"/>
              </w:rPr>
              <w:t>VAAD</w:t>
            </w:r>
          </w:p>
        </w:tc>
        <w:tc>
          <w:tcPr>
            <w:tcW w:w="9234" w:type="dxa"/>
            <w:shd w:val="clear" w:color="auto" w:fill="auto"/>
          </w:tcPr>
          <w:p w14:paraId="051D380F" w14:textId="7955EB28" w:rsidR="004118D9" w:rsidRPr="00307028" w:rsidRDefault="004118D9" w:rsidP="007F2948">
            <w:pPr>
              <w:tabs>
                <w:tab w:val="left" w:pos="1494"/>
              </w:tabs>
              <w:rPr>
                <w:rFonts w:eastAsiaTheme="minorHAnsi"/>
                <w:sz w:val="22"/>
                <w:szCs w:val="22"/>
              </w:rPr>
            </w:pPr>
            <w:r w:rsidRPr="00307028">
              <w:rPr>
                <w:rFonts w:eastAsiaTheme="minorHAnsi"/>
                <w:sz w:val="22"/>
                <w:szCs w:val="22"/>
              </w:rPr>
              <w:t>Valsts augu aizsardzības dienests</w:t>
            </w:r>
          </w:p>
        </w:tc>
      </w:tr>
      <w:tr w:rsidR="001D06C1" w:rsidRPr="00307028" w14:paraId="1D702848" w14:textId="77777777" w:rsidTr="00DA0139">
        <w:trPr>
          <w:trHeight w:val="284"/>
        </w:trPr>
        <w:tc>
          <w:tcPr>
            <w:tcW w:w="1257" w:type="dxa"/>
            <w:shd w:val="clear" w:color="auto" w:fill="auto"/>
          </w:tcPr>
          <w:p w14:paraId="01EF9BBD" w14:textId="7CCE25F4" w:rsidR="001D06C1" w:rsidRPr="00307028" w:rsidRDefault="001D06C1" w:rsidP="007F2948">
            <w:pPr>
              <w:tabs>
                <w:tab w:val="left" w:pos="1494"/>
              </w:tabs>
              <w:rPr>
                <w:rFonts w:eastAsiaTheme="minorHAnsi"/>
                <w:sz w:val="22"/>
                <w:szCs w:val="22"/>
              </w:rPr>
            </w:pPr>
            <w:r w:rsidRPr="00307028">
              <w:rPr>
                <w:rFonts w:eastAsiaTheme="minorHAnsi"/>
                <w:sz w:val="22"/>
                <w:szCs w:val="22"/>
              </w:rPr>
              <w:t>VAIS</w:t>
            </w:r>
          </w:p>
        </w:tc>
        <w:tc>
          <w:tcPr>
            <w:tcW w:w="9234" w:type="dxa"/>
            <w:shd w:val="clear" w:color="auto" w:fill="auto"/>
          </w:tcPr>
          <w:p w14:paraId="603647DF" w14:textId="4B0C9315" w:rsidR="001D06C1" w:rsidRPr="00307028" w:rsidRDefault="001D06C1" w:rsidP="007F2948">
            <w:pPr>
              <w:tabs>
                <w:tab w:val="left" w:pos="1494"/>
              </w:tabs>
              <w:rPr>
                <w:rFonts w:eastAsiaTheme="minorHAnsi"/>
                <w:sz w:val="22"/>
                <w:szCs w:val="22"/>
              </w:rPr>
            </w:pPr>
            <w:r w:rsidRPr="00307028">
              <w:rPr>
                <w:rFonts w:eastAsiaTheme="minorHAnsi"/>
                <w:sz w:val="22"/>
                <w:szCs w:val="22"/>
              </w:rPr>
              <w:t>Vienotās izložu un azartspēļu uzraudzības informācijas sistēma</w:t>
            </w:r>
          </w:p>
        </w:tc>
      </w:tr>
      <w:tr w:rsidR="00DA0139" w:rsidRPr="00307028" w14:paraId="628C8D64" w14:textId="77777777" w:rsidTr="00DA0139">
        <w:trPr>
          <w:trHeight w:val="269"/>
        </w:trPr>
        <w:tc>
          <w:tcPr>
            <w:tcW w:w="1257" w:type="dxa"/>
            <w:shd w:val="clear" w:color="auto" w:fill="auto"/>
          </w:tcPr>
          <w:p w14:paraId="364B069E"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VARAM</w:t>
            </w:r>
          </w:p>
        </w:tc>
        <w:tc>
          <w:tcPr>
            <w:tcW w:w="9234" w:type="dxa"/>
            <w:shd w:val="clear" w:color="auto" w:fill="auto"/>
          </w:tcPr>
          <w:p w14:paraId="7749BAB4"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Vides aizsardzības un reģionālās attīstības ministrija</w:t>
            </w:r>
          </w:p>
        </w:tc>
      </w:tr>
      <w:tr w:rsidR="00C846A4" w:rsidRPr="00307028" w14:paraId="2C1585E3" w14:textId="77777777" w:rsidTr="00DA0139">
        <w:trPr>
          <w:trHeight w:val="269"/>
        </w:trPr>
        <w:tc>
          <w:tcPr>
            <w:tcW w:w="1257" w:type="dxa"/>
            <w:shd w:val="clear" w:color="auto" w:fill="auto"/>
          </w:tcPr>
          <w:p w14:paraId="4912A652" w14:textId="59AB97AC" w:rsidR="00C846A4" w:rsidRPr="00307028" w:rsidRDefault="00C846A4" w:rsidP="007F2948">
            <w:pPr>
              <w:tabs>
                <w:tab w:val="left" w:pos="1494"/>
              </w:tabs>
              <w:rPr>
                <w:rFonts w:eastAsiaTheme="minorHAnsi"/>
                <w:sz w:val="22"/>
                <w:szCs w:val="22"/>
              </w:rPr>
            </w:pPr>
            <w:r w:rsidRPr="00307028">
              <w:rPr>
                <w:rFonts w:eastAsiaTheme="minorHAnsi"/>
                <w:sz w:val="22"/>
                <w:szCs w:val="22"/>
              </w:rPr>
              <w:t>VBTAI</w:t>
            </w:r>
          </w:p>
        </w:tc>
        <w:tc>
          <w:tcPr>
            <w:tcW w:w="9234" w:type="dxa"/>
            <w:shd w:val="clear" w:color="auto" w:fill="auto"/>
          </w:tcPr>
          <w:p w14:paraId="6B836DBB" w14:textId="24252C51" w:rsidR="00C846A4" w:rsidRPr="00307028" w:rsidRDefault="00C846A4" w:rsidP="007F2948">
            <w:pPr>
              <w:tabs>
                <w:tab w:val="left" w:pos="1494"/>
              </w:tabs>
              <w:rPr>
                <w:rFonts w:eastAsiaTheme="minorHAnsi"/>
                <w:sz w:val="22"/>
                <w:szCs w:val="22"/>
              </w:rPr>
            </w:pPr>
            <w:r w:rsidRPr="00307028">
              <w:rPr>
                <w:sz w:val="22"/>
                <w:szCs w:val="22"/>
              </w:rPr>
              <w:t>Valsts bērnu tiesību aizsardzības inspekcija</w:t>
            </w:r>
          </w:p>
        </w:tc>
      </w:tr>
      <w:tr w:rsidR="00DA0139" w:rsidRPr="00307028" w14:paraId="7BB0A453" w14:textId="77777777" w:rsidTr="00DA0139">
        <w:trPr>
          <w:trHeight w:val="269"/>
        </w:trPr>
        <w:tc>
          <w:tcPr>
            <w:tcW w:w="1257" w:type="dxa"/>
            <w:shd w:val="clear" w:color="auto" w:fill="auto"/>
          </w:tcPr>
          <w:p w14:paraId="451914DD"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VDI</w:t>
            </w:r>
          </w:p>
        </w:tc>
        <w:tc>
          <w:tcPr>
            <w:tcW w:w="9234" w:type="dxa"/>
            <w:shd w:val="clear" w:color="auto" w:fill="auto"/>
          </w:tcPr>
          <w:p w14:paraId="6E422C7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Valsts darba inspekcija</w:t>
            </w:r>
          </w:p>
        </w:tc>
      </w:tr>
      <w:tr w:rsidR="001D1E27" w:rsidRPr="00307028" w14:paraId="64633CF9" w14:textId="77777777" w:rsidTr="00DA0139">
        <w:trPr>
          <w:trHeight w:val="269"/>
        </w:trPr>
        <w:tc>
          <w:tcPr>
            <w:tcW w:w="1257" w:type="dxa"/>
            <w:shd w:val="clear" w:color="auto" w:fill="auto"/>
          </w:tcPr>
          <w:p w14:paraId="475F0549" w14:textId="6D6C478C" w:rsidR="001D1E27" w:rsidRPr="00307028" w:rsidRDefault="001D1E27" w:rsidP="007F2948">
            <w:pPr>
              <w:tabs>
                <w:tab w:val="left" w:pos="1494"/>
              </w:tabs>
              <w:rPr>
                <w:rFonts w:eastAsiaTheme="minorHAnsi"/>
                <w:sz w:val="22"/>
                <w:szCs w:val="22"/>
              </w:rPr>
            </w:pPr>
            <w:r w:rsidRPr="00307028">
              <w:rPr>
                <w:rFonts w:eastAsiaTheme="minorHAnsi"/>
                <w:sz w:val="22"/>
                <w:szCs w:val="22"/>
              </w:rPr>
              <w:t>VDEĀVK</w:t>
            </w:r>
          </w:p>
        </w:tc>
        <w:tc>
          <w:tcPr>
            <w:tcW w:w="9234" w:type="dxa"/>
            <w:shd w:val="clear" w:color="auto" w:fill="auto"/>
          </w:tcPr>
          <w:p w14:paraId="235A906C" w14:textId="629A8D12" w:rsidR="001D1E27" w:rsidRPr="00307028" w:rsidRDefault="001D1E27" w:rsidP="007F2948">
            <w:pPr>
              <w:tabs>
                <w:tab w:val="left" w:pos="1494"/>
              </w:tabs>
              <w:rPr>
                <w:rFonts w:eastAsiaTheme="minorHAnsi"/>
                <w:sz w:val="22"/>
                <w:szCs w:val="22"/>
              </w:rPr>
            </w:pPr>
            <w:r w:rsidRPr="00307028">
              <w:rPr>
                <w:rFonts w:eastAsiaTheme="minorHAnsi"/>
                <w:sz w:val="22"/>
                <w:szCs w:val="22"/>
              </w:rPr>
              <w:t>Veselības un darbspēju ekspertīzes ārstu valsts komisija</w:t>
            </w:r>
          </w:p>
        </w:tc>
      </w:tr>
      <w:tr w:rsidR="00DA0139" w:rsidRPr="00307028" w14:paraId="6391BA76" w14:textId="77777777" w:rsidTr="00DA0139">
        <w:trPr>
          <w:trHeight w:val="269"/>
        </w:trPr>
        <w:tc>
          <w:tcPr>
            <w:tcW w:w="1257" w:type="dxa"/>
            <w:shd w:val="clear" w:color="auto" w:fill="auto"/>
          </w:tcPr>
          <w:p w14:paraId="429CEEED"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VID</w:t>
            </w:r>
          </w:p>
        </w:tc>
        <w:tc>
          <w:tcPr>
            <w:tcW w:w="9234" w:type="dxa"/>
            <w:shd w:val="clear" w:color="auto" w:fill="auto"/>
          </w:tcPr>
          <w:p w14:paraId="1986CDCC"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Valsts ieņēmumu dienests</w:t>
            </w:r>
          </w:p>
        </w:tc>
      </w:tr>
      <w:tr w:rsidR="00DA0139" w:rsidRPr="00307028" w14:paraId="0D27E962" w14:textId="77777777" w:rsidTr="00DA0139">
        <w:trPr>
          <w:trHeight w:val="269"/>
        </w:trPr>
        <w:tc>
          <w:tcPr>
            <w:tcW w:w="1257" w:type="dxa"/>
            <w:shd w:val="clear" w:color="auto" w:fill="auto"/>
          </w:tcPr>
          <w:p w14:paraId="68AB3946"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VIRSIS</w:t>
            </w:r>
          </w:p>
        </w:tc>
        <w:tc>
          <w:tcPr>
            <w:tcW w:w="9234" w:type="dxa"/>
            <w:shd w:val="clear" w:color="auto" w:fill="auto"/>
          </w:tcPr>
          <w:p w14:paraId="0BC12EAA"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Valsts informācijas resursu, sistēmu un sadarbspējas informācijas sistēma</w:t>
            </w:r>
          </w:p>
        </w:tc>
      </w:tr>
      <w:tr w:rsidR="00DA0139" w:rsidRPr="00307028" w14:paraId="6A613C66" w14:textId="77777777" w:rsidTr="00DA0139">
        <w:trPr>
          <w:trHeight w:val="269"/>
        </w:trPr>
        <w:tc>
          <w:tcPr>
            <w:tcW w:w="1257" w:type="dxa"/>
            <w:shd w:val="clear" w:color="auto" w:fill="auto"/>
          </w:tcPr>
          <w:p w14:paraId="4F30FBDD" w14:textId="77777777" w:rsidR="00DA0139" w:rsidRPr="00307028" w:rsidRDefault="00DA0139" w:rsidP="007F2948">
            <w:pPr>
              <w:tabs>
                <w:tab w:val="left" w:pos="1494"/>
              </w:tabs>
              <w:rPr>
                <w:rFonts w:eastAsiaTheme="minorHAnsi"/>
                <w:sz w:val="22"/>
                <w:szCs w:val="22"/>
              </w:rPr>
            </w:pPr>
            <w:r w:rsidRPr="00307028">
              <w:rPr>
                <w:sz w:val="22"/>
                <w:szCs w:val="22"/>
              </w:rPr>
              <w:t>VISC</w:t>
            </w:r>
          </w:p>
        </w:tc>
        <w:tc>
          <w:tcPr>
            <w:tcW w:w="9234" w:type="dxa"/>
            <w:shd w:val="clear" w:color="auto" w:fill="auto"/>
          </w:tcPr>
          <w:p w14:paraId="253B2E05"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Valsts izglītības satura centrs</w:t>
            </w:r>
          </w:p>
        </w:tc>
      </w:tr>
      <w:tr w:rsidR="00DA0139" w:rsidRPr="00307028" w14:paraId="282A85C6" w14:textId="77777777" w:rsidTr="00DA0139">
        <w:trPr>
          <w:trHeight w:val="269"/>
        </w:trPr>
        <w:tc>
          <w:tcPr>
            <w:tcW w:w="1257" w:type="dxa"/>
            <w:shd w:val="clear" w:color="auto" w:fill="auto"/>
          </w:tcPr>
          <w:p w14:paraId="2F56F2F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VK</w:t>
            </w:r>
          </w:p>
        </w:tc>
        <w:tc>
          <w:tcPr>
            <w:tcW w:w="9234" w:type="dxa"/>
            <w:shd w:val="clear" w:color="auto" w:fill="auto"/>
          </w:tcPr>
          <w:p w14:paraId="35B2D1E1" w14:textId="77777777" w:rsidR="00DA0139" w:rsidRPr="00307028" w:rsidRDefault="00DA0139" w:rsidP="007F2948">
            <w:pPr>
              <w:tabs>
                <w:tab w:val="left" w:pos="1494"/>
              </w:tabs>
              <w:rPr>
                <w:rFonts w:eastAsiaTheme="minorHAnsi"/>
                <w:sz w:val="22"/>
                <w:szCs w:val="22"/>
              </w:rPr>
            </w:pPr>
            <w:r w:rsidRPr="00307028">
              <w:rPr>
                <w:rFonts w:eastAsiaTheme="minorHAnsi"/>
                <w:sz w:val="22"/>
                <w:szCs w:val="22"/>
              </w:rPr>
              <w:t>Valsts kanceleja</w:t>
            </w:r>
          </w:p>
        </w:tc>
      </w:tr>
      <w:tr w:rsidR="00B77250" w:rsidRPr="00307028" w14:paraId="22294653" w14:textId="77777777" w:rsidTr="00DA0139">
        <w:trPr>
          <w:trHeight w:val="269"/>
        </w:trPr>
        <w:tc>
          <w:tcPr>
            <w:tcW w:w="1257" w:type="dxa"/>
            <w:shd w:val="clear" w:color="auto" w:fill="auto"/>
          </w:tcPr>
          <w:p w14:paraId="0E2FB234" w14:textId="60E29452" w:rsidR="00B77250" w:rsidRPr="00307028" w:rsidRDefault="00B77250" w:rsidP="00B77250">
            <w:pPr>
              <w:tabs>
                <w:tab w:val="left" w:pos="1494"/>
              </w:tabs>
              <w:rPr>
                <w:rFonts w:eastAsiaTheme="minorHAnsi"/>
                <w:sz w:val="22"/>
                <w:szCs w:val="22"/>
              </w:rPr>
            </w:pPr>
            <w:r w:rsidRPr="00307028">
              <w:rPr>
                <w:rFonts w:eastAsiaTheme="minorHAnsi"/>
                <w:sz w:val="22"/>
                <w:szCs w:val="22"/>
              </w:rPr>
              <w:t>VKo</w:t>
            </w:r>
          </w:p>
        </w:tc>
        <w:tc>
          <w:tcPr>
            <w:tcW w:w="9234" w:type="dxa"/>
            <w:shd w:val="clear" w:color="auto" w:fill="auto"/>
          </w:tcPr>
          <w:p w14:paraId="56D41B54" w14:textId="6F60FDBB" w:rsidR="00B77250" w:rsidRPr="00307028" w:rsidRDefault="00B77250" w:rsidP="00B77250">
            <w:pPr>
              <w:tabs>
                <w:tab w:val="left" w:pos="1494"/>
              </w:tabs>
              <w:rPr>
                <w:rFonts w:eastAsiaTheme="minorHAnsi"/>
                <w:sz w:val="22"/>
                <w:szCs w:val="22"/>
              </w:rPr>
            </w:pPr>
            <w:r w:rsidRPr="00307028">
              <w:rPr>
                <w:rFonts w:eastAsiaTheme="minorHAnsi"/>
                <w:sz w:val="22"/>
                <w:szCs w:val="22"/>
              </w:rPr>
              <w:t>Valsts kontrole</w:t>
            </w:r>
          </w:p>
        </w:tc>
      </w:tr>
      <w:tr w:rsidR="00B77250" w:rsidRPr="00307028" w14:paraId="3B5B63D1" w14:textId="77777777" w:rsidTr="00DA0139">
        <w:trPr>
          <w:trHeight w:val="269"/>
        </w:trPr>
        <w:tc>
          <w:tcPr>
            <w:tcW w:w="1257" w:type="dxa"/>
            <w:shd w:val="clear" w:color="auto" w:fill="auto"/>
          </w:tcPr>
          <w:p w14:paraId="4BF81B13" w14:textId="77169A64" w:rsidR="00B77250" w:rsidRPr="00307028" w:rsidRDefault="00B77250" w:rsidP="00B77250">
            <w:pPr>
              <w:tabs>
                <w:tab w:val="left" w:pos="1494"/>
              </w:tabs>
              <w:rPr>
                <w:rFonts w:eastAsiaTheme="minorHAnsi"/>
                <w:sz w:val="22"/>
                <w:szCs w:val="22"/>
              </w:rPr>
            </w:pPr>
            <w:r w:rsidRPr="00307028">
              <w:rPr>
                <w:rFonts w:eastAsiaTheme="minorHAnsi"/>
                <w:sz w:val="22"/>
                <w:szCs w:val="22"/>
              </w:rPr>
              <w:t>VM</w:t>
            </w:r>
          </w:p>
        </w:tc>
        <w:tc>
          <w:tcPr>
            <w:tcW w:w="9234" w:type="dxa"/>
            <w:shd w:val="clear" w:color="auto" w:fill="auto"/>
          </w:tcPr>
          <w:p w14:paraId="083383FE" w14:textId="31232B9F" w:rsidR="00B77250" w:rsidRPr="00307028" w:rsidRDefault="00B77250" w:rsidP="00B77250">
            <w:pPr>
              <w:tabs>
                <w:tab w:val="left" w:pos="1494"/>
              </w:tabs>
              <w:rPr>
                <w:rFonts w:eastAsiaTheme="minorHAnsi"/>
                <w:sz w:val="22"/>
                <w:szCs w:val="22"/>
              </w:rPr>
            </w:pPr>
            <w:r w:rsidRPr="00307028">
              <w:rPr>
                <w:rFonts w:eastAsiaTheme="minorHAnsi"/>
                <w:sz w:val="22"/>
                <w:szCs w:val="22"/>
              </w:rPr>
              <w:t>Veselības ministrija</w:t>
            </w:r>
          </w:p>
        </w:tc>
      </w:tr>
      <w:tr w:rsidR="00B77250" w:rsidRPr="00307028" w14:paraId="5AE9909D" w14:textId="77777777" w:rsidTr="00DA0139">
        <w:trPr>
          <w:trHeight w:val="269"/>
        </w:trPr>
        <w:tc>
          <w:tcPr>
            <w:tcW w:w="1257" w:type="dxa"/>
            <w:shd w:val="clear" w:color="auto" w:fill="auto"/>
          </w:tcPr>
          <w:p w14:paraId="4BBCCDBB" w14:textId="2C820DE1" w:rsidR="00B77250" w:rsidRPr="00307028" w:rsidRDefault="00B77250" w:rsidP="00B77250">
            <w:pPr>
              <w:tabs>
                <w:tab w:val="left" w:pos="1494"/>
              </w:tabs>
              <w:rPr>
                <w:rFonts w:eastAsiaTheme="minorHAnsi"/>
                <w:sz w:val="22"/>
                <w:szCs w:val="22"/>
              </w:rPr>
            </w:pPr>
            <w:r w:rsidRPr="00307028">
              <w:rPr>
                <w:rFonts w:eastAsiaTheme="minorHAnsi"/>
                <w:sz w:val="22"/>
                <w:szCs w:val="22"/>
              </w:rPr>
              <w:t>VMD</w:t>
            </w:r>
          </w:p>
        </w:tc>
        <w:tc>
          <w:tcPr>
            <w:tcW w:w="9234" w:type="dxa"/>
            <w:shd w:val="clear" w:color="auto" w:fill="auto"/>
          </w:tcPr>
          <w:p w14:paraId="252D6E34" w14:textId="2C2AB64F" w:rsidR="00B77250" w:rsidRPr="00307028" w:rsidRDefault="00B77250" w:rsidP="00B77250">
            <w:pPr>
              <w:tabs>
                <w:tab w:val="left" w:pos="1494"/>
              </w:tabs>
              <w:rPr>
                <w:rFonts w:eastAsiaTheme="minorHAnsi"/>
                <w:sz w:val="22"/>
                <w:szCs w:val="22"/>
              </w:rPr>
            </w:pPr>
            <w:r w:rsidRPr="00307028">
              <w:rPr>
                <w:rFonts w:eastAsiaTheme="minorHAnsi"/>
                <w:sz w:val="22"/>
                <w:szCs w:val="22"/>
              </w:rPr>
              <w:t>Valsts mež</w:t>
            </w:r>
            <w:r w:rsidR="00A91DF3" w:rsidRPr="00307028">
              <w:rPr>
                <w:rFonts w:eastAsiaTheme="minorHAnsi"/>
                <w:sz w:val="22"/>
                <w:szCs w:val="22"/>
              </w:rPr>
              <w:t>a</w:t>
            </w:r>
            <w:r w:rsidRPr="00307028">
              <w:rPr>
                <w:rFonts w:eastAsiaTheme="minorHAnsi"/>
                <w:sz w:val="22"/>
                <w:szCs w:val="22"/>
              </w:rPr>
              <w:t xml:space="preserve"> dienests</w:t>
            </w:r>
          </w:p>
        </w:tc>
      </w:tr>
      <w:tr w:rsidR="00B77250" w:rsidRPr="00307028" w14:paraId="2E39B35E" w14:textId="77777777" w:rsidTr="00DA0139">
        <w:trPr>
          <w:trHeight w:val="269"/>
        </w:trPr>
        <w:tc>
          <w:tcPr>
            <w:tcW w:w="1257" w:type="dxa"/>
            <w:shd w:val="clear" w:color="auto" w:fill="auto"/>
          </w:tcPr>
          <w:p w14:paraId="5ADEE1F8" w14:textId="14336912" w:rsidR="00B77250" w:rsidRPr="00307028" w:rsidRDefault="00B77250" w:rsidP="00B77250">
            <w:pPr>
              <w:tabs>
                <w:tab w:val="left" w:pos="1494"/>
              </w:tabs>
              <w:rPr>
                <w:rFonts w:eastAsiaTheme="minorHAnsi"/>
                <w:sz w:val="22"/>
                <w:szCs w:val="22"/>
              </w:rPr>
            </w:pPr>
            <w:r w:rsidRPr="00307028">
              <w:rPr>
                <w:rFonts w:eastAsiaTheme="minorHAnsi"/>
                <w:sz w:val="22"/>
                <w:szCs w:val="22"/>
              </w:rPr>
              <w:t>VNĪ</w:t>
            </w:r>
          </w:p>
        </w:tc>
        <w:tc>
          <w:tcPr>
            <w:tcW w:w="9234" w:type="dxa"/>
            <w:shd w:val="clear" w:color="auto" w:fill="auto"/>
          </w:tcPr>
          <w:p w14:paraId="338FC9B3" w14:textId="608C4B8C" w:rsidR="00B77250" w:rsidRPr="00307028" w:rsidRDefault="00B77250" w:rsidP="00B77250">
            <w:pPr>
              <w:tabs>
                <w:tab w:val="left" w:pos="1494"/>
              </w:tabs>
              <w:rPr>
                <w:rFonts w:eastAsiaTheme="minorHAnsi"/>
                <w:sz w:val="22"/>
                <w:szCs w:val="22"/>
              </w:rPr>
            </w:pPr>
            <w:r w:rsidRPr="00307028">
              <w:rPr>
                <w:rFonts w:eastAsiaTheme="minorHAnsi"/>
                <w:sz w:val="22"/>
                <w:szCs w:val="22"/>
              </w:rPr>
              <w:t>Valsts akciju sabiedrība “Valsts nekustamie īpašumi”</w:t>
            </w:r>
          </w:p>
        </w:tc>
      </w:tr>
      <w:tr w:rsidR="00B77250" w:rsidRPr="00307028" w14:paraId="40BD6627" w14:textId="77777777" w:rsidTr="00DA0139">
        <w:trPr>
          <w:trHeight w:val="269"/>
        </w:trPr>
        <w:tc>
          <w:tcPr>
            <w:tcW w:w="1257" w:type="dxa"/>
            <w:shd w:val="clear" w:color="auto" w:fill="auto"/>
          </w:tcPr>
          <w:p w14:paraId="163D27E9" w14:textId="5111753B" w:rsidR="00B77250" w:rsidRPr="00307028" w:rsidRDefault="00B77250" w:rsidP="00B77250">
            <w:pPr>
              <w:tabs>
                <w:tab w:val="left" w:pos="1494"/>
              </w:tabs>
              <w:rPr>
                <w:rFonts w:eastAsiaTheme="minorHAnsi"/>
                <w:sz w:val="22"/>
                <w:szCs w:val="22"/>
              </w:rPr>
            </w:pPr>
            <w:r w:rsidRPr="00307028">
              <w:rPr>
                <w:rFonts w:eastAsiaTheme="minorHAnsi"/>
                <w:sz w:val="22"/>
                <w:szCs w:val="22"/>
                <w:lang w:eastAsia="lv-LV"/>
              </w:rPr>
              <w:t>VP</w:t>
            </w:r>
          </w:p>
        </w:tc>
        <w:tc>
          <w:tcPr>
            <w:tcW w:w="9234" w:type="dxa"/>
            <w:shd w:val="clear" w:color="auto" w:fill="auto"/>
          </w:tcPr>
          <w:p w14:paraId="4330C333" w14:textId="25CB3738" w:rsidR="00B77250" w:rsidRPr="00307028" w:rsidRDefault="00B77250" w:rsidP="00B77250">
            <w:pPr>
              <w:tabs>
                <w:tab w:val="left" w:pos="1494"/>
              </w:tabs>
              <w:rPr>
                <w:rFonts w:eastAsiaTheme="minorHAnsi"/>
                <w:sz w:val="22"/>
                <w:szCs w:val="22"/>
              </w:rPr>
            </w:pPr>
            <w:r w:rsidRPr="00307028">
              <w:rPr>
                <w:rFonts w:eastAsiaTheme="minorHAnsi"/>
                <w:bCs/>
                <w:sz w:val="22"/>
                <w:szCs w:val="22"/>
              </w:rPr>
              <w:t>Valsts policija</w:t>
            </w:r>
          </w:p>
        </w:tc>
      </w:tr>
      <w:tr w:rsidR="00B77250" w:rsidRPr="00307028" w14:paraId="337040B8" w14:textId="77777777" w:rsidTr="00DA0139">
        <w:trPr>
          <w:trHeight w:val="269"/>
        </w:trPr>
        <w:tc>
          <w:tcPr>
            <w:tcW w:w="1257" w:type="dxa"/>
            <w:shd w:val="clear" w:color="auto" w:fill="auto"/>
          </w:tcPr>
          <w:p w14:paraId="31615019" w14:textId="3D485EAF"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VPD</w:t>
            </w:r>
          </w:p>
        </w:tc>
        <w:tc>
          <w:tcPr>
            <w:tcW w:w="9234" w:type="dxa"/>
            <w:shd w:val="clear" w:color="auto" w:fill="auto"/>
          </w:tcPr>
          <w:p w14:paraId="7D4AA386" w14:textId="1C652F00" w:rsidR="00B77250" w:rsidRPr="00307028" w:rsidRDefault="00B77250" w:rsidP="00B77250">
            <w:pPr>
              <w:tabs>
                <w:tab w:val="left" w:pos="1494"/>
              </w:tabs>
              <w:rPr>
                <w:rFonts w:eastAsiaTheme="minorHAnsi"/>
                <w:bCs/>
                <w:sz w:val="22"/>
                <w:szCs w:val="22"/>
              </w:rPr>
            </w:pPr>
            <w:r w:rsidRPr="00307028">
              <w:rPr>
                <w:rFonts w:eastAsiaTheme="minorHAnsi"/>
                <w:bCs/>
                <w:sz w:val="22"/>
                <w:szCs w:val="22"/>
              </w:rPr>
              <w:t>Valsts probācijas dienests</w:t>
            </w:r>
          </w:p>
        </w:tc>
      </w:tr>
      <w:tr w:rsidR="00B77250" w:rsidRPr="00307028" w14:paraId="42413776" w14:textId="77777777" w:rsidTr="00DA0139">
        <w:trPr>
          <w:trHeight w:val="269"/>
        </w:trPr>
        <w:tc>
          <w:tcPr>
            <w:tcW w:w="1257" w:type="dxa"/>
            <w:shd w:val="clear" w:color="auto" w:fill="auto"/>
          </w:tcPr>
          <w:p w14:paraId="7A4E7412" w14:textId="0A4E081A"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VPK</w:t>
            </w:r>
          </w:p>
        </w:tc>
        <w:tc>
          <w:tcPr>
            <w:tcW w:w="9234" w:type="dxa"/>
            <w:shd w:val="clear" w:color="auto" w:fill="auto"/>
          </w:tcPr>
          <w:p w14:paraId="2EC7CE47" w14:textId="6E9983D7" w:rsidR="00B77250" w:rsidRPr="00307028" w:rsidRDefault="00B77250" w:rsidP="00B77250">
            <w:pPr>
              <w:tabs>
                <w:tab w:val="left" w:pos="1494"/>
              </w:tabs>
              <w:rPr>
                <w:rFonts w:eastAsiaTheme="minorHAnsi"/>
                <w:bCs/>
                <w:sz w:val="22"/>
                <w:szCs w:val="22"/>
              </w:rPr>
            </w:pPr>
            <w:r w:rsidRPr="00307028">
              <w:rPr>
                <w:rFonts w:eastAsiaTheme="minorHAnsi"/>
                <w:bCs/>
                <w:sz w:val="22"/>
                <w:szCs w:val="22"/>
              </w:rPr>
              <w:t>Valsts prezidenta kanceleja</w:t>
            </w:r>
          </w:p>
        </w:tc>
      </w:tr>
      <w:tr w:rsidR="00B77250" w:rsidRPr="00307028" w14:paraId="451A2FAC" w14:textId="77777777" w:rsidTr="00DA0139">
        <w:trPr>
          <w:trHeight w:val="269"/>
        </w:trPr>
        <w:tc>
          <w:tcPr>
            <w:tcW w:w="1257" w:type="dxa"/>
            <w:shd w:val="clear" w:color="auto" w:fill="auto"/>
          </w:tcPr>
          <w:p w14:paraId="136E210C" w14:textId="6149EE65"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VPP</w:t>
            </w:r>
          </w:p>
        </w:tc>
        <w:tc>
          <w:tcPr>
            <w:tcW w:w="9234" w:type="dxa"/>
            <w:shd w:val="clear" w:color="auto" w:fill="auto"/>
          </w:tcPr>
          <w:p w14:paraId="02F67CB0" w14:textId="6C4B8051" w:rsidR="00B77250" w:rsidRPr="00307028" w:rsidRDefault="00B77250" w:rsidP="00B77250">
            <w:pPr>
              <w:tabs>
                <w:tab w:val="left" w:pos="1494"/>
              </w:tabs>
              <w:rPr>
                <w:rFonts w:eastAsiaTheme="minorHAnsi"/>
                <w:bCs/>
                <w:sz w:val="22"/>
                <w:szCs w:val="22"/>
              </w:rPr>
            </w:pPr>
            <w:r w:rsidRPr="00307028">
              <w:rPr>
                <w:rFonts w:eastAsiaTheme="minorHAnsi"/>
                <w:bCs/>
                <w:sz w:val="22"/>
                <w:szCs w:val="22"/>
              </w:rPr>
              <w:t>Valsts pētījumu programma</w:t>
            </w:r>
          </w:p>
        </w:tc>
      </w:tr>
      <w:tr w:rsidR="00B77250" w:rsidRPr="00307028" w14:paraId="1B21FAB6" w14:textId="77777777" w:rsidTr="00DA0139">
        <w:trPr>
          <w:trHeight w:val="269"/>
        </w:trPr>
        <w:tc>
          <w:tcPr>
            <w:tcW w:w="1257" w:type="dxa"/>
            <w:shd w:val="clear" w:color="auto" w:fill="auto"/>
          </w:tcPr>
          <w:p w14:paraId="77DF53D7" w14:textId="65A7209D"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VPVKAC</w:t>
            </w:r>
          </w:p>
        </w:tc>
        <w:tc>
          <w:tcPr>
            <w:tcW w:w="9234" w:type="dxa"/>
            <w:shd w:val="clear" w:color="auto" w:fill="auto"/>
          </w:tcPr>
          <w:p w14:paraId="4DA05677" w14:textId="579B1926" w:rsidR="00B77250" w:rsidRPr="00307028" w:rsidRDefault="00B77250" w:rsidP="00B77250">
            <w:pPr>
              <w:tabs>
                <w:tab w:val="left" w:pos="1494"/>
              </w:tabs>
              <w:rPr>
                <w:rFonts w:eastAsiaTheme="minorHAnsi"/>
                <w:bCs/>
                <w:sz w:val="22"/>
                <w:szCs w:val="22"/>
              </w:rPr>
            </w:pPr>
            <w:r w:rsidRPr="00307028">
              <w:rPr>
                <w:rFonts w:eastAsiaTheme="minorHAnsi"/>
                <w:bCs/>
                <w:sz w:val="22"/>
                <w:szCs w:val="22"/>
              </w:rPr>
              <w:t>Valsts un pašvaldību vienotais klientu apkalpošanas centrs</w:t>
            </w:r>
          </w:p>
        </w:tc>
      </w:tr>
      <w:tr w:rsidR="00B77250" w:rsidRPr="00307028" w14:paraId="3566F21B" w14:textId="77777777" w:rsidTr="00DA0139">
        <w:trPr>
          <w:trHeight w:val="269"/>
        </w:trPr>
        <w:tc>
          <w:tcPr>
            <w:tcW w:w="1257" w:type="dxa"/>
            <w:shd w:val="clear" w:color="auto" w:fill="auto"/>
          </w:tcPr>
          <w:p w14:paraId="54735BF5" w14:textId="2C6E999D"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VRAA</w:t>
            </w:r>
          </w:p>
        </w:tc>
        <w:tc>
          <w:tcPr>
            <w:tcW w:w="9234" w:type="dxa"/>
            <w:shd w:val="clear" w:color="auto" w:fill="auto"/>
          </w:tcPr>
          <w:p w14:paraId="689BA071" w14:textId="2A07F9C6" w:rsidR="00B77250" w:rsidRPr="00307028" w:rsidRDefault="00B77250" w:rsidP="00B77250">
            <w:pPr>
              <w:tabs>
                <w:tab w:val="left" w:pos="1494"/>
              </w:tabs>
              <w:rPr>
                <w:rFonts w:eastAsiaTheme="minorHAnsi"/>
                <w:bCs/>
                <w:sz w:val="22"/>
                <w:szCs w:val="22"/>
              </w:rPr>
            </w:pPr>
            <w:r w:rsidRPr="00307028">
              <w:rPr>
                <w:rFonts w:eastAsiaTheme="minorHAnsi"/>
                <w:bCs/>
                <w:sz w:val="22"/>
                <w:szCs w:val="22"/>
              </w:rPr>
              <w:t>Valsts reģionālās attīstības aģentūra</w:t>
            </w:r>
          </w:p>
        </w:tc>
      </w:tr>
      <w:tr w:rsidR="00B77250" w:rsidRPr="00307028" w14:paraId="740C9325" w14:textId="77777777" w:rsidTr="00DA0139">
        <w:trPr>
          <w:trHeight w:val="274"/>
        </w:trPr>
        <w:tc>
          <w:tcPr>
            <w:tcW w:w="1257" w:type="dxa"/>
            <w:shd w:val="clear" w:color="auto" w:fill="auto"/>
          </w:tcPr>
          <w:p w14:paraId="0198567B" w14:textId="77777777"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VSAA</w:t>
            </w:r>
          </w:p>
        </w:tc>
        <w:tc>
          <w:tcPr>
            <w:tcW w:w="9234" w:type="dxa"/>
            <w:shd w:val="clear" w:color="auto" w:fill="auto"/>
          </w:tcPr>
          <w:p w14:paraId="4C3A4F9A" w14:textId="77777777" w:rsidR="00B77250" w:rsidRPr="00307028" w:rsidRDefault="00B77250" w:rsidP="00B77250">
            <w:pPr>
              <w:rPr>
                <w:rFonts w:eastAsiaTheme="minorHAnsi"/>
                <w:bCs/>
                <w:sz w:val="22"/>
                <w:szCs w:val="22"/>
              </w:rPr>
            </w:pPr>
            <w:r w:rsidRPr="00307028">
              <w:rPr>
                <w:rFonts w:eastAsiaTheme="minorHAnsi"/>
                <w:bCs/>
                <w:sz w:val="22"/>
                <w:szCs w:val="22"/>
              </w:rPr>
              <w:t>Valsts sociālās apdrošināšanas aģentūra</w:t>
            </w:r>
          </w:p>
        </w:tc>
      </w:tr>
      <w:tr w:rsidR="00B77250" w:rsidRPr="00307028" w14:paraId="798B8BC3" w14:textId="77777777" w:rsidTr="00DA0139">
        <w:trPr>
          <w:trHeight w:val="274"/>
        </w:trPr>
        <w:tc>
          <w:tcPr>
            <w:tcW w:w="1257" w:type="dxa"/>
            <w:shd w:val="clear" w:color="auto" w:fill="auto"/>
          </w:tcPr>
          <w:p w14:paraId="2175F3B2" w14:textId="77777777" w:rsidR="00B77250" w:rsidRPr="00307028" w:rsidRDefault="00B77250" w:rsidP="00B77250">
            <w:pPr>
              <w:tabs>
                <w:tab w:val="left" w:pos="1494"/>
              </w:tabs>
              <w:rPr>
                <w:rFonts w:eastAsiaTheme="minorHAnsi"/>
                <w:sz w:val="22"/>
                <w:szCs w:val="22"/>
                <w:lang w:eastAsia="lv-LV"/>
              </w:rPr>
            </w:pPr>
            <w:r w:rsidRPr="00307028">
              <w:rPr>
                <w:rFonts w:eastAsiaTheme="minorHAnsi"/>
                <w:sz w:val="22"/>
                <w:szCs w:val="22"/>
                <w:lang w:eastAsia="lv-LV"/>
              </w:rPr>
              <w:t>VSIA</w:t>
            </w:r>
          </w:p>
        </w:tc>
        <w:tc>
          <w:tcPr>
            <w:tcW w:w="9234" w:type="dxa"/>
            <w:shd w:val="clear" w:color="auto" w:fill="auto"/>
          </w:tcPr>
          <w:p w14:paraId="4512B3E1" w14:textId="77777777" w:rsidR="00B77250" w:rsidRPr="00307028" w:rsidRDefault="00B77250" w:rsidP="00B77250">
            <w:pPr>
              <w:rPr>
                <w:rFonts w:eastAsiaTheme="minorHAnsi"/>
                <w:bCs/>
                <w:sz w:val="22"/>
                <w:szCs w:val="22"/>
              </w:rPr>
            </w:pPr>
            <w:r w:rsidRPr="00307028">
              <w:rPr>
                <w:rFonts w:eastAsiaTheme="minorHAnsi"/>
                <w:bCs/>
                <w:sz w:val="22"/>
                <w:szCs w:val="22"/>
              </w:rPr>
              <w:t>Valsts sabiedrība ar ierobežotu atbildību</w:t>
            </w:r>
          </w:p>
        </w:tc>
      </w:tr>
      <w:tr w:rsidR="00B77250" w:rsidRPr="00307028" w14:paraId="432023C3" w14:textId="77777777" w:rsidTr="00B77250">
        <w:trPr>
          <w:trHeight w:val="212"/>
        </w:trPr>
        <w:tc>
          <w:tcPr>
            <w:tcW w:w="1257" w:type="dxa"/>
            <w:shd w:val="clear" w:color="auto" w:fill="auto"/>
          </w:tcPr>
          <w:p w14:paraId="797DAD8D"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VTUA</w:t>
            </w:r>
          </w:p>
        </w:tc>
        <w:tc>
          <w:tcPr>
            <w:tcW w:w="9234" w:type="dxa"/>
            <w:shd w:val="clear" w:color="auto" w:fill="auto"/>
          </w:tcPr>
          <w:p w14:paraId="6577E1D9" w14:textId="77777777" w:rsidR="00B77250" w:rsidRPr="00307028" w:rsidRDefault="00B77250" w:rsidP="00B77250">
            <w:pPr>
              <w:rPr>
                <w:rFonts w:eastAsiaTheme="minorHAnsi"/>
                <w:sz w:val="22"/>
                <w:szCs w:val="22"/>
              </w:rPr>
            </w:pPr>
            <w:r w:rsidRPr="00307028">
              <w:rPr>
                <w:rFonts w:eastAsiaTheme="minorHAnsi"/>
                <w:sz w:val="22"/>
                <w:szCs w:val="22"/>
              </w:rPr>
              <w:t>Valsts tehniskās uzraudzības aģentūra</w:t>
            </w:r>
          </w:p>
        </w:tc>
      </w:tr>
      <w:tr w:rsidR="00B77250" w:rsidRPr="00307028" w14:paraId="7E61FBDB" w14:textId="77777777" w:rsidTr="00B77250">
        <w:trPr>
          <w:trHeight w:val="115"/>
        </w:trPr>
        <w:tc>
          <w:tcPr>
            <w:tcW w:w="1257" w:type="dxa"/>
            <w:shd w:val="clear" w:color="auto" w:fill="auto"/>
          </w:tcPr>
          <w:p w14:paraId="4308D930"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VUGD</w:t>
            </w:r>
          </w:p>
        </w:tc>
        <w:tc>
          <w:tcPr>
            <w:tcW w:w="9234" w:type="dxa"/>
            <w:shd w:val="clear" w:color="auto" w:fill="auto"/>
          </w:tcPr>
          <w:p w14:paraId="4580EF1D"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Valsts ugunsdzēsības un glābšanas dienests</w:t>
            </w:r>
          </w:p>
        </w:tc>
      </w:tr>
      <w:tr w:rsidR="00B77250" w:rsidRPr="00307028" w14:paraId="076F94CE" w14:textId="77777777" w:rsidTr="00B77250">
        <w:trPr>
          <w:trHeight w:val="234"/>
        </w:trPr>
        <w:tc>
          <w:tcPr>
            <w:tcW w:w="1257" w:type="dxa"/>
            <w:shd w:val="clear" w:color="auto" w:fill="auto"/>
          </w:tcPr>
          <w:p w14:paraId="120A840D" w14:textId="4AF2E8AF" w:rsidR="00B77250" w:rsidRPr="00307028" w:rsidRDefault="00B77250" w:rsidP="00B77250">
            <w:pPr>
              <w:tabs>
                <w:tab w:val="left" w:pos="1494"/>
              </w:tabs>
              <w:rPr>
                <w:rFonts w:eastAsiaTheme="minorHAnsi"/>
                <w:sz w:val="22"/>
                <w:szCs w:val="22"/>
              </w:rPr>
            </w:pPr>
            <w:r w:rsidRPr="00307028">
              <w:rPr>
                <w:rFonts w:eastAsiaTheme="minorHAnsi"/>
                <w:sz w:val="22"/>
                <w:szCs w:val="22"/>
              </w:rPr>
              <w:t>VVC</w:t>
            </w:r>
          </w:p>
        </w:tc>
        <w:tc>
          <w:tcPr>
            <w:tcW w:w="9234" w:type="dxa"/>
            <w:shd w:val="clear" w:color="auto" w:fill="auto"/>
          </w:tcPr>
          <w:p w14:paraId="3878A570" w14:textId="30E35D52" w:rsidR="00B77250" w:rsidRPr="00307028" w:rsidRDefault="00B77250" w:rsidP="00B77250">
            <w:pPr>
              <w:tabs>
                <w:tab w:val="left" w:pos="1494"/>
              </w:tabs>
              <w:rPr>
                <w:rFonts w:eastAsiaTheme="minorHAnsi"/>
                <w:sz w:val="22"/>
                <w:szCs w:val="22"/>
              </w:rPr>
            </w:pPr>
            <w:r w:rsidRPr="00307028">
              <w:rPr>
                <w:sz w:val="22"/>
                <w:szCs w:val="22"/>
              </w:rPr>
              <w:t>Valsts valodas centrs</w:t>
            </w:r>
          </w:p>
        </w:tc>
      </w:tr>
      <w:tr w:rsidR="00B77250" w:rsidRPr="00307028" w14:paraId="2D916C99" w14:textId="77777777" w:rsidTr="00B77250">
        <w:trPr>
          <w:trHeight w:val="237"/>
        </w:trPr>
        <w:tc>
          <w:tcPr>
            <w:tcW w:w="1257" w:type="dxa"/>
            <w:shd w:val="clear" w:color="auto" w:fill="auto"/>
          </w:tcPr>
          <w:p w14:paraId="1007F5F9"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VVD</w:t>
            </w:r>
          </w:p>
        </w:tc>
        <w:tc>
          <w:tcPr>
            <w:tcW w:w="9234" w:type="dxa"/>
            <w:shd w:val="clear" w:color="auto" w:fill="auto"/>
          </w:tcPr>
          <w:p w14:paraId="1C741D36"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Valsts vides dienests</w:t>
            </w:r>
          </w:p>
        </w:tc>
      </w:tr>
      <w:tr w:rsidR="00B77250" w:rsidRPr="00307028" w14:paraId="69F9125F" w14:textId="77777777" w:rsidTr="00B77250">
        <w:trPr>
          <w:trHeight w:val="114"/>
        </w:trPr>
        <w:tc>
          <w:tcPr>
            <w:tcW w:w="1257" w:type="dxa"/>
            <w:shd w:val="clear" w:color="auto" w:fill="auto"/>
          </w:tcPr>
          <w:p w14:paraId="3EFFE41A"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VZD</w:t>
            </w:r>
          </w:p>
        </w:tc>
        <w:tc>
          <w:tcPr>
            <w:tcW w:w="9234" w:type="dxa"/>
            <w:shd w:val="clear" w:color="auto" w:fill="auto"/>
          </w:tcPr>
          <w:p w14:paraId="79DE8DF6"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Valsts zemes dienests</w:t>
            </w:r>
          </w:p>
        </w:tc>
      </w:tr>
      <w:tr w:rsidR="00B77250" w:rsidRPr="00307028" w14:paraId="7F075246" w14:textId="77777777" w:rsidTr="00DA0139">
        <w:trPr>
          <w:trHeight w:val="284"/>
        </w:trPr>
        <w:tc>
          <w:tcPr>
            <w:tcW w:w="1257" w:type="dxa"/>
            <w:shd w:val="clear" w:color="auto" w:fill="auto"/>
          </w:tcPr>
          <w:p w14:paraId="1342B808" w14:textId="77777777" w:rsidR="00B77250" w:rsidRPr="00307028" w:rsidRDefault="00B77250" w:rsidP="00B77250">
            <w:pPr>
              <w:tabs>
                <w:tab w:val="left" w:pos="1494"/>
              </w:tabs>
              <w:rPr>
                <w:rFonts w:eastAsiaTheme="minorHAnsi"/>
                <w:sz w:val="22"/>
                <w:szCs w:val="22"/>
              </w:rPr>
            </w:pPr>
            <w:r w:rsidRPr="00307028">
              <w:rPr>
                <w:rFonts w:eastAsiaTheme="minorHAnsi"/>
                <w:sz w:val="22"/>
                <w:szCs w:val="22"/>
              </w:rPr>
              <w:t>ZM</w:t>
            </w:r>
          </w:p>
        </w:tc>
        <w:tc>
          <w:tcPr>
            <w:tcW w:w="9234" w:type="dxa"/>
            <w:shd w:val="clear" w:color="auto" w:fill="auto"/>
          </w:tcPr>
          <w:p w14:paraId="3821AD6F" w14:textId="475D64B6" w:rsidR="00B77250" w:rsidRPr="00307028" w:rsidRDefault="00B77250" w:rsidP="00B77250">
            <w:pPr>
              <w:tabs>
                <w:tab w:val="left" w:pos="1494"/>
              </w:tabs>
              <w:rPr>
                <w:rFonts w:eastAsiaTheme="minorHAnsi"/>
                <w:sz w:val="22"/>
                <w:szCs w:val="22"/>
              </w:rPr>
            </w:pPr>
            <w:r w:rsidRPr="00307028">
              <w:rPr>
                <w:rFonts w:eastAsiaTheme="minorHAnsi"/>
                <w:sz w:val="22"/>
                <w:szCs w:val="22"/>
              </w:rPr>
              <w:t>Zemkopības ministrija</w:t>
            </w:r>
          </w:p>
        </w:tc>
      </w:tr>
      <w:bookmarkEnd w:id="18"/>
    </w:tbl>
    <w:p w14:paraId="48762A98" w14:textId="77777777" w:rsidR="004B74BA" w:rsidRPr="00307028" w:rsidRDefault="004B74BA"/>
    <w:p w14:paraId="3B89A746" w14:textId="77777777" w:rsidR="004B74BA" w:rsidRPr="00307028" w:rsidRDefault="004B74BA"/>
    <w:p w14:paraId="44291B35" w14:textId="77777777" w:rsidR="00303004" w:rsidRPr="00307028" w:rsidRDefault="00303004"/>
    <w:p w14:paraId="79E1A0E9" w14:textId="13CB759C" w:rsidR="00543EBB" w:rsidRPr="00307028" w:rsidRDefault="00DA0139">
      <w:r w:rsidRPr="00307028">
        <w:rPr>
          <w:noProof/>
          <w:lang w:eastAsia="en-US"/>
        </w:rPr>
        <mc:AlternateContent>
          <mc:Choice Requires="wps">
            <w:drawing>
              <wp:anchor distT="0" distB="0" distL="114300" distR="114300" simplePos="0" relativeHeight="251665408" behindDoc="0" locked="0" layoutInCell="1" allowOverlap="1" wp14:anchorId="5CB91737" wp14:editId="5BA55FA9">
                <wp:simplePos x="0" y="0"/>
                <wp:positionH relativeFrom="column">
                  <wp:posOffset>-451485</wp:posOffset>
                </wp:positionH>
                <wp:positionV relativeFrom="paragraph">
                  <wp:posOffset>-481330</wp:posOffset>
                </wp:positionV>
                <wp:extent cx="7646035" cy="400050"/>
                <wp:effectExtent l="0" t="0" r="0" b="0"/>
                <wp:wrapNone/>
                <wp:docPr id="1752892889" name="Rectangle 1752892889"/>
                <wp:cNvGraphicFramePr/>
                <a:graphic xmlns:a="http://schemas.openxmlformats.org/drawingml/2006/main">
                  <a:graphicData uri="http://schemas.microsoft.com/office/word/2010/wordprocessingShape">
                    <wps:wsp>
                      <wps:cNvSpPr/>
                      <wps:spPr>
                        <a:xfrm>
                          <a:off x="0" y="0"/>
                          <a:ext cx="7646035" cy="400050"/>
                        </a:xfrm>
                        <a:prstGeom prst="rect">
                          <a:avLst/>
                        </a:prstGeom>
                        <a:solidFill>
                          <a:srgbClr val="3399CC">
                            <a:lumMod val="60000"/>
                            <a:lumOff val="40000"/>
                          </a:srgbClr>
                        </a:solidFill>
                        <a:ln w="25400" cap="flat" cmpd="sng" algn="ctr">
                          <a:noFill/>
                          <a:prstDash val="solid"/>
                        </a:ln>
                        <a:effectLst/>
                      </wps:spPr>
                      <wps:txbx>
                        <w:txbxContent>
                          <w:p w14:paraId="657EE366" w14:textId="77777777" w:rsidR="00DA0139" w:rsidRPr="00307028" w:rsidRDefault="00DA0139" w:rsidP="005A1F81">
                            <w:pPr>
                              <w:pStyle w:val="Heading1"/>
                              <w:spacing w:before="0" w:after="0"/>
                              <w:rPr>
                                <w:sz w:val="32"/>
                              </w:rPr>
                            </w:pPr>
                            <w:bookmarkStart w:id="19" w:name="_Toc139450167"/>
                            <w:bookmarkStart w:id="20" w:name="_Toc139450187"/>
                            <w:bookmarkStart w:id="21" w:name="_Toc139450202"/>
                            <w:bookmarkStart w:id="22" w:name="_Toc139457066"/>
                            <w:bookmarkStart w:id="23" w:name="_Toc139457144"/>
                            <w:bookmarkStart w:id="24" w:name="_Toc139457509"/>
                            <w:bookmarkStart w:id="25" w:name="_Toc139457581"/>
                            <w:bookmarkStart w:id="26" w:name="_Toc139457908"/>
                            <w:bookmarkStart w:id="27" w:name="_Toc139458086"/>
                            <w:bookmarkStart w:id="28" w:name="_Toc141774777"/>
                            <w:bookmarkStart w:id="29" w:name="_Toc141775380"/>
                            <w:bookmarkStart w:id="30" w:name="_Toc142492920"/>
                            <w:r w:rsidRPr="00307028">
                              <w:rPr>
                                <w:sz w:val="32"/>
                              </w:rPr>
                              <w:t>IEVADS</w:t>
                            </w:r>
                            <w:bookmarkEnd w:id="19"/>
                            <w:bookmarkEnd w:id="20"/>
                            <w:bookmarkEnd w:id="21"/>
                            <w:bookmarkEnd w:id="22"/>
                            <w:bookmarkEnd w:id="23"/>
                            <w:bookmarkEnd w:id="24"/>
                            <w:bookmarkEnd w:id="25"/>
                            <w:bookmarkEnd w:id="26"/>
                            <w:bookmarkEnd w:id="27"/>
                            <w:bookmarkEnd w:id="28"/>
                            <w:bookmarkEnd w:id="29"/>
                            <w:bookmarkEnd w:id="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91737" id="Rectangle 1752892889" o:spid="_x0000_s1028" style="position:absolute;margin-left:-35.55pt;margin-top:-37.9pt;width:602.0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" fillcolor="#85c2e0" stroked="f" strokeweight="2pt">
                <v:textbox>
                  <w:txbxContent>
                    <w:p w14:paraId="657EE366" w14:textId="77777777" w:rsidR="00DA0139" w:rsidRPr="00307028" w:rsidRDefault="00DA0139" w:rsidP="005A1F81">
                      <w:pPr>
                        <w:pStyle w:val="Heading1"/>
                        <w:spacing w:before="0" w:after="0"/>
                        <w:rPr>
                          <w:sz w:val="32"/>
                        </w:rPr>
                      </w:pPr>
                      <w:bookmarkStart w:id="31" w:name="_Toc139450167"/>
                      <w:bookmarkStart w:id="32" w:name="_Toc139450187"/>
                      <w:bookmarkStart w:id="33" w:name="_Toc139450202"/>
                      <w:bookmarkStart w:id="34" w:name="_Toc139457066"/>
                      <w:bookmarkStart w:id="35" w:name="_Toc139457144"/>
                      <w:bookmarkStart w:id="36" w:name="_Toc139457509"/>
                      <w:bookmarkStart w:id="37" w:name="_Toc139457581"/>
                      <w:bookmarkStart w:id="38" w:name="_Toc139457908"/>
                      <w:bookmarkStart w:id="39" w:name="_Toc139458086"/>
                      <w:bookmarkStart w:id="40" w:name="_Toc141774777"/>
                      <w:bookmarkStart w:id="41" w:name="_Toc141775380"/>
                      <w:bookmarkStart w:id="42" w:name="_Toc142492920"/>
                      <w:r w:rsidRPr="00307028">
                        <w:rPr>
                          <w:sz w:val="32"/>
                        </w:rPr>
                        <w:t>IEVADS</w:t>
                      </w:r>
                      <w:bookmarkEnd w:id="31"/>
                      <w:bookmarkEnd w:id="32"/>
                      <w:bookmarkEnd w:id="33"/>
                      <w:bookmarkEnd w:id="34"/>
                      <w:bookmarkEnd w:id="35"/>
                      <w:bookmarkEnd w:id="36"/>
                      <w:bookmarkEnd w:id="37"/>
                      <w:bookmarkEnd w:id="38"/>
                      <w:bookmarkEnd w:id="39"/>
                      <w:bookmarkEnd w:id="40"/>
                      <w:bookmarkEnd w:id="41"/>
                      <w:bookmarkEnd w:id="42"/>
                    </w:p>
                  </w:txbxContent>
                </v:textbox>
              </v:rect>
            </w:pict>
          </mc:Fallback>
        </mc:AlternateContent>
      </w:r>
    </w:p>
    <w:p w14:paraId="671C2868" w14:textId="59C80EA6" w:rsidR="00237E11" w:rsidRPr="00307028" w:rsidRDefault="00237E11" w:rsidP="00237E11">
      <w:pPr>
        <w:pStyle w:val="naisf"/>
        <w:spacing w:before="0" w:beforeAutospacing="0" w:after="120" w:afterAutospacing="0"/>
        <w:ind w:firstLine="720"/>
        <w:jc w:val="both"/>
      </w:pPr>
      <w:r w:rsidRPr="00307028">
        <w:t xml:space="preserve">Atbilstoši </w:t>
      </w:r>
      <w:r w:rsidR="00CE0C1C" w:rsidRPr="00307028">
        <w:t>MK</w:t>
      </w:r>
      <w:r w:rsidRPr="00307028">
        <w:t xml:space="preserve"> 202</w:t>
      </w:r>
      <w:r w:rsidR="006B5CDE" w:rsidRPr="00307028">
        <w:t>3</w:t>
      </w:r>
      <w:r w:rsidRPr="00307028">
        <w:t>. gada 1</w:t>
      </w:r>
      <w:r w:rsidR="006B5CDE" w:rsidRPr="00307028">
        <w:t>7</w:t>
      </w:r>
      <w:r w:rsidRPr="00307028">
        <w:t>. marta rīkojuma Nr. 1</w:t>
      </w:r>
      <w:r w:rsidR="006B5CDE" w:rsidRPr="00307028">
        <w:t>30</w:t>
      </w:r>
      <w:r w:rsidRPr="00307028">
        <w:t xml:space="preserve"> “</w:t>
      </w:r>
      <w:r w:rsidR="006B5CDE" w:rsidRPr="00307028">
        <w:t xml:space="preserve">Par </w:t>
      </w:r>
      <w:bookmarkStart w:id="43" w:name="_Hlk140571148"/>
      <w:r w:rsidR="006B5CDE" w:rsidRPr="00307028">
        <w:t>likumprojekta “Par valsts budžetu 2024. gadam un budžeta ietvaru 2024., 2025. un 2026. gadam</w:t>
      </w:r>
      <w:bookmarkEnd w:id="43"/>
      <w:r w:rsidR="008246EA" w:rsidRPr="00307028">
        <w:t>”</w:t>
      </w:r>
      <w:r w:rsidR="006B5CDE" w:rsidRPr="00307028">
        <w:t xml:space="preserve"> sagatavošanas grafiku</w:t>
      </w:r>
      <w:r w:rsidRPr="00307028">
        <w:t>”</w:t>
      </w:r>
      <w:r w:rsidR="006B5CDE" w:rsidRPr="00307028">
        <w:t xml:space="preserve"> </w:t>
      </w:r>
      <w:r w:rsidRPr="00307028">
        <w:t xml:space="preserve">(turpmāk – budžeta sagatavošanas grafiks) </w:t>
      </w:r>
      <w:r w:rsidR="00B77250" w:rsidRPr="00307028">
        <w:t xml:space="preserve">2. punktam un </w:t>
      </w:r>
      <w:r w:rsidRPr="00307028">
        <w:t xml:space="preserve">pielikuma </w:t>
      </w:r>
      <w:r w:rsidR="002F57A4" w:rsidRPr="00307028">
        <w:t>11</w:t>
      </w:r>
      <w:r w:rsidRPr="00307028">
        <w:t xml:space="preserve">. punktam </w:t>
      </w:r>
      <w:r w:rsidR="00CE0C1C" w:rsidRPr="00307028">
        <w:rPr>
          <w:b/>
          <w:bCs/>
        </w:rPr>
        <w:t>FM sagatavo un</w:t>
      </w:r>
      <w:r w:rsidRPr="00307028">
        <w:rPr>
          <w:b/>
          <w:bCs/>
        </w:rPr>
        <w:t xml:space="preserve"> iesniedz izskatīšanai 202</w:t>
      </w:r>
      <w:r w:rsidR="00F033DC" w:rsidRPr="00307028">
        <w:rPr>
          <w:b/>
          <w:bCs/>
        </w:rPr>
        <w:t>3</w:t>
      </w:r>
      <w:r w:rsidRPr="00307028">
        <w:rPr>
          <w:b/>
          <w:bCs/>
        </w:rPr>
        <w:t xml:space="preserve">. gada </w:t>
      </w:r>
      <w:r w:rsidR="002F57A4" w:rsidRPr="00307028">
        <w:rPr>
          <w:b/>
          <w:bCs/>
        </w:rPr>
        <w:t>15. augusta</w:t>
      </w:r>
      <w:r w:rsidRPr="00307028">
        <w:rPr>
          <w:b/>
          <w:bCs/>
        </w:rPr>
        <w:t xml:space="preserve"> </w:t>
      </w:r>
      <w:r w:rsidR="00CE0C1C" w:rsidRPr="00307028">
        <w:rPr>
          <w:b/>
          <w:bCs/>
        </w:rPr>
        <w:t xml:space="preserve">MK </w:t>
      </w:r>
      <w:r w:rsidRPr="00307028">
        <w:rPr>
          <w:b/>
          <w:bCs/>
        </w:rPr>
        <w:t>sēdē informatīvo ziņojumu</w:t>
      </w:r>
      <w:r w:rsidR="00DC6891" w:rsidRPr="00307028">
        <w:rPr>
          <w:b/>
          <w:bCs/>
        </w:rPr>
        <w:t xml:space="preserve"> </w:t>
      </w:r>
      <w:r w:rsidR="002F57A4" w:rsidRPr="00307028">
        <w:rPr>
          <w:b/>
          <w:bCs/>
        </w:rPr>
        <w:t>“Par valsts pamatbudžeta un valsts speciālā budžeta bāzi un izdevumu pārskatīšanas rezultātiem 2024., 2025. un 2026. gadam”</w:t>
      </w:r>
      <w:r w:rsidRPr="00307028">
        <w:t>.</w:t>
      </w:r>
    </w:p>
    <w:p w14:paraId="1D44C6B8" w14:textId="0D12E98F" w:rsidR="00CE0C1C" w:rsidRPr="00307028" w:rsidRDefault="00674C69" w:rsidP="00237E11">
      <w:pPr>
        <w:pStyle w:val="naisf"/>
        <w:spacing w:before="0" w:beforeAutospacing="0" w:after="120" w:afterAutospacing="0"/>
        <w:ind w:firstLine="720"/>
        <w:jc w:val="both"/>
      </w:pPr>
      <w:r w:rsidRPr="00307028">
        <w:t xml:space="preserve">Šis informatīvais ziņojums </w:t>
      </w:r>
      <w:r w:rsidR="008246EA" w:rsidRPr="00307028">
        <w:t>ir</w:t>
      </w:r>
      <w:r w:rsidRPr="00307028">
        <w:t xml:space="preserve"> </w:t>
      </w:r>
      <w:r w:rsidR="008246EA" w:rsidRPr="00307028">
        <w:t>sa</w:t>
      </w:r>
      <w:r w:rsidRPr="00307028">
        <w:t>dalīts divās daļ</w:t>
      </w:r>
      <w:r w:rsidR="00C66CAC" w:rsidRPr="00307028">
        <w:t>ā</w:t>
      </w:r>
      <w:r w:rsidRPr="00307028">
        <w:t>s – pirmajā</w:t>
      </w:r>
      <w:r w:rsidR="00DC6891" w:rsidRPr="00307028">
        <w:t xml:space="preserve"> tiek</w:t>
      </w:r>
      <w:r w:rsidRPr="00307028">
        <w:t xml:space="preserve"> snie</w:t>
      </w:r>
      <w:r w:rsidR="00DC6891" w:rsidRPr="00307028">
        <w:t>gti</w:t>
      </w:r>
      <w:r w:rsidRPr="00307028">
        <w:t xml:space="preserve"> priekšlikum</w:t>
      </w:r>
      <w:r w:rsidR="00DC6891" w:rsidRPr="00307028">
        <w:t>i</w:t>
      </w:r>
      <w:r w:rsidRPr="00307028">
        <w:t xml:space="preserve"> valsts pamatbudžeta un valsts speciālā budžeta bāzes precizējumiem atbilstoši MK noteikumiem Nr.</w:t>
      </w:r>
      <w:r w:rsidR="00DC6891" w:rsidRPr="00307028">
        <w:t xml:space="preserve"> </w:t>
      </w:r>
      <w:r w:rsidRPr="00307028">
        <w:t>15</w:t>
      </w:r>
      <w:r w:rsidRPr="00307028">
        <w:rPr>
          <w:rStyle w:val="FootnoteReference"/>
        </w:rPr>
        <w:footnoteReference w:id="1"/>
      </w:r>
      <w:r w:rsidR="00DC6891" w:rsidRPr="00307028">
        <w:t>, bet o</w:t>
      </w:r>
      <w:r w:rsidRPr="00307028">
        <w:t>trajā inform</w:t>
      </w:r>
      <w:r w:rsidR="008246EA" w:rsidRPr="00307028">
        <w:t>ācija</w:t>
      </w:r>
      <w:r w:rsidRPr="00307028">
        <w:t xml:space="preserve"> par valsts budžeta izdevumu pārskatīšanas rezultātiem atbilstoši LBFV 16.</w:t>
      </w:r>
      <w:r w:rsidRPr="00307028">
        <w:rPr>
          <w:vertAlign w:val="superscript"/>
        </w:rPr>
        <w:t>3</w:t>
      </w:r>
      <w:r w:rsidRPr="00307028">
        <w:t xml:space="preserve"> pantā noteiktajam, </w:t>
      </w:r>
      <w:r w:rsidR="00DC6891" w:rsidRPr="00307028">
        <w:t xml:space="preserve">proti, </w:t>
      </w:r>
      <w:r w:rsidRPr="00307028">
        <w:t>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pārskatīšana.</w:t>
      </w:r>
    </w:p>
    <w:p w14:paraId="3A8CFB8D" w14:textId="5A3BDA02" w:rsidR="00543EBB" w:rsidRPr="00307028" w:rsidRDefault="00674C69" w:rsidP="00674C69">
      <w:pPr>
        <w:jc w:val="both"/>
      </w:pPr>
      <w:r w:rsidRPr="00307028">
        <w:tab/>
      </w:r>
      <w:r w:rsidR="00066F37" w:rsidRPr="00307028">
        <w:t>Pamatojoties uz apstiprinātajiem valsts budžeta bāzes izdevumiem, valsts budžeta izdevumu pārskatīšanas rezultātiem un priekšlikumiem par šo rezultātu izmantošanu likumprojekta “Par valsts budžetu 2024. gadam un budžeta ietvaru 2024., 2025. un 2026. gadam” izstrādes procesā, kā arī MK pieņemtajiem lēmumiem par PP, tiks aprēķināts maksimāli pieļaujamais valsts budžeta izdevumu kopapjoms vidējam termiņam un maksimāli pieļaujamais valsts budžeta kopējo izdevumu apjoms katrai ministrijai vidējam termiņam.</w:t>
      </w:r>
    </w:p>
    <w:p w14:paraId="553C12E3" w14:textId="3AB32FF3" w:rsidR="00543EBB" w:rsidRPr="00307028" w:rsidRDefault="00543EBB"/>
    <w:p w14:paraId="26758841" w14:textId="77777777" w:rsidR="00543EBB" w:rsidRPr="00307028" w:rsidRDefault="00543EBB"/>
    <w:p w14:paraId="3C27D9EB" w14:textId="77777777" w:rsidR="00543EBB" w:rsidRPr="00307028" w:rsidRDefault="00543EBB"/>
    <w:p w14:paraId="322B1B67" w14:textId="49E98ED1" w:rsidR="008C3B3C" w:rsidRPr="00307028" w:rsidRDefault="008C3B3C"/>
    <w:p w14:paraId="1243C667" w14:textId="77777777" w:rsidR="00DA0139" w:rsidRPr="00307028" w:rsidRDefault="00DA0139"/>
    <w:p w14:paraId="3F2ACC95" w14:textId="77777777" w:rsidR="00DA0139" w:rsidRPr="00307028" w:rsidRDefault="00DA0139"/>
    <w:p w14:paraId="15F73418" w14:textId="77777777" w:rsidR="00DA0139" w:rsidRPr="00307028" w:rsidRDefault="00DA0139"/>
    <w:p w14:paraId="6A6A2150" w14:textId="77777777" w:rsidR="00DA0139" w:rsidRPr="00307028" w:rsidRDefault="00DA0139"/>
    <w:p w14:paraId="2D532C6E" w14:textId="77777777" w:rsidR="00DA0139" w:rsidRPr="00307028" w:rsidRDefault="00DA0139"/>
    <w:p w14:paraId="210CF937" w14:textId="77777777" w:rsidR="00DA0139" w:rsidRPr="00307028" w:rsidRDefault="00DA0139"/>
    <w:p w14:paraId="5F9AB919" w14:textId="77777777" w:rsidR="00DA0139" w:rsidRPr="00307028" w:rsidRDefault="00DA0139"/>
    <w:p w14:paraId="3DF0ADB1" w14:textId="77777777" w:rsidR="00DA0139" w:rsidRPr="00307028" w:rsidRDefault="00DA0139"/>
    <w:p w14:paraId="3692DD44" w14:textId="77777777" w:rsidR="00DA0139" w:rsidRPr="00307028" w:rsidRDefault="00DA0139"/>
    <w:p w14:paraId="07359004" w14:textId="77777777" w:rsidR="00DA0139" w:rsidRPr="00307028" w:rsidRDefault="00DA0139"/>
    <w:p w14:paraId="0EB090DC" w14:textId="77777777" w:rsidR="00DA0139" w:rsidRPr="00307028" w:rsidRDefault="00DA0139"/>
    <w:p w14:paraId="1306A0C0" w14:textId="77777777" w:rsidR="00DA0139" w:rsidRPr="00307028" w:rsidRDefault="00DA0139"/>
    <w:p w14:paraId="56111080" w14:textId="77777777" w:rsidR="00DA0139" w:rsidRPr="00307028" w:rsidRDefault="00DA0139"/>
    <w:p w14:paraId="52FA2379" w14:textId="77777777" w:rsidR="00DA0139" w:rsidRPr="00307028" w:rsidRDefault="00DA0139"/>
    <w:p w14:paraId="00077579" w14:textId="77777777" w:rsidR="00DA0139" w:rsidRPr="00307028" w:rsidRDefault="00DA0139"/>
    <w:p w14:paraId="59F9FFB4" w14:textId="77777777" w:rsidR="00DA0139" w:rsidRPr="00307028" w:rsidRDefault="00DA0139"/>
    <w:p w14:paraId="5D9E96BC" w14:textId="77777777" w:rsidR="00DA0139" w:rsidRPr="00307028" w:rsidRDefault="00DA0139"/>
    <w:p w14:paraId="14CACE97" w14:textId="77777777" w:rsidR="00DA0139" w:rsidRPr="00307028" w:rsidRDefault="00DA0139"/>
    <w:p w14:paraId="76737CA2" w14:textId="77777777" w:rsidR="00DA0139" w:rsidRPr="00307028" w:rsidRDefault="00DA0139"/>
    <w:p w14:paraId="6F1F27A7" w14:textId="77777777" w:rsidR="00DA0139" w:rsidRPr="00307028" w:rsidRDefault="00DA0139"/>
    <w:p w14:paraId="4CB11A9C" w14:textId="0B061F58" w:rsidR="00DA0139" w:rsidRPr="00307028" w:rsidRDefault="00DA0139"/>
    <w:bookmarkStart w:id="44" w:name="_Toc142492921"/>
    <w:p w14:paraId="6DA686F5" w14:textId="59A1CB6C" w:rsidR="00741C4A" w:rsidRDefault="00741C4A" w:rsidP="00741C4A">
      <w:pPr>
        <w:pStyle w:val="Heading1"/>
        <w:ind w:left="-567" w:right="-568"/>
        <w:rPr>
          <w:lang w:eastAsia="lv-LV"/>
        </w:rPr>
      </w:pPr>
      <w:r>
        <w:rPr>
          <w:noProof/>
          <w:lang w:eastAsia="lv-LV"/>
          <w14:ligatures w14:val="standardContextual"/>
        </w:rPr>
        <w:lastRenderedPageBreak/>
        <mc:AlternateContent>
          <mc:Choice Requires="wps">
            <w:drawing>
              <wp:anchor distT="0" distB="0" distL="114300" distR="114300" simplePos="0" relativeHeight="251765760" behindDoc="1" locked="0" layoutInCell="1" allowOverlap="1" wp14:anchorId="2F05D99C" wp14:editId="50E04081">
                <wp:simplePos x="0" y="0"/>
                <wp:positionH relativeFrom="column">
                  <wp:posOffset>-586740</wp:posOffset>
                </wp:positionH>
                <wp:positionV relativeFrom="paragraph">
                  <wp:posOffset>-171063</wp:posOffset>
                </wp:positionV>
                <wp:extent cx="7064679" cy="874257"/>
                <wp:effectExtent l="0" t="0" r="22225" b="21590"/>
                <wp:wrapNone/>
                <wp:docPr id="1147246668" name="Rectangle 4"/>
                <wp:cNvGraphicFramePr/>
                <a:graphic xmlns:a="http://schemas.openxmlformats.org/drawingml/2006/main">
                  <a:graphicData uri="http://schemas.microsoft.com/office/word/2010/wordprocessingShape">
                    <wps:wsp>
                      <wps:cNvSpPr/>
                      <wps:spPr>
                        <a:xfrm>
                          <a:off x="0" y="0"/>
                          <a:ext cx="7064679" cy="874257"/>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44C88F" id="Rectangle 4" o:spid="_x0000_s1026" style="position:absolute;margin-left:-46.2pt;margin-top:-13.45pt;width:556.25pt;height:68.85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" fillcolor="#fbe4d5 [661]" strokecolor="#fbe4d5 [661]" strokeweight="1pt"/>
            </w:pict>
          </mc:Fallback>
        </mc:AlternateContent>
      </w:r>
      <w:r w:rsidRPr="00741C4A">
        <w:rPr>
          <w:lang w:eastAsia="lv-LV"/>
        </w:rPr>
        <w:t>VALSTS PAMATBUDŽETA un VALSTS SPECIĀLĀ BUDŽETA BĀZES PROJEKTS</w:t>
      </w:r>
      <w:bookmarkEnd w:id="44"/>
    </w:p>
    <w:p w14:paraId="3F2994D6" w14:textId="77777777" w:rsidR="00741C4A" w:rsidRPr="00741C4A" w:rsidRDefault="00741C4A" w:rsidP="00741C4A">
      <w:pPr>
        <w:rPr>
          <w:lang w:eastAsia="lv-LV"/>
        </w:rPr>
      </w:pPr>
    </w:p>
    <w:p w14:paraId="657EF24D" w14:textId="507B49B9" w:rsidR="00066F37" w:rsidRPr="00307028" w:rsidRDefault="00066F37" w:rsidP="00066F37">
      <w:pPr>
        <w:pStyle w:val="naisf"/>
        <w:spacing w:before="0" w:beforeAutospacing="0" w:after="120" w:afterAutospacing="0"/>
        <w:ind w:firstLine="720"/>
        <w:jc w:val="both"/>
      </w:pPr>
      <w:r w:rsidRPr="00307028">
        <w:rPr>
          <w:lang w:eastAsia="lv-LV"/>
        </w:rPr>
        <w:t>Saskaņā ar MK 2023. gada 17. janvāra noteikumu Nr. 15 “M</w:t>
      </w:r>
      <w:r w:rsidRPr="00307028">
        <w:rPr>
          <w:bCs/>
          <w:lang w:eastAsia="lv-LV"/>
        </w:rPr>
        <w:t xml:space="preserve">aksimāli pieļaujamā valsts budžeta izdevumu kopapjoma un katrai ministrijai un citai centrālajai valsts iestādei paredzētā izdevumu kopējā apjoma noteikšanas kārtība vidējam termiņam” </w:t>
      </w:r>
      <w:r w:rsidRPr="00307028">
        <w:t xml:space="preserve">(turpmāk – noteikumi Nr. 15) </w:t>
      </w:r>
      <w:r w:rsidRPr="00307028">
        <w:rPr>
          <w:bCs/>
          <w:lang w:eastAsia="lv-LV"/>
        </w:rPr>
        <w:t xml:space="preserve">13. un 17. punktā noteikto </w:t>
      </w:r>
      <w:r w:rsidRPr="00307028">
        <w:t xml:space="preserve">FM atbilstoši budžeta sagatavošanas grafikam jāiesniedz MK apstiprināšanai valsts pamatbudžeta un valsts speciālā budžeta bāzes projektu, pievienojot bāzes izdevumos neiekļauto pasākumu sarakstu. </w:t>
      </w:r>
    </w:p>
    <w:p w14:paraId="52227214" w14:textId="2F1FBEB0" w:rsidR="00066F37" w:rsidRPr="00307028" w:rsidRDefault="00066F37" w:rsidP="00DC3088">
      <w:pPr>
        <w:pStyle w:val="tv2131"/>
        <w:spacing w:after="120" w:line="240" w:lineRule="auto"/>
        <w:ind w:firstLine="720"/>
        <w:jc w:val="both"/>
        <w:rPr>
          <w:color w:val="auto"/>
          <w:sz w:val="24"/>
          <w:szCs w:val="24"/>
        </w:rPr>
      </w:pPr>
      <w:r w:rsidRPr="00307028">
        <w:rPr>
          <w:color w:val="auto"/>
          <w:sz w:val="24"/>
          <w:szCs w:val="24"/>
        </w:rPr>
        <w:t xml:space="preserve">Ir nepieciešams </w:t>
      </w:r>
      <w:r w:rsidRPr="00307028">
        <w:rPr>
          <w:iCs/>
          <w:color w:val="auto"/>
          <w:sz w:val="24"/>
          <w:szCs w:val="24"/>
        </w:rPr>
        <w:t>likumprojekta</w:t>
      </w:r>
      <w:r w:rsidRPr="00307028">
        <w:rPr>
          <w:bCs/>
          <w:color w:val="auto"/>
          <w:sz w:val="24"/>
          <w:szCs w:val="24"/>
        </w:rPr>
        <w:t xml:space="preserve"> “Par valsts budžetu 2024. gadam un</w:t>
      </w:r>
      <w:r w:rsidRPr="00307028">
        <w:rPr>
          <w:iCs/>
          <w:color w:val="auto"/>
          <w:sz w:val="24"/>
          <w:szCs w:val="24"/>
        </w:rPr>
        <w:t xml:space="preserve"> budžeta ietvaru 2024., 2025. un 2026. gadam</w:t>
      </w:r>
      <w:r w:rsidRPr="00307028">
        <w:rPr>
          <w:bCs/>
          <w:color w:val="auto"/>
          <w:sz w:val="24"/>
          <w:szCs w:val="24"/>
        </w:rPr>
        <w:t>”</w:t>
      </w:r>
      <w:r w:rsidRPr="00307028">
        <w:rPr>
          <w:iCs/>
          <w:color w:val="auto"/>
          <w:sz w:val="24"/>
          <w:szCs w:val="24"/>
        </w:rPr>
        <w:t xml:space="preserve"> </w:t>
      </w:r>
      <w:r w:rsidRPr="00307028">
        <w:rPr>
          <w:color w:val="auto"/>
          <w:sz w:val="24"/>
          <w:szCs w:val="24"/>
        </w:rPr>
        <w:t>sagatavošanā ievērot budžeta sagatavošanas grafikā noteiktos termiņus, pirms galīgo lēmumu pieņemšanas, nodrošinot vispusīgu analīzi un diskusijas, lai likumprojektu varētu iesniegt Saeimā LBFV noteiktajā termiņā.</w:t>
      </w:r>
    </w:p>
    <w:p w14:paraId="41866844" w14:textId="4C7D2EDB" w:rsidR="00066F37" w:rsidRPr="00307028" w:rsidRDefault="00066F37" w:rsidP="00DC3088">
      <w:pPr>
        <w:spacing w:before="120"/>
        <w:ind w:firstLine="720"/>
        <w:jc w:val="both"/>
      </w:pPr>
      <w:r w:rsidRPr="00307028">
        <w:t>Ministriju 2024., 2025. un 2026. gada valsts budžeta bāzes ir noteiktas, ievērojot noteikumu Nr. 15 prasības, kā arī ņemot vērā MK pieņemtos lēmumus.</w:t>
      </w:r>
    </w:p>
    <w:p w14:paraId="21EEB9E8" w14:textId="6FE336C9" w:rsidR="0087009E" w:rsidRPr="00307028" w:rsidRDefault="00741C4A" w:rsidP="007917E2">
      <w:r w:rsidRPr="00307028">
        <w:rPr>
          <w:rFonts w:eastAsia="Calibri"/>
          <w:b/>
          <w:bCs/>
          <w:noProof/>
          <w:szCs w:val="20"/>
          <w:lang w:eastAsia="en-US"/>
        </w:rPr>
        <mc:AlternateContent>
          <mc:Choice Requires="wps">
            <w:drawing>
              <wp:anchor distT="45720" distB="45720" distL="114300" distR="114300" simplePos="0" relativeHeight="251759616" behindDoc="0" locked="0" layoutInCell="1" allowOverlap="1" wp14:anchorId="7AEB91EA" wp14:editId="04581EE4">
                <wp:simplePos x="0" y="0"/>
                <wp:positionH relativeFrom="margin">
                  <wp:posOffset>-15240</wp:posOffset>
                </wp:positionH>
                <wp:positionV relativeFrom="paragraph">
                  <wp:posOffset>220980</wp:posOffset>
                </wp:positionV>
                <wp:extent cx="5765800" cy="317500"/>
                <wp:effectExtent l="0" t="0" r="25400" b="25400"/>
                <wp:wrapTopAndBottom/>
                <wp:docPr id="721522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317500"/>
                        </a:xfrm>
                        <a:prstGeom prst="rect">
                          <a:avLst/>
                        </a:prstGeom>
                        <a:solidFill>
                          <a:srgbClr val="57ABD5"/>
                        </a:solidFill>
                        <a:ln w="9525">
                          <a:solidFill>
                            <a:srgbClr val="4472C4">
                              <a:lumMod val="60000"/>
                              <a:lumOff val="40000"/>
                            </a:srgbClr>
                          </a:solidFill>
                          <a:miter lim="800000"/>
                          <a:headEnd/>
                          <a:tailEnd/>
                        </a:ln>
                      </wps:spPr>
                      <wps:txbx>
                        <w:txbxContent>
                          <w:p w14:paraId="58A31865" w14:textId="77777777" w:rsidR="00066F37" w:rsidRPr="00741C4A" w:rsidRDefault="00066F37" w:rsidP="00066F37">
                            <w:pPr>
                              <w:jc w:val="center"/>
                              <w:rPr>
                                <w:b/>
                                <w:bCs/>
                                <w:caps/>
                                <w:sz w:val="28"/>
                                <w:szCs w:val="28"/>
                              </w:rPr>
                            </w:pPr>
                            <w:r w:rsidRPr="00741C4A">
                              <w:rPr>
                                <w:b/>
                                <w:bCs/>
                                <w:caps/>
                                <w:sz w:val="28"/>
                                <w:szCs w:val="28"/>
                              </w:rPr>
                              <w:t>Valsts pamatbudžeta bāze 2024., 2025. un 2026. gadam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B91EA" id="_x0000_t202" coordsize="21600,21600" o:spt="202" path="m,l,21600r21600,l21600,xe">
                <v:stroke joinstyle="miter"/>
                <v:path gradientshapeok="t" o:connecttype="rect"/>
              </v:shapetype>
              <v:shape id="Text Box 2" o:spid="_x0000_s1029" type="#_x0000_t202" style="position:absolute;margin-left:-1.2pt;margin-top:17.4pt;width:454pt;height:2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" fillcolor="#57abd5" strokecolor="#8faadc">
                <v:textbox>
                  <w:txbxContent>
                    <w:p w14:paraId="58A31865" w14:textId="77777777" w:rsidR="00066F37" w:rsidRPr="00741C4A" w:rsidRDefault="00066F37" w:rsidP="00066F37">
                      <w:pPr>
                        <w:jc w:val="center"/>
                        <w:rPr>
                          <w:b/>
                          <w:bCs/>
                          <w:caps/>
                          <w:sz w:val="28"/>
                          <w:szCs w:val="28"/>
                        </w:rPr>
                      </w:pPr>
                      <w:r w:rsidRPr="00741C4A">
                        <w:rPr>
                          <w:b/>
                          <w:bCs/>
                          <w:caps/>
                          <w:sz w:val="28"/>
                          <w:szCs w:val="28"/>
                        </w:rPr>
                        <w:t>Valsts pamatbudžeta bāze 2024., 2025. un 2026. gadam</w:t>
                      </w:r>
                    </w:p>
                  </w:txbxContent>
                </v:textbox>
                <w10:wrap type="topAndBottom" anchorx="margin"/>
              </v:shape>
            </w:pict>
          </mc:Fallback>
        </mc:AlternateContent>
      </w:r>
    </w:p>
    <w:p w14:paraId="38F25598" w14:textId="5E122A8B" w:rsidR="00066F37" w:rsidRPr="00307028" w:rsidRDefault="00066F37" w:rsidP="00502EF8">
      <w:pPr>
        <w:spacing w:after="120" w:line="259" w:lineRule="auto"/>
        <w:ind w:firstLine="720"/>
        <w:jc w:val="both"/>
        <w:rPr>
          <w:rFonts w:eastAsia="Times New Roman"/>
          <w:lang w:eastAsia="lv-LV"/>
        </w:rPr>
      </w:pPr>
      <w:r w:rsidRPr="00307028">
        <w:rPr>
          <w:rFonts w:eastAsia="Times New Roman"/>
          <w:lang w:eastAsia="lv-LV"/>
        </w:rPr>
        <w:t xml:space="preserve">Saskaņā ar noteikumiem </w:t>
      </w:r>
      <w:r w:rsidRPr="00307028">
        <w:rPr>
          <w:rFonts w:eastAsia="Times New Roman"/>
          <w:lang w:eastAsia="en-US"/>
        </w:rPr>
        <w:t xml:space="preserve">Nr. 15 </w:t>
      </w:r>
      <w:r w:rsidRPr="00307028">
        <w:rPr>
          <w:rFonts w:eastAsia="Times New Roman"/>
          <w:lang w:eastAsia="lv-LV"/>
        </w:rPr>
        <w:t xml:space="preserve">valsts pamatbudžeta bāze, kas nodrošina valsts funkciju izpildi nemainīgā līmenī, 2024. un 2025. gadam tiek aprēķināta, pamatojoties uz likumā </w:t>
      </w:r>
      <w:r w:rsidRPr="00307028">
        <w:rPr>
          <w:rFonts w:eastAsia="Times New Roman"/>
          <w:bCs/>
          <w:lang w:eastAsia="en-US"/>
        </w:rPr>
        <w:t>“Par valsts budžetu 2023. gadam un</w:t>
      </w:r>
      <w:r w:rsidRPr="00307028">
        <w:rPr>
          <w:rFonts w:eastAsia="Times New Roman"/>
          <w:iCs/>
          <w:lang w:eastAsia="en-US"/>
        </w:rPr>
        <w:t xml:space="preserve"> budžeta ietvaru 2023., 2024. un 2025. gadam</w:t>
      </w:r>
      <w:r w:rsidRPr="00307028">
        <w:rPr>
          <w:rFonts w:eastAsia="Times New Roman"/>
          <w:bCs/>
          <w:lang w:eastAsia="en-US"/>
        </w:rPr>
        <w:t>”</w:t>
      </w:r>
      <w:r w:rsidRPr="00307028">
        <w:rPr>
          <w:rFonts w:eastAsia="Times New Roman"/>
          <w:lang w:eastAsia="lv-LV"/>
        </w:rPr>
        <w:t xml:space="preserve"> noteikto maksimāli pieļaujamo izdevumu apjomu ministrijai attiecīgajam gadam, aprēķinos ievērojot pārmantojamības principu, bet 2026. gadam – pamatojoties uz 2025. gadam ministrijai apstiprināto maksimāli pieļaujamo izdevumu apjomu, kā arī ņemot vērā izmaiņa</w:t>
      </w:r>
      <w:r w:rsidR="000754A7" w:rsidRPr="00307028">
        <w:rPr>
          <w:rFonts w:eastAsia="Times New Roman"/>
          <w:lang w:eastAsia="lv-LV"/>
        </w:rPr>
        <w:t>s</w:t>
      </w:r>
      <w:r w:rsidRPr="00307028">
        <w:rPr>
          <w:rFonts w:eastAsia="Times New Roman"/>
          <w:lang w:eastAsia="lv-LV"/>
        </w:rPr>
        <w:t>:</w:t>
      </w:r>
    </w:p>
    <w:p w14:paraId="054DF8E9" w14:textId="3E44F87E"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lv-LV"/>
        </w:rPr>
      </w:pPr>
      <w:r w:rsidRPr="00307028">
        <w:rPr>
          <w:rFonts w:eastAsia="Times New Roman"/>
          <w:bCs/>
          <w:lang w:eastAsia="lv-LV"/>
        </w:rPr>
        <w:t xml:space="preserve">valsts budžeta ilgtermiņa saistībās normatīvajos aktos budžeta un finanšu vadības jomā noteiktajos gadījumos, tai skaitā </w:t>
      </w:r>
      <w:r w:rsidRPr="00307028">
        <w:rPr>
          <w:rFonts w:eastAsia="Times New Roman"/>
          <w:lang w:eastAsia="lv-LV"/>
        </w:rPr>
        <w:t xml:space="preserve">valsts budžeta ilgtermiņa saistībās procentu izdevumiem, kārtējiem maksājumiem </w:t>
      </w:r>
      <w:r w:rsidR="00502EF8" w:rsidRPr="00307028">
        <w:rPr>
          <w:rFonts w:eastAsia="Times New Roman"/>
          <w:lang w:eastAsia="lv-LV"/>
        </w:rPr>
        <w:t>ES</w:t>
      </w:r>
      <w:r w:rsidRPr="00307028">
        <w:rPr>
          <w:rFonts w:eastAsia="Times New Roman"/>
          <w:lang w:eastAsia="lv-LV"/>
        </w:rPr>
        <w:t xml:space="preserve"> budžetā un starptautiskai sadarbībai, </w:t>
      </w:r>
      <w:r w:rsidR="00502EF8" w:rsidRPr="00307028">
        <w:rPr>
          <w:rFonts w:eastAsia="Times New Roman"/>
          <w:lang w:eastAsia="lv-LV"/>
        </w:rPr>
        <w:t>ES</w:t>
      </w:r>
      <w:r w:rsidRPr="00307028">
        <w:rPr>
          <w:rFonts w:eastAsia="Times New Roman"/>
          <w:lang w:eastAsia="lv-LV"/>
        </w:rPr>
        <w:t xml:space="preserve">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w:t>
      </w:r>
    </w:p>
    <w:p w14:paraId="1B52C569" w14:textId="77777777"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lv-LV"/>
        </w:rPr>
      </w:pPr>
      <w:r w:rsidRPr="00307028">
        <w:rPr>
          <w:rFonts w:eastAsia="Times New Roman"/>
          <w:lang w:eastAsia="lv-LV"/>
        </w:rPr>
        <w:t>ieņēmumos no maksas pakalpojumiem un citos pašu ieņēmu</w:t>
      </w:r>
      <w:r w:rsidRPr="00307028">
        <w:rPr>
          <w:rFonts w:eastAsia="Times New Roman"/>
          <w:lang w:eastAsia="lv-LV"/>
        </w:rPr>
        <w:softHyphen/>
        <w:t>mos, to atlikumos un tiem atbilstošajos izdevumos;</w:t>
      </w:r>
    </w:p>
    <w:p w14:paraId="516BFA8D" w14:textId="77777777"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en-US"/>
        </w:rPr>
      </w:pPr>
      <w:r w:rsidRPr="00307028">
        <w:rPr>
          <w:rFonts w:eastAsia="Times New Roman"/>
          <w:lang w:eastAsia="lv-LV"/>
        </w:rPr>
        <w:t>šādās prognozēs:</w:t>
      </w:r>
      <w:r w:rsidRPr="00307028" w:rsidDel="006215C6">
        <w:rPr>
          <w:rFonts w:eastAsia="Times New Roman"/>
          <w:lang w:eastAsia="en-US"/>
        </w:rPr>
        <w:t xml:space="preserve"> </w:t>
      </w:r>
    </w:p>
    <w:p w14:paraId="3677CFE9" w14:textId="77777777" w:rsidR="000754A7" w:rsidRPr="00307028" w:rsidRDefault="000754A7" w:rsidP="00070D5F">
      <w:pPr>
        <w:numPr>
          <w:ilvl w:val="0"/>
          <w:numId w:val="49"/>
        </w:numPr>
        <w:tabs>
          <w:tab w:val="left" w:pos="993"/>
        </w:tabs>
        <w:spacing w:after="120" w:line="259" w:lineRule="auto"/>
        <w:ind w:left="0" w:firstLine="709"/>
        <w:jc w:val="both"/>
        <w:rPr>
          <w:rFonts w:eastAsia="Calibri"/>
          <w:lang w:eastAsia="en-US"/>
        </w:rPr>
      </w:pPr>
      <w:r w:rsidRPr="00307028">
        <w:rPr>
          <w:rFonts w:eastAsia="Calibri"/>
          <w:lang w:eastAsia="en-US"/>
        </w:rPr>
        <w:t>valsts sociālo pabalstu saņēmēju skaits;</w:t>
      </w:r>
    </w:p>
    <w:p w14:paraId="2D6FEB92"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izdienas pensiju un piemaksu pie vecuma un invaliditātes pensijām vidējais apmērs un saņēmēju skaits;</w:t>
      </w:r>
    </w:p>
    <w:p w14:paraId="39AD1648"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bēgļu un personu, kurām piešķirts alternatīvais statuss, pabalstu saņēmēju skaits;</w:t>
      </w:r>
    </w:p>
    <w:p w14:paraId="403CA49E"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personas ar invaliditāti (skaits), kuras saņem asistenta pakalpojumu;</w:t>
      </w:r>
    </w:p>
    <w:p w14:paraId="718420C8"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to personu skaits, kas saņem uzturlīdzekļus no Uzturlīdzekļu garantiju fonda;</w:t>
      </w:r>
    </w:p>
    <w:p w14:paraId="74EA7B42"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to cietušo skaits, kas saņem kompensācijas saskaņā ar likumu “Par valsts kompensāciju cietušajiem”;</w:t>
      </w:r>
    </w:p>
    <w:p w14:paraId="628794AD"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brīvpusdienu saņēmēju skaits;</w:t>
      </w:r>
    </w:p>
    <w:p w14:paraId="065F9AE0"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lastRenderedPageBreak/>
        <w:t>transferta pārskaitījumi no valsts pamatbudžeta uz valsts speciālo budžetu saistībā ar atsevišķās dzīves situācijās noteiktam personu lokam valsts sniegtā atbalsta vidējo apmēru un saņēmēju skaitu;</w:t>
      </w:r>
    </w:p>
    <w:p w14:paraId="1CC537AD" w14:textId="77777777" w:rsidR="000754A7" w:rsidRPr="00307028" w:rsidRDefault="000754A7" w:rsidP="00070D5F">
      <w:pPr>
        <w:numPr>
          <w:ilvl w:val="0"/>
          <w:numId w:val="49"/>
        </w:numPr>
        <w:shd w:val="clear" w:color="auto" w:fill="FFFFFF"/>
        <w:tabs>
          <w:tab w:val="left" w:pos="993"/>
        </w:tabs>
        <w:spacing w:after="120" w:line="259" w:lineRule="auto"/>
        <w:ind w:left="0" w:firstLine="709"/>
        <w:jc w:val="both"/>
        <w:rPr>
          <w:rFonts w:eastAsia="Times New Roman"/>
          <w:lang w:eastAsia="lv-LV"/>
        </w:rPr>
      </w:pPr>
      <w:r w:rsidRPr="00307028">
        <w:rPr>
          <w:rFonts w:eastAsia="Times New Roman"/>
          <w:lang w:eastAsia="lv-LV"/>
        </w:rPr>
        <w:t>izglītojamo skaits, atbilstoši kam tiek nodrošināts finansējuma apmērs pedagogu darba samaksai un valsts sociālās apdrošināšanas obligātajām iemaksām un mācību līdzekļu un mācību grāmatu iegādei;</w:t>
      </w:r>
    </w:p>
    <w:p w14:paraId="54F5B972" w14:textId="2299FF93"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en-US"/>
        </w:rPr>
      </w:pPr>
      <w:r w:rsidRPr="00307028">
        <w:rPr>
          <w:rFonts w:eastAsia="Times New Roman"/>
          <w:lang w:eastAsia="en-US"/>
        </w:rPr>
        <w:t xml:space="preserve">izdevumos pabeigto </w:t>
      </w:r>
      <w:r w:rsidR="00502EF8" w:rsidRPr="00307028">
        <w:rPr>
          <w:rFonts w:eastAsia="Times New Roman"/>
          <w:lang w:eastAsia="en-US"/>
        </w:rPr>
        <w:t>ES</w:t>
      </w:r>
      <w:r w:rsidRPr="00307028">
        <w:rPr>
          <w:rFonts w:eastAsia="Times New Roman"/>
          <w:lang w:eastAsia="en-US"/>
        </w:rPr>
        <w:t xml:space="preserve">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(nav attiecināms uz augstākās izglītības un profesionālās izglītības iestādēm, izņemot </w:t>
      </w:r>
      <w:r w:rsidR="00502EF8" w:rsidRPr="00307028">
        <w:rPr>
          <w:rFonts w:eastAsia="Times New Roman"/>
          <w:lang w:eastAsia="en-US"/>
        </w:rPr>
        <w:t>IeM</w:t>
      </w:r>
      <w:r w:rsidRPr="00307028">
        <w:rPr>
          <w:rFonts w:eastAsia="Times New Roman"/>
          <w:lang w:eastAsia="en-US"/>
        </w:rPr>
        <w:t xml:space="preserve"> sistēmas izglītības iestādes). Datiem par informācijas un komunikācijas tehnoloģiju projektu uzturēšanas izdevumiem pievieno </w:t>
      </w:r>
      <w:r w:rsidR="00502EF8" w:rsidRPr="00307028">
        <w:rPr>
          <w:rFonts w:eastAsia="Times New Roman"/>
          <w:lang w:eastAsia="en-US"/>
        </w:rPr>
        <w:t>VARAM</w:t>
      </w:r>
      <w:r w:rsidRPr="00307028">
        <w:rPr>
          <w:rFonts w:eastAsia="Times New Roman"/>
          <w:lang w:eastAsia="en-US"/>
        </w:rPr>
        <w:t xml:space="preserve"> atzinumu;</w:t>
      </w:r>
    </w:p>
    <w:p w14:paraId="71D81CD5" w14:textId="2CF60111"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lv-LV"/>
        </w:rPr>
      </w:pPr>
      <w:r w:rsidRPr="00307028">
        <w:rPr>
          <w:rFonts w:eastAsia="Times New Roman"/>
          <w:lang w:eastAsia="en-US"/>
        </w:rPr>
        <w:t xml:space="preserve">izdevumos pabeigto no valsts budžeta finansēto kapitālo ieguldījumu uzturēšanai, ja finansējums kapitālo ieguldījumu veikšanai tika piešķirts kā finansējums </w:t>
      </w:r>
      <w:r w:rsidR="00502EF8" w:rsidRPr="00307028">
        <w:rPr>
          <w:rFonts w:eastAsia="Times New Roman"/>
          <w:lang w:eastAsia="en-US"/>
        </w:rPr>
        <w:t>PP</w:t>
      </w:r>
      <w:r w:rsidRPr="00307028">
        <w:rPr>
          <w:rFonts w:eastAsia="Times New Roman"/>
          <w:lang w:eastAsia="en-US"/>
        </w:rPr>
        <w:t xml:space="preserve"> un ir terminēts;</w:t>
      </w:r>
    </w:p>
    <w:p w14:paraId="0AD71018" w14:textId="77777777"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lv-LV"/>
        </w:rPr>
      </w:pPr>
      <w:r w:rsidRPr="00307028">
        <w:rPr>
          <w:rFonts w:eastAsia="Times New Roman"/>
          <w:lang w:eastAsia="en-US"/>
        </w:rPr>
        <w:t>aprēķinos par valsts budžeta finansējumu politiskajām organizācijām (partijām) saskaņā ar Politisko organizāciju (partiju) finansēšanas likumu;</w:t>
      </w:r>
    </w:p>
    <w:p w14:paraId="77910DCE" w14:textId="3E06396B"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lv-LV"/>
        </w:rPr>
      </w:pPr>
      <w:r w:rsidRPr="00307028">
        <w:rPr>
          <w:rFonts w:eastAsia="Times New Roman"/>
          <w:lang w:eastAsia="lv-LV"/>
        </w:rPr>
        <w:t xml:space="preserve">2026. gadam – izdevumu palielinājumā, lai nodrošinātu </w:t>
      </w:r>
      <w:r w:rsidR="00497067" w:rsidRPr="00307028">
        <w:rPr>
          <w:rFonts w:eastAsia="Times New Roman"/>
          <w:lang w:eastAsia="lv-LV"/>
        </w:rPr>
        <w:t>LR</w:t>
      </w:r>
      <w:r w:rsidRPr="00307028">
        <w:rPr>
          <w:rFonts w:eastAsia="Times New Roman"/>
          <w:lang w:eastAsia="lv-LV"/>
        </w:rPr>
        <w:t xml:space="preserve"> Satversmes 6. un 101. pantā, Saeimas vēlēšanu likumā, Pašvaldības domes vēlēšanu likumā, Eiropas Parlamenta vēlēšanu likumā un Sabiedrisko elektronisko plašsaziņas līdzekļu un to pārvaldības likuma 7. panta piektajā daļā paredzēto pasākumu finansēšanu, ievērojot šo noteikumu 8.1. apakšpunktu;</w:t>
      </w:r>
    </w:p>
    <w:p w14:paraId="12CB94AB" w14:textId="5D02385F"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en-US"/>
        </w:rPr>
      </w:pPr>
      <w:r w:rsidRPr="00307028">
        <w:rPr>
          <w:rFonts w:eastAsia="Times New Roman"/>
          <w:lang w:eastAsia="en-US"/>
        </w:rPr>
        <w:t xml:space="preserve">atlīdzības aprēķinos saskaņā ar Valsts un pašvaldību institūciju amatpersonu un darbinieku atlīdzības likuma nosacījumiem attiecībā uz Valsts prezidenta mēnešalgu un Saeimas ievēlēto, apstiprināto un iecelto amatpersonu mēnešalgām un Fiskālās disciplīnas likuma nosacījumiem attiecībā uz Fiskālās disciplīnas padomes locekļu atlīdzību, kā arī </w:t>
      </w:r>
      <w:r w:rsidRPr="00307028">
        <w:rPr>
          <w:rFonts w:eastAsia="Times New Roman"/>
          <w:shd w:val="clear" w:color="auto" w:fill="FFFFFF"/>
          <w:lang w:eastAsia="en-US"/>
        </w:rPr>
        <w:t>ikmēneša pensijas aprēķinos atbilstoši likumā “</w:t>
      </w:r>
      <w:r w:rsidR="0044796B" w:rsidRPr="00307028">
        <w:rPr>
          <w:rFonts w:eastAsia="Times New Roman"/>
          <w:shd w:val="clear" w:color="auto" w:fill="FFFFFF"/>
          <w:lang w:eastAsia="en-US"/>
        </w:rPr>
        <w:t>Par Valsts prezidenta darbības nodrošināšanu</w:t>
      </w:r>
      <w:r w:rsidRPr="00307028">
        <w:rPr>
          <w:rFonts w:eastAsia="Times New Roman"/>
          <w:shd w:val="clear" w:color="auto" w:fill="FFFFFF"/>
          <w:lang w:eastAsia="en-US"/>
        </w:rPr>
        <w:t>”;</w:t>
      </w:r>
    </w:p>
    <w:p w14:paraId="12AB16B1" w14:textId="76460E06" w:rsidR="000754A7" w:rsidRPr="00307028" w:rsidRDefault="000754A7" w:rsidP="00070D5F">
      <w:pPr>
        <w:numPr>
          <w:ilvl w:val="0"/>
          <w:numId w:val="48"/>
        </w:numPr>
        <w:tabs>
          <w:tab w:val="left" w:pos="993"/>
        </w:tabs>
        <w:spacing w:after="120" w:line="259" w:lineRule="auto"/>
        <w:ind w:left="284" w:hanging="284"/>
        <w:jc w:val="both"/>
        <w:rPr>
          <w:rFonts w:eastAsia="Times New Roman"/>
          <w:lang w:eastAsia="en-US"/>
        </w:rPr>
      </w:pPr>
      <w:r w:rsidRPr="00307028">
        <w:rPr>
          <w:rFonts w:eastAsia="Times New Roman"/>
          <w:shd w:val="clear" w:color="auto" w:fill="FFFFFF"/>
          <w:lang w:eastAsia="en-US"/>
        </w:rPr>
        <w:t xml:space="preserve">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2024. gadam tiek aprēķināti atbilstoši </w:t>
      </w:r>
      <w:r w:rsidR="00502EF8" w:rsidRPr="00307028">
        <w:rPr>
          <w:rFonts w:eastAsia="Times New Roman"/>
          <w:shd w:val="clear" w:color="auto" w:fill="FFFFFF"/>
          <w:lang w:eastAsia="en-US"/>
        </w:rPr>
        <w:t>CSP</w:t>
      </w:r>
      <w:r w:rsidRPr="00307028">
        <w:rPr>
          <w:rFonts w:eastAsia="Times New Roman"/>
          <w:shd w:val="clear" w:color="auto" w:fill="FFFFFF"/>
          <w:lang w:eastAsia="en-US"/>
        </w:rPr>
        <w:t xml:space="preserve"> tīmekļvietnē publicētajai aktuālajai minimālo ienākumu mediānai mēnesī un 2025. un 2026. gadam – atbilstoši prognozētajai minimālo ienākumu mediānai mēnesī.</w:t>
      </w:r>
    </w:p>
    <w:p w14:paraId="43CA8821" w14:textId="0F247FC6" w:rsidR="00066F37" w:rsidRPr="00307028" w:rsidRDefault="00066F37" w:rsidP="00502EF8">
      <w:pPr>
        <w:tabs>
          <w:tab w:val="left" w:pos="993"/>
        </w:tabs>
        <w:spacing w:after="120" w:line="259" w:lineRule="auto"/>
        <w:ind w:firstLine="720"/>
        <w:jc w:val="both"/>
        <w:rPr>
          <w:rFonts w:eastAsia="Times New Roman"/>
          <w:lang w:eastAsia="en-US"/>
        </w:rPr>
      </w:pPr>
      <w:r w:rsidRPr="00307028">
        <w:rPr>
          <w:rFonts w:eastAsia="Times New Roman"/>
          <w:lang w:eastAsia="en-US"/>
        </w:rPr>
        <w:t xml:space="preserve">Vienlaikus atbilstoši </w:t>
      </w:r>
      <w:r w:rsidR="000754A7" w:rsidRPr="00307028">
        <w:rPr>
          <w:rFonts w:eastAsia="Times New Roman"/>
          <w:lang w:eastAsia="en-US"/>
        </w:rPr>
        <w:t>FM</w:t>
      </w:r>
      <w:r w:rsidRPr="00307028">
        <w:rPr>
          <w:rFonts w:eastAsia="Times New Roman"/>
          <w:lang w:eastAsia="en-US"/>
        </w:rPr>
        <w:t xml:space="preserve"> aktualizētajām makroekonomisko rādītāju un valsts sociālās apdrošināšanas iemaksu prognozēm aktualizēts </w:t>
      </w:r>
      <w:r w:rsidR="000754A7" w:rsidRPr="00307028">
        <w:rPr>
          <w:rFonts w:eastAsia="Times New Roman"/>
          <w:lang w:eastAsia="en-US"/>
        </w:rPr>
        <w:t>LM</w:t>
      </w:r>
      <w:r w:rsidRPr="00307028">
        <w:rPr>
          <w:rFonts w:eastAsia="Times New Roman"/>
          <w:lang w:eastAsia="en-US"/>
        </w:rPr>
        <w:t xml:space="preserve"> valsts speciālā budžeta bāzes aprēķins 2024., 2025. un 2026. gadam, kā arī </w:t>
      </w:r>
      <w:r w:rsidR="000754A7" w:rsidRPr="00307028">
        <w:rPr>
          <w:rFonts w:eastAsia="Times New Roman"/>
          <w:lang w:eastAsia="en-US"/>
        </w:rPr>
        <w:t>LM</w:t>
      </w:r>
      <w:r w:rsidRPr="00307028">
        <w:rPr>
          <w:rFonts w:eastAsia="Times New Roman"/>
          <w:lang w:eastAsia="en-US"/>
        </w:rPr>
        <w:t xml:space="preserve"> pamatbudžeta bāzes 2024., 2025. un 2026. gadam aprēķins pamatbudžeta programmā 04.00.00 “Valsts atbalsts sociālajai apdrošināšanai”, programmā 20.00.00 “Valsts sociālie pabalsti un izdienas pensijas”.</w:t>
      </w:r>
    </w:p>
    <w:p w14:paraId="726F50A0" w14:textId="178C570E" w:rsidR="0087009E" w:rsidRPr="00307028" w:rsidRDefault="0087009E" w:rsidP="007917E2"/>
    <w:p w14:paraId="13C44BF1" w14:textId="77777777" w:rsidR="00DC3088" w:rsidRDefault="00DC3088" w:rsidP="007917E2"/>
    <w:p w14:paraId="48D61C9A" w14:textId="77777777" w:rsidR="00741C4A" w:rsidRDefault="00741C4A" w:rsidP="007917E2"/>
    <w:p w14:paraId="3EFDE6BA" w14:textId="77777777" w:rsidR="00741C4A" w:rsidRDefault="00741C4A" w:rsidP="007917E2"/>
    <w:p w14:paraId="05ADC285" w14:textId="77777777" w:rsidR="00741C4A" w:rsidRDefault="00741C4A" w:rsidP="007917E2"/>
    <w:p w14:paraId="6F16D8A7" w14:textId="77777777" w:rsidR="001C0958" w:rsidRDefault="001C0958" w:rsidP="007917E2"/>
    <w:p w14:paraId="597297F7" w14:textId="77777777" w:rsidR="001C0958" w:rsidRDefault="001C0958" w:rsidP="007917E2"/>
    <w:p w14:paraId="49D52971" w14:textId="77777777" w:rsidR="00741C4A" w:rsidRPr="00307028" w:rsidRDefault="00741C4A" w:rsidP="007917E2"/>
    <w:p w14:paraId="2349AA0C" w14:textId="5FF2D47B" w:rsidR="00502EF8" w:rsidRPr="00307028" w:rsidRDefault="00502EF8" w:rsidP="00DC3088">
      <w:pPr>
        <w:pStyle w:val="ListParagraph"/>
        <w:numPr>
          <w:ilvl w:val="1"/>
          <w:numId w:val="54"/>
        </w:numPr>
        <w:spacing w:after="120"/>
        <w:jc w:val="center"/>
        <w:rPr>
          <w:rFonts w:eastAsia="Times New Roman"/>
          <w:sz w:val="22"/>
          <w:szCs w:val="22"/>
          <w:lang w:eastAsia="lv-LV"/>
        </w:rPr>
      </w:pPr>
      <w:r w:rsidRPr="00307028">
        <w:rPr>
          <w:rFonts w:eastAsia="Times New Roman"/>
          <w:b/>
          <w:bCs/>
          <w:i/>
          <w:sz w:val="22"/>
          <w:szCs w:val="22"/>
          <w:lang w:eastAsia="en-US"/>
        </w:rPr>
        <w:lastRenderedPageBreak/>
        <w:t>attēls</w:t>
      </w:r>
      <w:r w:rsidRPr="00307028">
        <w:rPr>
          <w:rFonts w:eastAsia="Times New Roman"/>
          <w:b/>
          <w:sz w:val="22"/>
          <w:szCs w:val="22"/>
          <w:lang w:eastAsia="en-US"/>
        </w:rPr>
        <w:t xml:space="preserve"> Valsts pamatbudžeta bāzes izdevumi 2024., 2025. un 2026. gadam, milj. </w:t>
      </w:r>
      <w:r w:rsidRPr="00307028">
        <w:rPr>
          <w:rFonts w:eastAsia="Times New Roman"/>
          <w:b/>
          <w:i/>
          <w:sz w:val="22"/>
          <w:szCs w:val="22"/>
          <w:lang w:eastAsia="en-US"/>
        </w:rPr>
        <w:t>euro</w:t>
      </w:r>
      <w:r w:rsidRPr="00307028">
        <w:rPr>
          <w:rFonts w:eastAsia="Times New Roman"/>
          <w:sz w:val="22"/>
          <w:szCs w:val="22"/>
          <w:lang w:eastAsia="lv-LV"/>
        </w:rPr>
        <w:t xml:space="preserve"> </w:t>
      </w:r>
    </w:p>
    <w:p w14:paraId="5C0D5BC2" w14:textId="77777777" w:rsidR="00502EF8" w:rsidRPr="00307028" w:rsidRDefault="00502EF8" w:rsidP="00502EF8">
      <w:pPr>
        <w:spacing w:after="120"/>
        <w:jc w:val="center"/>
        <w:rPr>
          <w:rFonts w:eastAsia="Times New Roman"/>
          <w:lang w:eastAsia="en-US"/>
        </w:rPr>
      </w:pPr>
      <w:r w:rsidRPr="00307028">
        <w:rPr>
          <w:rFonts w:eastAsia="Times New Roman"/>
          <w:noProof/>
          <w:lang w:eastAsia="lv-LV"/>
        </w:rPr>
        <w:drawing>
          <wp:inline distT="0" distB="0" distL="0" distR="0" wp14:anchorId="60774A4E" wp14:editId="69042C02">
            <wp:extent cx="5386705" cy="2401293"/>
            <wp:effectExtent l="0" t="0" r="4445" b="18415"/>
            <wp:docPr id="1521589495"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AD5A11" w14:textId="0180F577" w:rsidR="00502EF8" w:rsidRPr="00307028" w:rsidRDefault="00502EF8" w:rsidP="00502EF8">
      <w:pPr>
        <w:spacing w:after="120"/>
        <w:jc w:val="both"/>
        <w:rPr>
          <w:rFonts w:eastAsia="Times New Roman"/>
          <w:i/>
          <w:iCs/>
          <w:sz w:val="18"/>
          <w:szCs w:val="18"/>
          <w:lang w:eastAsia="en-US"/>
        </w:rPr>
      </w:pPr>
      <w:r w:rsidRPr="00307028">
        <w:rPr>
          <w:rFonts w:eastAsia="Times New Roman"/>
          <w:sz w:val="20"/>
          <w:szCs w:val="20"/>
          <w:lang w:eastAsia="en-US"/>
        </w:rPr>
        <w:t xml:space="preserve">* </w:t>
      </w:r>
      <w:r w:rsidRPr="00307028">
        <w:rPr>
          <w:rFonts w:eastAsia="Times New Roman"/>
          <w:i/>
          <w:iCs/>
          <w:sz w:val="18"/>
          <w:szCs w:val="18"/>
          <w:lang w:eastAsia="en-US"/>
        </w:rPr>
        <w:t>2024. un 2025. gadam aprēķināta, pamatojoties uz likumā “Par valsts budžetu 2023. gadam un budžeta ietvaru 2023., 2024. un 2025. gadam” noteikto maksimāli pieļaujamo izdevumu apjomu (ietvaru) attiecīgajam gadam, 2026. gadam – pamatojoties uz 2025. gadam apstiprināto ietvaru</w:t>
      </w:r>
    </w:p>
    <w:p w14:paraId="3E651AF0" w14:textId="6313D4DA" w:rsidR="00502EF8" w:rsidRPr="00307028" w:rsidRDefault="00502EF8" w:rsidP="00502EF8">
      <w:pPr>
        <w:tabs>
          <w:tab w:val="left" w:pos="993"/>
        </w:tabs>
        <w:spacing w:after="120" w:line="259" w:lineRule="auto"/>
        <w:jc w:val="both"/>
        <w:rPr>
          <w:rFonts w:eastAsia="Times New Roman"/>
          <w:lang w:eastAsia="en-US"/>
        </w:rPr>
      </w:pPr>
      <w:r w:rsidRPr="00307028">
        <w:rPr>
          <w:rFonts w:eastAsia="Times New Roman"/>
          <w:lang w:eastAsia="lv-LV"/>
        </w:rPr>
        <w:t> </w:t>
      </w:r>
      <w:r w:rsidRPr="00307028">
        <w:rPr>
          <w:rFonts w:eastAsia="Times New Roman"/>
          <w:lang w:eastAsia="lv-LV"/>
        </w:rPr>
        <w:tab/>
      </w:r>
      <w:r w:rsidRPr="00307028">
        <w:rPr>
          <w:rFonts w:eastAsia="Times New Roman"/>
          <w:b/>
          <w:lang w:eastAsia="en-US"/>
        </w:rPr>
        <w:t xml:space="preserve">Valsts pamatbudžeta bāzes izdevumi </w:t>
      </w:r>
      <w:r w:rsidRPr="00307028">
        <w:rPr>
          <w:rFonts w:eastAsia="Times New Roman"/>
          <w:lang w:eastAsia="en-US"/>
        </w:rPr>
        <w:t>(sk</w:t>
      </w:r>
      <w:r w:rsidR="007C3874">
        <w:rPr>
          <w:rFonts w:eastAsia="Times New Roman"/>
          <w:lang w:eastAsia="en-US"/>
        </w:rPr>
        <w:t>atīt</w:t>
      </w:r>
      <w:r w:rsidRPr="00307028">
        <w:rPr>
          <w:rFonts w:eastAsia="Times New Roman"/>
          <w:lang w:eastAsia="en-US"/>
        </w:rPr>
        <w:t xml:space="preserve"> 1., 2. un 3. pielikumu) </w:t>
      </w:r>
      <w:r w:rsidRPr="00307028">
        <w:rPr>
          <w:rFonts w:eastAsia="Times New Roman"/>
          <w:b/>
          <w:lang w:eastAsia="en-US"/>
        </w:rPr>
        <w:t>2024. gadam</w:t>
      </w:r>
      <w:r w:rsidRPr="00307028">
        <w:rPr>
          <w:rFonts w:eastAsia="Times New Roman"/>
          <w:lang w:eastAsia="en-US"/>
        </w:rPr>
        <w:t xml:space="preserve"> aprēķināti </w:t>
      </w:r>
      <w:r w:rsidRPr="00307028">
        <w:rPr>
          <w:rFonts w:eastAsia="Times New Roman"/>
          <w:b/>
          <w:lang w:eastAsia="en-US"/>
        </w:rPr>
        <w:t>11 236,9</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un </w:t>
      </w:r>
      <w:r w:rsidRPr="00307028">
        <w:rPr>
          <w:rFonts w:eastAsia="Times New Roman"/>
          <w:b/>
          <w:lang w:eastAsia="en-US"/>
        </w:rPr>
        <w:t>2025. gadam 11 292,8</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Salīdzinājumā ar attiecīgā gada ietvaru</w:t>
      </w:r>
      <w:r w:rsidRPr="00307028">
        <w:rPr>
          <w:rFonts w:eastAsia="Times New Roman"/>
          <w:lang w:eastAsia="lv-LV"/>
        </w:rPr>
        <w:t xml:space="preserve"> izdevumi palielināti </w:t>
      </w:r>
      <w:r w:rsidRPr="00307028">
        <w:rPr>
          <w:rFonts w:eastAsia="Times New Roman"/>
          <w:lang w:eastAsia="en-US"/>
        </w:rPr>
        <w:t xml:space="preserve">630,5 milj. </w:t>
      </w:r>
      <w:r w:rsidRPr="00307028">
        <w:rPr>
          <w:rFonts w:eastAsia="Times New Roman"/>
          <w:i/>
          <w:lang w:eastAsia="en-US"/>
        </w:rPr>
        <w:t>euro</w:t>
      </w:r>
      <w:r w:rsidRPr="00307028">
        <w:rPr>
          <w:rFonts w:eastAsia="Times New Roman"/>
          <w:lang w:eastAsia="en-US"/>
        </w:rPr>
        <w:t xml:space="preserve"> apmērā 2024. gadam un 666,7 milj. </w:t>
      </w:r>
      <w:r w:rsidRPr="00307028">
        <w:rPr>
          <w:rFonts w:eastAsia="Times New Roman"/>
          <w:i/>
          <w:lang w:eastAsia="en-US"/>
        </w:rPr>
        <w:t>euro</w:t>
      </w:r>
      <w:r w:rsidRPr="00307028">
        <w:rPr>
          <w:rFonts w:eastAsia="Times New Roman"/>
          <w:lang w:eastAsia="en-US"/>
        </w:rPr>
        <w:t xml:space="preserve"> apmērā 2025. gadam. Savukārt </w:t>
      </w:r>
      <w:r w:rsidRPr="00307028">
        <w:rPr>
          <w:rFonts w:eastAsia="Times New Roman"/>
          <w:b/>
          <w:lang w:eastAsia="en-US"/>
        </w:rPr>
        <w:t xml:space="preserve">2026. gadam </w:t>
      </w:r>
      <w:r w:rsidRPr="00307028">
        <w:rPr>
          <w:rFonts w:eastAsia="Times New Roman"/>
          <w:lang w:eastAsia="en-US"/>
        </w:rPr>
        <w:t>izdevumi noteikti</w:t>
      </w:r>
      <w:r w:rsidRPr="00307028">
        <w:rPr>
          <w:rFonts w:eastAsia="Times New Roman"/>
          <w:b/>
          <w:lang w:eastAsia="en-US"/>
        </w:rPr>
        <w:t xml:space="preserve"> 10 606,7</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kas salīdzinājumā ar ietvaru 2025. gadam samazināti 19,4 milj. </w:t>
      </w:r>
      <w:r w:rsidRPr="00307028">
        <w:rPr>
          <w:rFonts w:eastAsia="Times New Roman"/>
          <w:i/>
          <w:lang w:eastAsia="en-US"/>
        </w:rPr>
        <w:t xml:space="preserve">euro </w:t>
      </w:r>
      <w:r w:rsidRPr="00307028">
        <w:rPr>
          <w:rFonts w:eastAsia="Times New Roman"/>
          <w:lang w:eastAsia="en-US"/>
        </w:rPr>
        <w:t xml:space="preserve">apmērā (Attēls Nr. 1.1.). </w:t>
      </w:r>
    </w:p>
    <w:p w14:paraId="41A57DC0" w14:textId="0BA5F54A" w:rsidR="00502EF8" w:rsidRPr="00307028" w:rsidRDefault="00502EF8" w:rsidP="00502EF8">
      <w:pPr>
        <w:spacing w:after="120" w:line="259" w:lineRule="auto"/>
        <w:ind w:firstLine="709"/>
        <w:jc w:val="both"/>
        <w:rPr>
          <w:rFonts w:eastAsia="Times New Roman"/>
          <w:lang w:eastAsia="en-US"/>
        </w:rPr>
      </w:pPr>
      <w:r w:rsidRPr="00307028">
        <w:rPr>
          <w:rFonts w:eastAsia="Times New Roman"/>
          <w:b/>
          <w:lang w:eastAsia="en-US"/>
        </w:rPr>
        <w:t>Izdevumi valsts pamatfunkciju īstenošanai 2024. gadam</w:t>
      </w:r>
      <w:r w:rsidRPr="00307028">
        <w:rPr>
          <w:rFonts w:eastAsia="Times New Roman"/>
          <w:lang w:eastAsia="en-US"/>
        </w:rPr>
        <w:t xml:space="preserve"> paredzēti </w:t>
      </w:r>
      <w:r w:rsidRPr="00307028">
        <w:rPr>
          <w:rFonts w:eastAsia="Times New Roman"/>
          <w:b/>
          <w:lang w:eastAsia="en-US"/>
        </w:rPr>
        <w:t>8 615,5</w:t>
      </w:r>
      <w:r w:rsidRPr="00307028">
        <w:rPr>
          <w:rFonts w:eastAsia="Times New Roman"/>
          <w:lang w:eastAsia="en-US"/>
        </w:rPr>
        <w:t xml:space="preserve"> milj. </w:t>
      </w:r>
      <w:r w:rsidRPr="00307028">
        <w:rPr>
          <w:rFonts w:eastAsia="Times New Roman"/>
          <w:i/>
          <w:lang w:eastAsia="en-US"/>
        </w:rPr>
        <w:t xml:space="preserve">euro </w:t>
      </w:r>
      <w:r w:rsidRPr="00307028">
        <w:rPr>
          <w:rFonts w:eastAsia="Times New Roman"/>
          <w:lang w:eastAsia="en-US"/>
        </w:rPr>
        <w:t xml:space="preserve">apmērā, </w:t>
      </w:r>
      <w:r w:rsidRPr="00307028">
        <w:rPr>
          <w:rFonts w:eastAsia="Times New Roman"/>
          <w:b/>
          <w:lang w:eastAsia="en-US"/>
        </w:rPr>
        <w:t>2025. gadam</w:t>
      </w:r>
      <w:r w:rsidRPr="00307028">
        <w:rPr>
          <w:rFonts w:eastAsia="Times New Roman"/>
          <w:lang w:eastAsia="en-US"/>
        </w:rPr>
        <w:t xml:space="preserve"> </w:t>
      </w:r>
      <w:r w:rsidRPr="00307028">
        <w:rPr>
          <w:rFonts w:eastAsia="Times New Roman"/>
          <w:b/>
          <w:lang w:eastAsia="en-US"/>
        </w:rPr>
        <w:t>8 634,8</w:t>
      </w:r>
      <w:r w:rsidRPr="00307028">
        <w:rPr>
          <w:rFonts w:eastAsia="Times New Roman"/>
          <w:lang w:eastAsia="en-US"/>
        </w:rPr>
        <w:t xml:space="preserve"> milj. </w:t>
      </w:r>
      <w:r w:rsidRPr="00307028">
        <w:rPr>
          <w:rFonts w:eastAsia="Times New Roman"/>
          <w:i/>
          <w:lang w:eastAsia="en-US"/>
        </w:rPr>
        <w:t xml:space="preserve">euro </w:t>
      </w:r>
      <w:r w:rsidRPr="00307028">
        <w:rPr>
          <w:rFonts w:eastAsia="Times New Roman"/>
          <w:lang w:eastAsia="en-US"/>
        </w:rPr>
        <w:t xml:space="preserve">apmērā un </w:t>
      </w:r>
      <w:r w:rsidRPr="00307028">
        <w:rPr>
          <w:rFonts w:eastAsia="Times New Roman"/>
          <w:b/>
          <w:lang w:eastAsia="en-US"/>
        </w:rPr>
        <w:t>2026. gadam</w:t>
      </w:r>
      <w:r w:rsidRPr="00307028">
        <w:rPr>
          <w:rFonts w:eastAsia="Times New Roman"/>
          <w:lang w:eastAsia="en-US"/>
        </w:rPr>
        <w:t xml:space="preserve"> </w:t>
      </w:r>
      <w:r w:rsidRPr="00307028">
        <w:rPr>
          <w:rFonts w:eastAsia="Times New Roman"/>
          <w:b/>
          <w:lang w:eastAsia="en-US"/>
        </w:rPr>
        <w:t>8 354,1 </w:t>
      </w:r>
      <w:r w:rsidRPr="00307028">
        <w:rPr>
          <w:rFonts w:eastAsia="Times New Roman"/>
          <w:lang w:eastAsia="en-US"/>
        </w:rPr>
        <w:t xml:space="preserve">milj. </w:t>
      </w:r>
      <w:r w:rsidRPr="00307028">
        <w:rPr>
          <w:rFonts w:eastAsia="Times New Roman"/>
          <w:i/>
          <w:lang w:eastAsia="en-US"/>
        </w:rPr>
        <w:t xml:space="preserve">euro </w:t>
      </w:r>
      <w:r w:rsidRPr="00307028">
        <w:rPr>
          <w:rFonts w:eastAsia="Times New Roman"/>
          <w:lang w:eastAsia="en-US"/>
        </w:rPr>
        <w:t>apmērā. Salīdzinājumā ar attiecīgā gada ietvaru</w:t>
      </w:r>
      <w:r w:rsidRPr="00307028">
        <w:rPr>
          <w:rFonts w:eastAsia="Times New Roman"/>
          <w:lang w:eastAsia="lv-LV"/>
        </w:rPr>
        <w:t xml:space="preserve"> </w:t>
      </w:r>
      <w:r w:rsidRPr="00307028">
        <w:rPr>
          <w:rFonts w:eastAsia="Times New Roman"/>
          <w:lang w:eastAsia="en-US"/>
        </w:rPr>
        <w:t xml:space="preserve">izdevumi valsts pamatfunkciju īstenošanai palielināti 166,0 milj. </w:t>
      </w:r>
      <w:r w:rsidRPr="00307028">
        <w:rPr>
          <w:rFonts w:eastAsia="Times New Roman"/>
          <w:i/>
          <w:lang w:eastAsia="en-US"/>
        </w:rPr>
        <w:t>euro</w:t>
      </w:r>
      <w:r w:rsidRPr="00307028">
        <w:rPr>
          <w:rFonts w:eastAsia="Times New Roman"/>
          <w:lang w:eastAsia="en-US"/>
        </w:rPr>
        <w:t xml:space="preserve"> apmērā 2024. gadam un 135,5 milj. </w:t>
      </w:r>
      <w:r w:rsidRPr="00307028">
        <w:rPr>
          <w:rFonts w:eastAsia="Times New Roman"/>
          <w:i/>
          <w:lang w:eastAsia="en-US"/>
        </w:rPr>
        <w:t>euro</w:t>
      </w:r>
      <w:r w:rsidRPr="00307028">
        <w:rPr>
          <w:rFonts w:eastAsia="Times New Roman"/>
          <w:lang w:eastAsia="en-US"/>
        </w:rPr>
        <w:t xml:space="preserve"> apmērā 2025. gadam. Savukārt izdevumi valsts pamatfunkciju īstenošanai 2026. gadam salīdzinājumā ar ietvaru 2025. gadam samazināti 145,2 milj. </w:t>
      </w:r>
      <w:r w:rsidRPr="00307028">
        <w:rPr>
          <w:rFonts w:eastAsia="Times New Roman"/>
          <w:i/>
          <w:lang w:eastAsia="en-US"/>
        </w:rPr>
        <w:t>euro</w:t>
      </w:r>
      <w:r w:rsidRPr="00307028">
        <w:rPr>
          <w:rFonts w:eastAsia="Times New Roman"/>
          <w:lang w:eastAsia="en-US"/>
        </w:rPr>
        <w:t xml:space="preserve"> apmērā (Attēls Nr. 1.2). </w:t>
      </w:r>
    </w:p>
    <w:p w14:paraId="04D60B97" w14:textId="77777777" w:rsidR="00502EF8" w:rsidRPr="00307028" w:rsidRDefault="00502EF8" w:rsidP="00502EF8">
      <w:pPr>
        <w:spacing w:after="120"/>
        <w:jc w:val="center"/>
        <w:rPr>
          <w:rFonts w:eastAsia="Times New Roman"/>
          <w:b/>
          <w:bCs/>
          <w:i/>
          <w:sz w:val="22"/>
          <w:szCs w:val="22"/>
          <w:lang w:eastAsia="en-US"/>
        </w:rPr>
      </w:pPr>
      <w:r w:rsidRPr="00307028">
        <w:rPr>
          <w:rFonts w:eastAsia="Times New Roman"/>
          <w:b/>
          <w:bCs/>
          <w:i/>
          <w:sz w:val="22"/>
          <w:szCs w:val="22"/>
          <w:lang w:eastAsia="en-US"/>
        </w:rPr>
        <w:t>1.2. attēls</w:t>
      </w:r>
      <w:r w:rsidRPr="00307028">
        <w:rPr>
          <w:rFonts w:eastAsia="Times New Roman"/>
          <w:b/>
          <w:bCs/>
          <w:sz w:val="22"/>
          <w:szCs w:val="22"/>
          <w:lang w:eastAsia="en-US"/>
        </w:rPr>
        <w:t xml:space="preserve"> Izdevumi valsts pamatfunkciju īstenošanai 2024., 2025. un 2026. gadam, milj. </w:t>
      </w:r>
      <w:r w:rsidRPr="00307028">
        <w:rPr>
          <w:rFonts w:eastAsia="Times New Roman"/>
          <w:b/>
          <w:bCs/>
          <w:i/>
          <w:sz w:val="22"/>
          <w:szCs w:val="22"/>
          <w:lang w:eastAsia="en-US"/>
        </w:rPr>
        <w:t>euro</w:t>
      </w:r>
    </w:p>
    <w:p w14:paraId="2287555B" w14:textId="77777777" w:rsidR="00502EF8" w:rsidRPr="00307028" w:rsidRDefault="00502EF8" w:rsidP="00502EF8">
      <w:pPr>
        <w:jc w:val="center"/>
        <w:rPr>
          <w:rFonts w:eastAsia="Times New Roman"/>
          <w:lang w:eastAsia="en-US"/>
        </w:rPr>
      </w:pPr>
      <w:r w:rsidRPr="00307028">
        <w:rPr>
          <w:rFonts w:eastAsia="Times New Roman"/>
          <w:noProof/>
          <w:lang w:eastAsia="lv-LV"/>
        </w:rPr>
        <w:drawing>
          <wp:inline distT="0" distB="0" distL="0" distR="0" wp14:anchorId="1DD2FFDE" wp14:editId="7810017F">
            <wp:extent cx="5382260" cy="2536466"/>
            <wp:effectExtent l="0" t="0" r="8890" b="16510"/>
            <wp:docPr id="1005509755"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07B9BC" w14:textId="39588013" w:rsidR="00502EF8" w:rsidRPr="00307028" w:rsidRDefault="00502EF8" w:rsidP="00224110">
      <w:pPr>
        <w:jc w:val="both"/>
        <w:rPr>
          <w:rFonts w:eastAsia="Times New Roman"/>
          <w:sz w:val="20"/>
          <w:szCs w:val="20"/>
          <w:lang w:eastAsia="en-US"/>
        </w:rPr>
      </w:pPr>
      <w:r w:rsidRPr="00307028">
        <w:rPr>
          <w:rFonts w:eastAsia="Times New Roman"/>
          <w:sz w:val="20"/>
          <w:szCs w:val="20"/>
          <w:lang w:eastAsia="en-US"/>
        </w:rPr>
        <w:t xml:space="preserve">* </w:t>
      </w:r>
      <w:r w:rsidRPr="00307028">
        <w:rPr>
          <w:rFonts w:eastAsia="Times New Roman"/>
          <w:i/>
          <w:iCs/>
          <w:sz w:val="18"/>
          <w:szCs w:val="18"/>
          <w:lang w:eastAsia="en-US"/>
        </w:rPr>
        <w:t>2024. un 2025. gadam aprēķināta, pamatojoties uz likumā “Par valsts budžetu 2023. gadam un budžeta ietvaru 2023., 2024. un 2025. gadam” noteikto maksimāli pieļaujamo izdevumu apjomu (ietvaru) attiecīgajam gadam, 2026. gadam – pamatojoties uz 2025. gadam apstiprināto ietvaru</w:t>
      </w:r>
    </w:p>
    <w:p w14:paraId="0B968838" w14:textId="77777777" w:rsidR="00B018C5" w:rsidRPr="00307028" w:rsidRDefault="00B018C5" w:rsidP="00224110">
      <w:pPr>
        <w:spacing w:after="120" w:line="259" w:lineRule="auto"/>
        <w:ind w:firstLine="709"/>
        <w:jc w:val="both"/>
        <w:rPr>
          <w:rFonts w:eastAsia="Times New Roman"/>
          <w:lang w:eastAsia="en-US"/>
        </w:rPr>
      </w:pPr>
    </w:p>
    <w:p w14:paraId="1165952C" w14:textId="191667BD" w:rsidR="00502EF8" w:rsidRPr="00307028" w:rsidRDefault="00502EF8" w:rsidP="00224110">
      <w:pPr>
        <w:spacing w:after="120" w:line="259" w:lineRule="auto"/>
        <w:ind w:firstLine="709"/>
        <w:jc w:val="both"/>
        <w:rPr>
          <w:rFonts w:eastAsia="Times New Roman"/>
          <w:lang w:eastAsia="en-US"/>
        </w:rPr>
      </w:pPr>
      <w:r w:rsidRPr="00307028">
        <w:rPr>
          <w:rFonts w:eastAsia="Times New Roman"/>
          <w:lang w:eastAsia="en-US"/>
        </w:rPr>
        <w:lastRenderedPageBreak/>
        <w:t xml:space="preserve">Izmaiņas </w:t>
      </w:r>
      <w:r w:rsidRPr="00307028">
        <w:rPr>
          <w:rFonts w:eastAsia="Times New Roman"/>
          <w:b/>
          <w:lang w:eastAsia="en-US"/>
        </w:rPr>
        <w:t>izdevumiem valsts pamatfunkciju īstenošanai</w:t>
      </w:r>
      <w:r w:rsidRPr="00307028">
        <w:rPr>
          <w:rFonts w:eastAsia="Times New Roman"/>
          <w:lang w:eastAsia="en-US"/>
        </w:rPr>
        <w:t xml:space="preserve"> galvenokārt veido: </w:t>
      </w:r>
    </w:p>
    <w:p w14:paraId="01187FB9" w14:textId="77777777"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Valsts prezidenta kancelejai</w:t>
      </w:r>
      <w:r w:rsidRPr="00307028">
        <w:rPr>
          <w:rFonts w:eastAsia="Times New Roman"/>
          <w:lang w:eastAsia="en-US"/>
        </w:rPr>
        <w:t xml:space="preserve"> palielināti izdevumi 0,09 milj. </w:t>
      </w:r>
      <w:r w:rsidRPr="00307028">
        <w:rPr>
          <w:rFonts w:eastAsia="Times New Roman"/>
          <w:i/>
          <w:lang w:eastAsia="en-US"/>
        </w:rPr>
        <w:t>euro</w:t>
      </w:r>
      <w:r w:rsidRPr="00307028">
        <w:rPr>
          <w:rFonts w:eastAsia="Times New Roman"/>
          <w:lang w:eastAsia="en-US"/>
        </w:rPr>
        <w:t xml:space="preserve"> apmērā 2024., 2025. un 2026. gadam ik gadu personām, kuras ieņēma Valsts prezidenta amatu, pensiju nodrošināšanai;</w:t>
      </w:r>
    </w:p>
    <w:p w14:paraId="23E87B4E" w14:textId="6DEC19A1" w:rsidR="00502EF8" w:rsidRPr="00307028" w:rsidRDefault="00502EF8" w:rsidP="00224110">
      <w:pPr>
        <w:tabs>
          <w:tab w:val="left" w:pos="993"/>
        </w:tabs>
        <w:spacing w:after="120" w:line="259" w:lineRule="auto"/>
        <w:ind w:firstLine="709"/>
        <w:jc w:val="both"/>
        <w:rPr>
          <w:rFonts w:eastAsia="Calibri"/>
          <w:lang w:eastAsia="en-US"/>
        </w:rPr>
      </w:pPr>
      <w:r w:rsidRPr="00307028">
        <w:rPr>
          <w:rFonts w:eastAsia="Calibri"/>
          <w:b/>
          <w:lang w:eastAsia="en-US"/>
        </w:rPr>
        <w:t>Ministru kabinetam</w:t>
      </w:r>
      <w:r w:rsidRPr="00307028">
        <w:rPr>
          <w:rFonts w:eastAsia="Calibri"/>
          <w:lang w:eastAsia="en-US"/>
        </w:rPr>
        <w:t xml:space="preserve"> palielināti izdevumi 0,3 milj. </w:t>
      </w:r>
      <w:r w:rsidRPr="00307028">
        <w:rPr>
          <w:rFonts w:eastAsia="Calibri"/>
          <w:i/>
          <w:lang w:eastAsia="en-US"/>
        </w:rPr>
        <w:t>euro</w:t>
      </w:r>
      <w:r w:rsidRPr="00307028">
        <w:rPr>
          <w:rFonts w:eastAsia="Calibri"/>
          <w:lang w:eastAsia="en-US"/>
        </w:rPr>
        <w:t xml:space="preserve"> apmērā 2024., 2025. un 2026.</w:t>
      </w:r>
      <w:r w:rsidR="004B7FD1">
        <w:rPr>
          <w:rFonts w:eastAsia="Calibri"/>
          <w:lang w:eastAsia="en-US"/>
        </w:rPr>
        <w:t> </w:t>
      </w:r>
      <w:r w:rsidRPr="00307028">
        <w:rPr>
          <w:rFonts w:eastAsia="Calibri"/>
          <w:lang w:eastAsia="en-US"/>
        </w:rPr>
        <w:t>gadam ik gadu, tajā skaitā:</w:t>
      </w:r>
    </w:p>
    <w:p w14:paraId="28CF216D" w14:textId="491B956A" w:rsidR="00502EF8" w:rsidRPr="00307028" w:rsidRDefault="00502EF8" w:rsidP="00070D5F">
      <w:pPr>
        <w:numPr>
          <w:ilvl w:val="0"/>
          <w:numId w:val="53"/>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 milj. </w:t>
      </w:r>
      <w:r w:rsidRPr="00307028">
        <w:rPr>
          <w:rFonts w:eastAsia="Calibri"/>
          <w:i/>
          <w:lang w:eastAsia="en-US"/>
        </w:rPr>
        <w:t>euro</w:t>
      </w:r>
      <w:r w:rsidRPr="00307028">
        <w:rPr>
          <w:rFonts w:eastAsia="Calibri"/>
          <w:lang w:eastAsia="en-US"/>
        </w:rPr>
        <w:t xml:space="preserve"> apmērā 2024., 2025. un 2026. gadam ik gadu </w:t>
      </w:r>
      <w:r w:rsidR="00224110" w:rsidRPr="00307028">
        <w:rPr>
          <w:rFonts w:eastAsia="Calibri"/>
          <w:lang w:eastAsia="en-US"/>
        </w:rPr>
        <w:t>MK</w:t>
      </w:r>
      <w:r w:rsidRPr="00307028">
        <w:rPr>
          <w:rFonts w:eastAsia="Calibri"/>
          <w:lang w:eastAsia="en-US"/>
        </w:rPr>
        <w:t xml:space="preserve"> locekļu atlīdzības pieauguma nodrošināšanai atbilstoši Valsts un pašvaldību institūciju amatpersonu un darbinieku atlīdzības likuma 6. pantā noteiktajam;</w:t>
      </w:r>
    </w:p>
    <w:p w14:paraId="2D421985" w14:textId="77777777" w:rsidR="00502EF8" w:rsidRPr="00307028" w:rsidRDefault="00502EF8" w:rsidP="00070D5F">
      <w:pPr>
        <w:numPr>
          <w:ilvl w:val="0"/>
          <w:numId w:val="53"/>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0,2 milj. </w:t>
      </w:r>
      <w:r w:rsidRPr="00307028">
        <w:rPr>
          <w:rFonts w:eastAsia="Calibri"/>
          <w:i/>
          <w:lang w:eastAsia="en-US"/>
        </w:rPr>
        <w:t>euro</w:t>
      </w:r>
      <w:r w:rsidRPr="00307028">
        <w:rPr>
          <w:rFonts w:eastAsia="Calibri"/>
          <w:lang w:eastAsia="en-US"/>
        </w:rPr>
        <w:t xml:space="preserve"> apmērā 2024., 2025. un 2026. gadam ik gadu projekta “Valsts un pašvaldību iestāžu tīmekļvietņu vienotā platforma” ietvaros izstrādātās tīmekļvietņu vienotās platformas uzturēšanas izdevumu nodrošināšanai;</w:t>
      </w:r>
    </w:p>
    <w:p w14:paraId="5BD9C703" w14:textId="77777777"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Korupcijas novēršanas un apkarošanas birojam</w:t>
      </w:r>
      <w:r w:rsidRPr="00307028">
        <w:rPr>
          <w:rFonts w:eastAsia="Times New Roman"/>
          <w:lang w:eastAsia="en-US"/>
        </w:rPr>
        <w:t xml:space="preserve"> palielināti izdevumi 0,01 milj. </w:t>
      </w:r>
      <w:r w:rsidRPr="00307028">
        <w:rPr>
          <w:rFonts w:eastAsia="Times New Roman"/>
          <w:i/>
          <w:lang w:eastAsia="en-US"/>
        </w:rPr>
        <w:t>euro</w:t>
      </w:r>
      <w:r w:rsidRPr="00307028">
        <w:rPr>
          <w:rFonts w:eastAsia="Times New Roman"/>
          <w:lang w:eastAsia="en-US"/>
        </w:rPr>
        <w:t xml:space="preserve"> apmērā 2024. un 2025.gadam ik gadu un 0,002 milj. </w:t>
      </w:r>
      <w:r w:rsidRPr="00307028">
        <w:rPr>
          <w:rFonts w:eastAsia="Times New Roman"/>
          <w:i/>
          <w:iCs/>
          <w:lang w:eastAsia="en-US"/>
        </w:rPr>
        <w:t>euro</w:t>
      </w:r>
      <w:r w:rsidRPr="00307028">
        <w:rPr>
          <w:rFonts w:eastAsia="Times New Roman"/>
          <w:lang w:eastAsia="en-US"/>
        </w:rPr>
        <w:t xml:space="preserve"> apmērā 2026.gadam, tajā skaitā:</w:t>
      </w:r>
    </w:p>
    <w:p w14:paraId="4CB4AF6B" w14:textId="77777777" w:rsidR="00502EF8" w:rsidRPr="00307028" w:rsidRDefault="00502EF8" w:rsidP="00070D5F">
      <w:pPr>
        <w:numPr>
          <w:ilvl w:val="0"/>
          <w:numId w:val="53"/>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biroja priekšnieka atlīdzības pieauguma nodrošināšanai atbilstoši Valsts un pašvaldību institūciju amatpersonu un darbinieku atlīdzības likuma 6. pantā noteiktajam;</w:t>
      </w:r>
    </w:p>
    <w:p w14:paraId="4ABA7EA0" w14:textId="256728A3" w:rsidR="00502EF8" w:rsidRPr="00307028" w:rsidRDefault="00502EF8" w:rsidP="00070D5F">
      <w:pPr>
        <w:numPr>
          <w:ilvl w:val="0"/>
          <w:numId w:val="53"/>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2026.gadam 0,004 milj. </w:t>
      </w:r>
      <w:r w:rsidRPr="00307028">
        <w:rPr>
          <w:rFonts w:eastAsia="Calibri"/>
          <w:i/>
          <w:iCs/>
          <w:lang w:eastAsia="en-US"/>
        </w:rPr>
        <w:t>euro</w:t>
      </w:r>
      <w:r w:rsidRPr="00307028">
        <w:rPr>
          <w:rFonts w:eastAsia="Calibri"/>
          <w:lang w:eastAsia="en-US"/>
        </w:rPr>
        <w:t xml:space="preserve"> apmērā </w:t>
      </w:r>
      <w:r w:rsidR="00224110" w:rsidRPr="00307028">
        <w:rPr>
          <w:rFonts w:eastAsia="Calibri"/>
          <w:lang w:eastAsia="en-US"/>
        </w:rPr>
        <w:t>PP</w:t>
      </w:r>
      <w:r w:rsidRPr="00307028">
        <w:rPr>
          <w:rFonts w:eastAsia="Calibri"/>
          <w:lang w:eastAsia="en-US"/>
        </w:rPr>
        <w:t xml:space="preserve"> “Vienvirziena datu plūsmas nodrošināšanas tehniskā ierīce un programmatūras lietošanas tiesības”;</w:t>
      </w:r>
    </w:p>
    <w:p w14:paraId="6F98A966" w14:textId="39A0EE04"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Tiesībsarga birojam</w:t>
      </w:r>
      <w:r w:rsidRPr="00307028">
        <w:rPr>
          <w:rFonts w:eastAsia="Times New Roman"/>
          <w:lang w:eastAsia="en-US"/>
        </w:rPr>
        <w:t xml:space="preserve"> palielināti izdevumi 0,01 milj. </w:t>
      </w:r>
      <w:r w:rsidRPr="00307028">
        <w:rPr>
          <w:rFonts w:eastAsia="Times New Roman"/>
          <w:i/>
          <w:lang w:eastAsia="en-US"/>
        </w:rPr>
        <w:t>euro</w:t>
      </w:r>
      <w:r w:rsidRPr="00307028">
        <w:rPr>
          <w:rFonts w:eastAsia="Times New Roman"/>
          <w:lang w:eastAsia="en-US"/>
        </w:rPr>
        <w:t xml:space="preserve"> apmērā 2024., 2025. un 2026.</w:t>
      </w:r>
      <w:r w:rsidR="004B7FD1">
        <w:rPr>
          <w:rFonts w:eastAsia="Times New Roman"/>
          <w:lang w:eastAsia="en-US"/>
        </w:rPr>
        <w:t> </w:t>
      </w:r>
      <w:r w:rsidRPr="00307028">
        <w:rPr>
          <w:rFonts w:eastAsia="Times New Roman"/>
          <w:lang w:eastAsia="en-US"/>
        </w:rPr>
        <w:t>gadam ik gadu, lai nodrošinātu tiesībsarga atalgojumu atbilstoši Valsts un pašvaldību institūciju amatpersonu un darbinieku atlīdzības likuma 6. panta otrajā daļā noteiktajam u.c.;</w:t>
      </w:r>
    </w:p>
    <w:p w14:paraId="4EA78FC3" w14:textId="77777777"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Sabiedrības integrācijas fondam</w:t>
      </w:r>
      <w:r w:rsidRPr="00307028">
        <w:rPr>
          <w:rFonts w:eastAsia="Times New Roman"/>
          <w:lang w:eastAsia="en-US"/>
        </w:rPr>
        <w:t xml:space="preserve"> palielināti izdevumi 0,5 milj. </w:t>
      </w:r>
      <w:r w:rsidRPr="00307028">
        <w:rPr>
          <w:rFonts w:eastAsia="Times New Roman"/>
          <w:i/>
          <w:lang w:eastAsia="en-US"/>
        </w:rPr>
        <w:t>euro</w:t>
      </w:r>
      <w:r w:rsidRPr="00307028">
        <w:rPr>
          <w:rFonts w:eastAsia="Times New Roman"/>
          <w:lang w:eastAsia="en-US"/>
        </w:rPr>
        <w:t xml:space="preserve"> apmērā 2024. un 2025. gadam ik gadu un samazināti izdevumi 1,4 milj. </w:t>
      </w:r>
      <w:r w:rsidRPr="00307028">
        <w:rPr>
          <w:rFonts w:eastAsia="Times New Roman"/>
          <w:i/>
          <w:iCs/>
          <w:lang w:eastAsia="en-US"/>
        </w:rPr>
        <w:t>euro</w:t>
      </w:r>
      <w:r w:rsidRPr="00307028">
        <w:rPr>
          <w:rFonts w:eastAsia="Times New Roman"/>
          <w:lang w:eastAsia="en-US"/>
        </w:rPr>
        <w:t xml:space="preserve"> apmērā 2026. gadam, tajā skaitā: </w:t>
      </w:r>
    </w:p>
    <w:p w14:paraId="0D43004A" w14:textId="6A0F1DD2" w:rsidR="00502EF8" w:rsidRPr="00307028" w:rsidRDefault="00502EF8" w:rsidP="00070D5F">
      <w:pPr>
        <w:numPr>
          <w:ilvl w:val="0"/>
          <w:numId w:val="52"/>
        </w:numPr>
        <w:tabs>
          <w:tab w:val="left" w:pos="993"/>
        </w:tabs>
        <w:spacing w:after="120" w:line="259" w:lineRule="auto"/>
        <w:ind w:left="0" w:firstLine="709"/>
        <w:jc w:val="both"/>
        <w:rPr>
          <w:rFonts w:eastAsia="Calibri"/>
          <w:lang w:eastAsia="en-US"/>
        </w:rPr>
      </w:pPr>
      <w:r w:rsidRPr="00307028">
        <w:rPr>
          <w:rFonts w:eastAsia="Calibri"/>
          <w:lang w:eastAsia="en-US"/>
        </w:rPr>
        <w:t xml:space="preserve">izdevumu palielinājums 0,5 milj. </w:t>
      </w:r>
      <w:r w:rsidRPr="00307028">
        <w:rPr>
          <w:rFonts w:eastAsia="Calibri"/>
          <w:i/>
          <w:lang w:eastAsia="en-US"/>
        </w:rPr>
        <w:t>euro</w:t>
      </w:r>
      <w:r w:rsidRPr="00307028">
        <w:rPr>
          <w:rFonts w:eastAsia="Calibri"/>
          <w:lang w:eastAsia="en-US"/>
        </w:rPr>
        <w:t xml:space="preserve"> apmērā 2024., 2025. un 2026. gadam ik gadu </w:t>
      </w:r>
      <w:r w:rsidR="00224110" w:rsidRPr="00307028">
        <w:rPr>
          <w:rFonts w:eastAsia="Calibri"/>
          <w:lang w:eastAsia="en-US"/>
        </w:rPr>
        <w:t xml:space="preserve">PP </w:t>
      </w:r>
      <w:r w:rsidRPr="00307028">
        <w:rPr>
          <w:rFonts w:eastAsia="Calibri"/>
          <w:lang w:eastAsia="en-US"/>
        </w:rPr>
        <w:t>“Komerciālo elektronisko plašsaziņas līdzekļu kapacitātes stiprināšana” īstenošanai;</w:t>
      </w:r>
    </w:p>
    <w:p w14:paraId="5E6EBF31" w14:textId="07E427A3" w:rsidR="00502EF8" w:rsidRPr="00307028" w:rsidRDefault="00224110" w:rsidP="00070D5F">
      <w:pPr>
        <w:numPr>
          <w:ilvl w:val="0"/>
          <w:numId w:val="52"/>
        </w:numPr>
        <w:tabs>
          <w:tab w:val="left" w:pos="993"/>
        </w:tabs>
        <w:spacing w:after="120" w:line="259" w:lineRule="auto"/>
        <w:ind w:left="0" w:firstLine="709"/>
        <w:jc w:val="both"/>
        <w:rPr>
          <w:rFonts w:eastAsia="Calibri"/>
          <w:lang w:eastAsia="en-US"/>
        </w:rPr>
      </w:pPr>
      <w:r w:rsidRPr="00307028">
        <w:rPr>
          <w:rFonts w:eastAsia="Calibri"/>
          <w:lang w:eastAsia="en-US"/>
        </w:rPr>
        <w:t>KM</w:t>
      </w:r>
      <w:r w:rsidR="00502EF8" w:rsidRPr="00307028">
        <w:rPr>
          <w:rFonts w:eastAsia="Calibri"/>
          <w:lang w:eastAsia="en-US"/>
        </w:rPr>
        <w:t xml:space="preserve"> transferta samazinājums 1,9 milj. </w:t>
      </w:r>
      <w:r w:rsidR="00502EF8" w:rsidRPr="00307028">
        <w:rPr>
          <w:rFonts w:eastAsia="Calibri"/>
          <w:i/>
          <w:lang w:eastAsia="en-US"/>
        </w:rPr>
        <w:t>euro</w:t>
      </w:r>
      <w:r w:rsidR="00502EF8" w:rsidRPr="00307028">
        <w:rPr>
          <w:rFonts w:eastAsia="Calibri"/>
          <w:lang w:eastAsia="en-US"/>
        </w:rPr>
        <w:t xml:space="preserve"> apmērā 2026. gadam programmas “Latvijas NVO fonds” īstenošanai;</w:t>
      </w:r>
    </w:p>
    <w:p w14:paraId="59A9B05D" w14:textId="77777777" w:rsidR="00502EF8" w:rsidRPr="00307028" w:rsidRDefault="00502EF8" w:rsidP="00224110">
      <w:pPr>
        <w:tabs>
          <w:tab w:val="left" w:pos="993"/>
        </w:tabs>
        <w:spacing w:after="120" w:line="259" w:lineRule="auto"/>
        <w:ind w:firstLine="709"/>
        <w:jc w:val="both"/>
        <w:rPr>
          <w:rFonts w:eastAsia="Calibri"/>
          <w:lang w:eastAsia="en-US"/>
        </w:rPr>
      </w:pPr>
      <w:r w:rsidRPr="00307028">
        <w:rPr>
          <w:rFonts w:eastAsia="Calibri"/>
          <w:b/>
          <w:lang w:eastAsia="en-US"/>
        </w:rPr>
        <w:t>Sabiedrisko pakalpojumu regulēšanas komisijai</w:t>
      </w:r>
      <w:r w:rsidRPr="00307028">
        <w:rPr>
          <w:rFonts w:eastAsia="Calibri"/>
          <w:lang w:eastAsia="en-US"/>
        </w:rPr>
        <w:t xml:space="preserve"> palielināti izdevumi 0,2 milj. </w:t>
      </w:r>
      <w:r w:rsidRPr="00307028">
        <w:rPr>
          <w:rFonts w:eastAsia="Calibri"/>
          <w:i/>
          <w:lang w:eastAsia="en-US"/>
        </w:rPr>
        <w:t>euro</w:t>
      </w:r>
      <w:r w:rsidRPr="00307028">
        <w:rPr>
          <w:rFonts w:eastAsia="Calibri"/>
          <w:lang w:eastAsia="en-US"/>
        </w:rPr>
        <w:t xml:space="preserve"> apmērā 2024. gadam un 0,6 milj. </w:t>
      </w:r>
      <w:r w:rsidRPr="00307028">
        <w:rPr>
          <w:rFonts w:eastAsia="Calibri"/>
          <w:i/>
          <w:lang w:eastAsia="en-US"/>
        </w:rPr>
        <w:t>euro</w:t>
      </w:r>
      <w:r w:rsidRPr="00307028">
        <w:rPr>
          <w:rFonts w:eastAsia="Calibri"/>
          <w:lang w:eastAsia="en-US"/>
        </w:rPr>
        <w:t xml:space="preserve"> apmērā 2025. un 2026. gadam ik gadu no citu pašu ieņēmumu atlikuma, konkurētspējīga atalgojuma nodrošināšanai; </w:t>
      </w:r>
    </w:p>
    <w:p w14:paraId="5DDFB966" w14:textId="77777777"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 xml:space="preserve">Aizsardzības ministrijai </w:t>
      </w:r>
      <w:r w:rsidRPr="00307028">
        <w:rPr>
          <w:rFonts w:eastAsia="Times New Roman"/>
          <w:lang w:eastAsia="en-US"/>
        </w:rPr>
        <w:t xml:space="preserve">palielināti izdevumi 17,8 milj. </w:t>
      </w:r>
      <w:r w:rsidRPr="00307028">
        <w:rPr>
          <w:rFonts w:eastAsia="Times New Roman"/>
          <w:i/>
          <w:lang w:eastAsia="en-US"/>
        </w:rPr>
        <w:t>euro</w:t>
      </w:r>
      <w:r w:rsidRPr="00307028">
        <w:rPr>
          <w:rFonts w:eastAsia="Times New Roman"/>
          <w:lang w:eastAsia="en-US"/>
        </w:rPr>
        <w:t xml:space="preserve"> apmērā 2024. gadam, 20,3 milj. </w:t>
      </w:r>
      <w:r w:rsidRPr="00307028">
        <w:rPr>
          <w:rFonts w:eastAsia="Times New Roman"/>
          <w:i/>
          <w:lang w:eastAsia="en-US"/>
        </w:rPr>
        <w:t>euro</w:t>
      </w:r>
      <w:r w:rsidRPr="00307028">
        <w:rPr>
          <w:rFonts w:eastAsia="Times New Roman"/>
          <w:lang w:eastAsia="en-US"/>
        </w:rPr>
        <w:t xml:space="preserve"> apmērā 2025. gadam un 89,9 milj. </w:t>
      </w:r>
      <w:r w:rsidRPr="00307028">
        <w:rPr>
          <w:rFonts w:eastAsia="Times New Roman"/>
          <w:i/>
          <w:lang w:eastAsia="en-US"/>
        </w:rPr>
        <w:t>euro</w:t>
      </w:r>
      <w:r w:rsidRPr="00307028">
        <w:rPr>
          <w:rFonts w:eastAsia="Times New Roman"/>
          <w:lang w:eastAsia="en-US"/>
        </w:rPr>
        <w:t xml:space="preserve"> apmērā 2026. gadam, tajā skaitā:</w:t>
      </w:r>
    </w:p>
    <w:p w14:paraId="6AD8612F" w14:textId="347BCE39" w:rsidR="00502EF8" w:rsidRPr="00307028" w:rsidRDefault="00502EF8" w:rsidP="00070D5F">
      <w:pPr>
        <w:numPr>
          <w:ilvl w:val="0"/>
          <w:numId w:val="52"/>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17,8 milj. </w:t>
      </w:r>
      <w:r w:rsidRPr="00307028">
        <w:rPr>
          <w:rFonts w:eastAsia="Calibri"/>
          <w:i/>
          <w:iCs/>
          <w:lang w:eastAsia="en-US"/>
        </w:rPr>
        <w:t xml:space="preserve">euro </w:t>
      </w:r>
      <w:r w:rsidRPr="00307028">
        <w:rPr>
          <w:rFonts w:eastAsia="Calibri"/>
          <w:lang w:eastAsia="en-US"/>
        </w:rPr>
        <w:t xml:space="preserve">apmērā 2024. gadam, 20,2 milj. </w:t>
      </w:r>
      <w:r w:rsidRPr="00307028">
        <w:rPr>
          <w:rFonts w:eastAsia="Calibri"/>
          <w:i/>
          <w:lang w:eastAsia="en-US"/>
        </w:rPr>
        <w:t xml:space="preserve">euro </w:t>
      </w:r>
      <w:r w:rsidRPr="00307028">
        <w:rPr>
          <w:rFonts w:eastAsia="Calibri"/>
          <w:lang w:eastAsia="en-US"/>
        </w:rPr>
        <w:t xml:space="preserve">apmērā 2025. gadam un 90,2 milj. </w:t>
      </w:r>
      <w:r w:rsidRPr="00307028">
        <w:rPr>
          <w:rFonts w:eastAsia="Calibri"/>
          <w:i/>
          <w:iCs/>
          <w:lang w:eastAsia="en-US"/>
        </w:rPr>
        <w:t>euro</w:t>
      </w:r>
      <w:r w:rsidRPr="00307028">
        <w:rPr>
          <w:rFonts w:eastAsia="Calibri"/>
          <w:lang w:eastAsia="en-US"/>
        </w:rPr>
        <w:t xml:space="preserve"> apmērā 2026. gadam, lai nodrošinātu </w:t>
      </w:r>
      <w:r w:rsidR="00224110" w:rsidRPr="00307028">
        <w:rPr>
          <w:rFonts w:eastAsia="Calibri"/>
          <w:lang w:eastAsia="en-US"/>
        </w:rPr>
        <w:t>AiM</w:t>
      </w:r>
      <w:r w:rsidRPr="00307028">
        <w:rPr>
          <w:rFonts w:eastAsia="Calibri"/>
          <w:lang w:eastAsia="en-US"/>
        </w:rPr>
        <w:t xml:space="preserve"> budžeta izdevumu apjoma palielinājumu līdz noteiktajiem % no IKP</w:t>
      </w:r>
      <w:r w:rsidRPr="00307028">
        <w:rPr>
          <w:rFonts w:ascii="Calibri" w:eastAsia="Calibri" w:hAnsi="Calibri"/>
          <w:sz w:val="22"/>
          <w:szCs w:val="22"/>
          <w:lang w:eastAsia="en-US"/>
        </w:rPr>
        <w:t xml:space="preserve"> </w:t>
      </w:r>
      <w:r w:rsidRPr="00307028">
        <w:rPr>
          <w:rFonts w:eastAsia="Calibri"/>
          <w:lang w:eastAsia="en-US"/>
        </w:rPr>
        <w:t>atbilstoši Valsts aizsardzības finansēšanas likuma 2. panta pirmajā daļā noteiktajam, ņemot vērā aktualizētās IKP prognozes;</w:t>
      </w:r>
    </w:p>
    <w:p w14:paraId="0A152DD5" w14:textId="6DD7F44E" w:rsidR="00502EF8" w:rsidRPr="00307028" w:rsidRDefault="00502EF8" w:rsidP="00070D5F">
      <w:pPr>
        <w:numPr>
          <w:ilvl w:val="0"/>
          <w:numId w:val="52"/>
        </w:numPr>
        <w:tabs>
          <w:tab w:val="left" w:pos="993"/>
        </w:tabs>
        <w:spacing w:after="120" w:line="259" w:lineRule="auto"/>
        <w:ind w:left="-142" w:firstLine="851"/>
        <w:jc w:val="both"/>
        <w:rPr>
          <w:rFonts w:eastAsia="Calibri"/>
          <w:lang w:eastAsia="en-US"/>
        </w:rPr>
      </w:pPr>
      <w:r w:rsidRPr="00307028">
        <w:rPr>
          <w:rFonts w:eastAsia="Calibri"/>
          <w:lang w:eastAsia="en-US"/>
        </w:rPr>
        <w:t xml:space="preserve">palielināti izdevumi 0,03 milj. </w:t>
      </w:r>
      <w:r w:rsidRPr="00307028">
        <w:rPr>
          <w:rFonts w:eastAsia="Calibri"/>
          <w:i/>
          <w:iCs/>
          <w:lang w:eastAsia="en-US"/>
        </w:rPr>
        <w:t>euro</w:t>
      </w:r>
      <w:r w:rsidRPr="00307028">
        <w:rPr>
          <w:rFonts w:eastAsia="Calibri"/>
          <w:lang w:eastAsia="en-US"/>
        </w:rPr>
        <w:t xml:space="preserve"> apmērā 2025.</w:t>
      </w:r>
      <w:r w:rsidR="004B7FD1">
        <w:rPr>
          <w:rFonts w:eastAsia="Calibri"/>
          <w:lang w:eastAsia="en-US"/>
        </w:rPr>
        <w:t> </w:t>
      </w:r>
      <w:r w:rsidRPr="00307028">
        <w:rPr>
          <w:rFonts w:eastAsia="Calibri"/>
          <w:lang w:eastAsia="en-US"/>
        </w:rPr>
        <w:t>gadam no ieņēmumiem no maksas pakalpojumiem un citiem pašu ieņēmumiem, lai nodrošinātu “EuroGeographics” ģenerālās asamblejas organizēšanu;</w:t>
      </w:r>
    </w:p>
    <w:p w14:paraId="698BEB44" w14:textId="77777777" w:rsidR="00502EF8" w:rsidRPr="00307028" w:rsidRDefault="00502EF8" w:rsidP="00070D5F">
      <w:pPr>
        <w:numPr>
          <w:ilvl w:val="0"/>
          <w:numId w:val="52"/>
        </w:numPr>
        <w:tabs>
          <w:tab w:val="left" w:pos="993"/>
        </w:tabs>
        <w:spacing w:after="120" w:line="259" w:lineRule="auto"/>
        <w:ind w:left="-142" w:firstLine="851"/>
        <w:jc w:val="both"/>
        <w:rPr>
          <w:rFonts w:eastAsia="Calibri"/>
          <w:lang w:eastAsia="en-US"/>
        </w:rPr>
      </w:pPr>
      <w:r w:rsidRPr="00307028">
        <w:rPr>
          <w:rFonts w:eastAsia="Calibri"/>
          <w:lang w:eastAsia="en-US"/>
        </w:rPr>
        <w:lastRenderedPageBreak/>
        <w:t>palielināti izdevumi 0,01 milj.</w:t>
      </w:r>
      <w:r w:rsidRPr="00307028">
        <w:rPr>
          <w:rFonts w:eastAsia="Calibri"/>
          <w:i/>
          <w:lang w:eastAsia="en-US"/>
        </w:rPr>
        <w:t xml:space="preserve"> euro </w:t>
      </w:r>
      <w:r w:rsidRPr="00307028">
        <w:rPr>
          <w:rFonts w:eastAsia="Calibri"/>
          <w:lang w:eastAsia="en-US"/>
        </w:rPr>
        <w:t>apmērā 2024., 2025. un 2026. gadam ik gadu pedagogu zemākās darba samaksas likmes pieaugumam;</w:t>
      </w:r>
    </w:p>
    <w:p w14:paraId="37CD73F5" w14:textId="5AC4AB8A" w:rsidR="00502EF8" w:rsidRPr="00307028" w:rsidRDefault="00502EF8" w:rsidP="00070D5F">
      <w:pPr>
        <w:numPr>
          <w:ilvl w:val="0"/>
          <w:numId w:val="52"/>
        </w:numPr>
        <w:tabs>
          <w:tab w:val="left" w:pos="993"/>
        </w:tabs>
        <w:spacing w:after="120" w:line="259" w:lineRule="auto"/>
        <w:ind w:left="-142" w:firstLine="851"/>
        <w:jc w:val="both"/>
        <w:rPr>
          <w:rFonts w:eastAsia="Calibri"/>
          <w:lang w:eastAsia="en-US"/>
        </w:rPr>
      </w:pPr>
      <w:r w:rsidRPr="00307028">
        <w:rPr>
          <w:rFonts w:eastAsia="Calibri"/>
          <w:lang w:eastAsia="en-US"/>
        </w:rPr>
        <w:t xml:space="preserve">samazināti izdevumi 0,3 milj. </w:t>
      </w:r>
      <w:r w:rsidRPr="00307028">
        <w:rPr>
          <w:rFonts w:eastAsia="Calibri"/>
          <w:i/>
          <w:lang w:eastAsia="en-US"/>
        </w:rPr>
        <w:t>euro</w:t>
      </w:r>
      <w:r w:rsidRPr="00307028">
        <w:rPr>
          <w:rFonts w:eastAsia="Calibri"/>
          <w:lang w:eastAsia="en-US"/>
        </w:rPr>
        <w:t xml:space="preserve"> apmērā 2026. gadam, samazinot </w:t>
      </w:r>
      <w:r w:rsidR="00224110" w:rsidRPr="00307028">
        <w:rPr>
          <w:rFonts w:eastAsia="Calibri"/>
          <w:lang w:eastAsia="en-US"/>
        </w:rPr>
        <w:t xml:space="preserve">IeM </w:t>
      </w:r>
      <w:r w:rsidRPr="00307028">
        <w:rPr>
          <w:rFonts w:eastAsia="Calibri"/>
          <w:lang w:eastAsia="en-US"/>
        </w:rPr>
        <w:t>transfertu saskaņā ar starpresoru vienošanos u.c.;</w:t>
      </w:r>
    </w:p>
    <w:p w14:paraId="5FE65931" w14:textId="646F39E9"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 xml:space="preserve">Ārlietu ministrijai </w:t>
      </w:r>
      <w:r w:rsidRPr="00307028">
        <w:rPr>
          <w:rFonts w:eastAsia="Times New Roman"/>
          <w:lang w:eastAsia="en-US"/>
        </w:rPr>
        <w:t xml:space="preserve">palielināti izdevumi 2,5 milj. </w:t>
      </w:r>
      <w:r w:rsidRPr="00307028">
        <w:rPr>
          <w:rFonts w:eastAsia="Times New Roman"/>
          <w:i/>
          <w:lang w:eastAsia="en-US"/>
        </w:rPr>
        <w:t xml:space="preserve">euro </w:t>
      </w:r>
      <w:r w:rsidRPr="00307028">
        <w:rPr>
          <w:rFonts w:eastAsia="Times New Roman"/>
          <w:lang w:eastAsia="en-US"/>
        </w:rPr>
        <w:t>apmērā 2024. gadam, 2,2</w:t>
      </w:r>
      <w:r w:rsidR="00C60231">
        <w:rPr>
          <w:rFonts w:eastAsia="Times New Roman"/>
          <w:lang w:eastAsia="en-US"/>
        </w:rPr>
        <w:t> </w:t>
      </w:r>
      <w:r w:rsidRPr="00307028">
        <w:rPr>
          <w:rFonts w:eastAsia="Times New Roman"/>
          <w:lang w:eastAsia="en-US"/>
        </w:rPr>
        <w:t>milj.</w:t>
      </w:r>
      <w:r w:rsidR="000C03D2">
        <w:rPr>
          <w:rFonts w:eastAsia="Times New Roman"/>
          <w:lang w:eastAsia="en-US"/>
        </w:rPr>
        <w:t> </w:t>
      </w:r>
      <w:r w:rsidRPr="00307028">
        <w:rPr>
          <w:rFonts w:eastAsia="Times New Roman"/>
          <w:i/>
          <w:lang w:eastAsia="en-US"/>
        </w:rPr>
        <w:t xml:space="preserve">euro </w:t>
      </w:r>
      <w:r w:rsidRPr="00307028">
        <w:rPr>
          <w:rFonts w:eastAsia="Times New Roman"/>
          <w:lang w:eastAsia="en-US"/>
        </w:rPr>
        <w:t xml:space="preserve">apmērā 2025. gadam un 0,4 milj. </w:t>
      </w:r>
      <w:r w:rsidRPr="00307028">
        <w:rPr>
          <w:rFonts w:eastAsia="Times New Roman"/>
          <w:i/>
          <w:lang w:eastAsia="en-US"/>
        </w:rPr>
        <w:t xml:space="preserve">euro </w:t>
      </w:r>
      <w:r w:rsidRPr="00307028">
        <w:rPr>
          <w:rFonts w:eastAsia="Times New Roman"/>
          <w:lang w:eastAsia="en-US"/>
        </w:rPr>
        <w:t>apmērā 2026. gadam, tajā skaitā:</w:t>
      </w:r>
    </w:p>
    <w:p w14:paraId="22F888D1"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2,0 milj. </w:t>
      </w:r>
      <w:r w:rsidRPr="00307028">
        <w:rPr>
          <w:rFonts w:eastAsia="Calibri"/>
          <w:i/>
          <w:lang w:eastAsia="en-US"/>
        </w:rPr>
        <w:t>euro</w:t>
      </w:r>
      <w:r w:rsidRPr="00307028">
        <w:rPr>
          <w:rFonts w:eastAsia="Calibri"/>
          <w:lang w:eastAsia="en-US"/>
        </w:rPr>
        <w:t xml:space="preserve"> apmērā 2024. un 2025. gadam ik gadu iemaksai NATO Visaptverošā atbalsta pakotnē Ukrainai;</w:t>
      </w:r>
    </w:p>
    <w:p w14:paraId="33A56F80" w14:textId="3E14733D"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0,3 milj. </w:t>
      </w:r>
      <w:r w:rsidRPr="00307028">
        <w:rPr>
          <w:rFonts w:eastAsia="Calibri"/>
          <w:i/>
          <w:lang w:eastAsia="en-US"/>
        </w:rPr>
        <w:t xml:space="preserve">euro </w:t>
      </w:r>
      <w:r w:rsidRPr="00307028">
        <w:rPr>
          <w:rFonts w:eastAsia="Calibri"/>
          <w:lang w:eastAsia="en-US"/>
        </w:rPr>
        <w:t xml:space="preserve">apmērā 2026. gadam </w:t>
      </w:r>
      <w:r w:rsidR="00224110" w:rsidRPr="00307028">
        <w:rPr>
          <w:rFonts w:eastAsia="Calibri"/>
          <w:lang w:eastAsia="en-US"/>
        </w:rPr>
        <w:t>PP</w:t>
      </w:r>
      <w:r w:rsidRPr="00307028">
        <w:rPr>
          <w:rFonts w:eastAsia="Calibri"/>
          <w:lang w:eastAsia="en-US"/>
        </w:rPr>
        <w:t xml:space="preserve"> “Latvijas kandidatūras ANO Drošības padomes vēlēšanās 2025. g. lobija kampaņas nodrošināšana Latvijas dalībai ANO Drošības padomē 2026-2028. g.”;</w:t>
      </w:r>
    </w:p>
    <w:p w14:paraId="6CB35677"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palielināti izdevumi 0,4 milj.</w:t>
      </w:r>
      <w:r w:rsidRPr="00307028">
        <w:rPr>
          <w:rFonts w:eastAsia="Calibri"/>
          <w:i/>
          <w:lang w:eastAsia="en-US"/>
        </w:rPr>
        <w:t xml:space="preserve"> euro</w:t>
      </w:r>
      <w:r w:rsidRPr="00307028">
        <w:rPr>
          <w:rFonts w:eastAsia="Calibri"/>
          <w:lang w:eastAsia="en-US"/>
        </w:rPr>
        <w:t xml:space="preserve"> apmērā 2024. gadam no maksas pakalpojumu un citu pašu ieņēmumu atlikuma telpu, drošības sistēmu un materiāltehniskajam nodrošinājumam;</w:t>
      </w:r>
    </w:p>
    <w:p w14:paraId="370912AF" w14:textId="6574C8C2"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 milj. </w:t>
      </w:r>
      <w:r w:rsidRPr="00307028">
        <w:rPr>
          <w:rFonts w:eastAsia="Calibri"/>
          <w:i/>
          <w:lang w:eastAsia="en-US"/>
        </w:rPr>
        <w:t xml:space="preserve">euro </w:t>
      </w:r>
      <w:r w:rsidRPr="00307028">
        <w:rPr>
          <w:rFonts w:eastAsia="Calibri"/>
          <w:lang w:eastAsia="en-US"/>
        </w:rPr>
        <w:t xml:space="preserve">apmērā 2024., 2025. un 2026. gadam ik gadu no maksas pakalpojumu ieņēmumiem, lai nodrošinātu konsulāro pakalpojumu sniegšanu </w:t>
      </w:r>
      <w:r w:rsidR="00497067" w:rsidRPr="00307028">
        <w:rPr>
          <w:rFonts w:eastAsia="Calibri"/>
          <w:lang w:eastAsia="en-US"/>
        </w:rPr>
        <w:t>LR</w:t>
      </w:r>
      <w:r w:rsidRPr="00307028">
        <w:rPr>
          <w:rFonts w:eastAsia="Calibri"/>
          <w:lang w:eastAsia="en-US"/>
        </w:rPr>
        <w:t xml:space="preserve"> diplomātiskajās un konsulārajās pārstāvniecības ārvalstīs;</w:t>
      </w:r>
    </w:p>
    <w:p w14:paraId="721E9C5D" w14:textId="5972F499"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0,02 milj. </w:t>
      </w:r>
      <w:r w:rsidRPr="00307028">
        <w:rPr>
          <w:rFonts w:eastAsia="Calibri"/>
          <w:i/>
          <w:iCs/>
          <w:lang w:eastAsia="en-US"/>
        </w:rPr>
        <w:t>euro</w:t>
      </w:r>
      <w:r w:rsidRPr="00307028">
        <w:rPr>
          <w:rFonts w:eastAsia="Calibri"/>
          <w:lang w:eastAsia="en-US"/>
        </w:rPr>
        <w:t xml:space="preserve"> apmērā 2024.</w:t>
      </w:r>
      <w:r w:rsidR="000C03D2">
        <w:rPr>
          <w:rFonts w:eastAsia="Calibri"/>
          <w:lang w:eastAsia="en-US"/>
        </w:rPr>
        <w:t> </w:t>
      </w:r>
      <w:r w:rsidRPr="00307028">
        <w:rPr>
          <w:rFonts w:eastAsia="Calibri"/>
          <w:lang w:eastAsia="en-US"/>
        </w:rPr>
        <w:t xml:space="preserve">gadam civilā eksperta dalības nodrošināšanai </w:t>
      </w:r>
      <w:r w:rsidR="00224110" w:rsidRPr="00307028">
        <w:rPr>
          <w:rFonts w:eastAsia="Calibri"/>
          <w:lang w:eastAsia="en-US"/>
        </w:rPr>
        <w:t>ES</w:t>
      </w:r>
      <w:r w:rsidRPr="00307028">
        <w:rPr>
          <w:rFonts w:eastAsia="Calibri"/>
          <w:lang w:eastAsia="en-US"/>
        </w:rPr>
        <w:t xml:space="preserve"> Novērošanas misijā Gruzijā no 2024. gada 1. janvāra;</w:t>
      </w:r>
    </w:p>
    <w:p w14:paraId="1B617EF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06519CA3" w14:textId="6FA0D6A6"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Ekonomikas ministrijai</w:t>
      </w:r>
      <w:r w:rsidRPr="00307028">
        <w:rPr>
          <w:rFonts w:eastAsia="Times New Roman"/>
          <w:lang w:eastAsia="en-US"/>
        </w:rPr>
        <w:t xml:space="preserve"> palielināti izdevumi 0,3 milj. </w:t>
      </w:r>
      <w:r w:rsidRPr="00307028">
        <w:rPr>
          <w:rFonts w:eastAsia="Times New Roman"/>
          <w:i/>
          <w:lang w:eastAsia="en-US"/>
        </w:rPr>
        <w:t xml:space="preserve">euro </w:t>
      </w:r>
      <w:r w:rsidRPr="00307028">
        <w:rPr>
          <w:rFonts w:eastAsia="Times New Roman"/>
          <w:lang w:eastAsia="en-US"/>
        </w:rPr>
        <w:t>apmērā 2024. gadam, 2,0</w:t>
      </w:r>
      <w:r w:rsidR="00B018C5"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 xml:space="preserve">euro </w:t>
      </w:r>
      <w:r w:rsidRPr="00307028">
        <w:rPr>
          <w:rFonts w:eastAsia="Times New Roman"/>
          <w:lang w:eastAsia="en-US"/>
        </w:rPr>
        <w:t xml:space="preserve">apmērā 2025. gadam un samazināti izdevumi 22,0 milj. </w:t>
      </w:r>
      <w:r w:rsidRPr="00307028">
        <w:rPr>
          <w:rFonts w:eastAsia="Times New Roman"/>
          <w:i/>
          <w:lang w:eastAsia="en-US"/>
        </w:rPr>
        <w:t xml:space="preserve">euro </w:t>
      </w:r>
      <w:r w:rsidRPr="00307028">
        <w:rPr>
          <w:rFonts w:eastAsia="Times New Roman"/>
          <w:lang w:eastAsia="en-US"/>
        </w:rPr>
        <w:t>apmērā 2026.</w:t>
      </w:r>
      <w:r w:rsidR="000C03D2">
        <w:rPr>
          <w:rFonts w:eastAsia="Times New Roman"/>
          <w:lang w:eastAsia="en-US"/>
        </w:rPr>
        <w:t> </w:t>
      </w:r>
      <w:r w:rsidRPr="00307028">
        <w:rPr>
          <w:rFonts w:eastAsia="Times New Roman"/>
          <w:lang w:eastAsia="en-US"/>
        </w:rPr>
        <w:t>gadam, tajā skaitā:</w:t>
      </w:r>
    </w:p>
    <w:p w14:paraId="03F2BBD6" w14:textId="47D09C75"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10,0 milj. </w:t>
      </w:r>
      <w:r w:rsidRPr="00307028">
        <w:rPr>
          <w:rFonts w:eastAsia="Calibri"/>
          <w:i/>
          <w:lang w:eastAsia="en-US"/>
        </w:rPr>
        <w:t xml:space="preserve">euro </w:t>
      </w:r>
      <w:r w:rsidRPr="00307028">
        <w:rPr>
          <w:rFonts w:eastAsia="Calibri"/>
          <w:lang w:eastAsia="en-US"/>
        </w:rPr>
        <w:t xml:space="preserve">apmērā 2026. gadam </w:t>
      </w:r>
      <w:r w:rsidR="00224110" w:rsidRPr="00307028">
        <w:rPr>
          <w:rFonts w:eastAsia="Calibri"/>
          <w:lang w:eastAsia="en-US"/>
        </w:rPr>
        <w:t>PP</w:t>
      </w:r>
      <w:r w:rsidRPr="00307028">
        <w:rPr>
          <w:rFonts w:eastAsia="Calibri"/>
          <w:lang w:eastAsia="en-US"/>
        </w:rPr>
        <w:t xml:space="preserve"> “Finanšu instruments investīciju projektiem”;</w:t>
      </w:r>
    </w:p>
    <w:p w14:paraId="121CB113" w14:textId="215C39F3"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2,0 milj. </w:t>
      </w:r>
      <w:r w:rsidRPr="00307028">
        <w:rPr>
          <w:rFonts w:eastAsia="Calibri"/>
          <w:i/>
          <w:lang w:eastAsia="en-US"/>
        </w:rPr>
        <w:t xml:space="preserve">euro </w:t>
      </w:r>
      <w:r w:rsidRPr="00307028">
        <w:rPr>
          <w:rFonts w:eastAsia="Calibri"/>
          <w:lang w:eastAsia="en-US"/>
        </w:rPr>
        <w:t xml:space="preserve">apmērā 2025. gadam </w:t>
      </w:r>
      <w:r w:rsidR="00224110" w:rsidRPr="00307028">
        <w:rPr>
          <w:rFonts w:eastAsia="Calibri"/>
          <w:lang w:eastAsia="en-US"/>
        </w:rPr>
        <w:t>PP</w:t>
      </w:r>
      <w:r w:rsidRPr="00307028">
        <w:rPr>
          <w:rFonts w:eastAsia="Calibri"/>
          <w:lang w:eastAsia="en-US"/>
        </w:rPr>
        <w:t xml:space="preserve"> “Inovāciju fonds”;</w:t>
      </w:r>
    </w:p>
    <w:p w14:paraId="71C1DF72"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 milj. </w:t>
      </w:r>
      <w:r w:rsidRPr="00307028">
        <w:rPr>
          <w:rFonts w:eastAsia="Calibri"/>
          <w:i/>
          <w:iCs/>
          <w:lang w:eastAsia="en-US"/>
        </w:rPr>
        <w:t>euro</w:t>
      </w:r>
      <w:r w:rsidRPr="00307028">
        <w:rPr>
          <w:rFonts w:eastAsia="Calibri"/>
          <w:lang w:eastAsia="en-US"/>
        </w:rPr>
        <w:t xml:space="preserve"> apmērā 2024. gadam, palielinot ieņēmumus no maksas pakalpojumiem un citiem pašu ieņēmumiem, jo palielinās nomniekiem izrakstītie rēķini par elektrību;</w:t>
      </w:r>
    </w:p>
    <w:p w14:paraId="35A60570" w14:textId="6A2C4652"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0,15 milj. </w:t>
      </w:r>
      <w:r w:rsidRPr="00307028">
        <w:rPr>
          <w:rFonts w:eastAsia="Calibri"/>
          <w:i/>
          <w:iCs/>
          <w:lang w:eastAsia="en-US"/>
        </w:rPr>
        <w:t>euro</w:t>
      </w:r>
      <w:r w:rsidRPr="00307028">
        <w:rPr>
          <w:rFonts w:eastAsia="Calibri"/>
          <w:lang w:eastAsia="en-US"/>
        </w:rPr>
        <w:t xml:space="preserve"> apmērā 2024. gadam no maksas pakalpojumu un citu pašu ieņēmumu atlikuma </w:t>
      </w:r>
      <w:r w:rsidR="00224110" w:rsidRPr="00307028">
        <w:rPr>
          <w:rFonts w:eastAsia="Calibri"/>
          <w:lang w:eastAsia="en-US"/>
        </w:rPr>
        <w:t>LIAA</w:t>
      </w:r>
      <w:r w:rsidRPr="00307028">
        <w:rPr>
          <w:rFonts w:eastAsia="Calibri"/>
          <w:lang w:eastAsia="en-US"/>
        </w:rPr>
        <w:t xml:space="preserve"> iekštelpu kosmētiskajam remontam;</w:t>
      </w:r>
    </w:p>
    <w:p w14:paraId="3D2B5841"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42E582CA"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15,2 milj. </w:t>
      </w:r>
      <w:r w:rsidRPr="00307028">
        <w:rPr>
          <w:rFonts w:eastAsia="Calibri"/>
          <w:i/>
          <w:lang w:eastAsia="en-US"/>
        </w:rPr>
        <w:t xml:space="preserve">euro </w:t>
      </w:r>
      <w:r w:rsidRPr="00307028">
        <w:rPr>
          <w:rFonts w:eastAsia="Calibri"/>
          <w:lang w:eastAsia="en-US"/>
        </w:rPr>
        <w:t>apmērā 2026. gadam aizsargāto lietotāju atbalstam;</w:t>
      </w:r>
    </w:p>
    <w:p w14:paraId="79D75CAA"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9,4 milj. </w:t>
      </w:r>
      <w:r w:rsidRPr="00307028">
        <w:rPr>
          <w:rFonts w:eastAsia="Calibri"/>
          <w:i/>
          <w:lang w:eastAsia="en-US"/>
        </w:rPr>
        <w:t>euro</w:t>
      </w:r>
      <w:r w:rsidRPr="00307028">
        <w:rPr>
          <w:rFonts w:eastAsia="Calibri"/>
          <w:lang w:eastAsia="en-US"/>
        </w:rPr>
        <w:t xml:space="preserve"> apmērā 2026. gadam Latvijas un Igaunijas atkrastes vēja enerģijas kopprojekta ELWIND projekta īstenošanas izpētes darbiem;</w:t>
      </w:r>
    </w:p>
    <w:p w14:paraId="560AEB6E" w14:textId="3EFA2DED" w:rsidR="00502EF8" w:rsidRPr="00307028" w:rsidRDefault="00502EF8" w:rsidP="00070D5F">
      <w:pPr>
        <w:numPr>
          <w:ilvl w:val="0"/>
          <w:numId w:val="50"/>
        </w:numPr>
        <w:tabs>
          <w:tab w:val="left" w:pos="993"/>
        </w:tabs>
        <w:spacing w:after="120" w:line="259" w:lineRule="auto"/>
        <w:ind w:left="0" w:firstLine="709"/>
        <w:jc w:val="both"/>
        <w:rPr>
          <w:rFonts w:eastAsia="Times New Roman"/>
          <w:lang w:eastAsia="en-US"/>
        </w:rPr>
      </w:pPr>
      <w:r w:rsidRPr="00307028">
        <w:rPr>
          <w:rFonts w:eastAsia="Times New Roman"/>
          <w:lang w:eastAsia="en-US"/>
        </w:rPr>
        <w:lastRenderedPageBreak/>
        <w:t xml:space="preserve">samazināti izdevumi 3,6 milj. </w:t>
      </w:r>
      <w:r w:rsidRPr="00307028">
        <w:rPr>
          <w:rFonts w:eastAsia="Times New Roman"/>
          <w:i/>
          <w:iCs/>
          <w:lang w:eastAsia="en-US"/>
        </w:rPr>
        <w:t>euro</w:t>
      </w:r>
      <w:r w:rsidRPr="00307028">
        <w:rPr>
          <w:rFonts w:eastAsia="Times New Roman"/>
          <w:lang w:eastAsia="en-US"/>
        </w:rPr>
        <w:t xml:space="preserve"> apmērā 2026. gadam </w:t>
      </w:r>
      <w:r w:rsidR="00224110" w:rsidRPr="00307028">
        <w:rPr>
          <w:rFonts w:eastAsia="Times New Roman"/>
          <w:lang w:eastAsia="en-US"/>
        </w:rPr>
        <w:t>PP</w:t>
      </w:r>
      <w:r w:rsidRPr="00307028">
        <w:rPr>
          <w:rFonts w:eastAsia="Times New Roman"/>
          <w:lang w:eastAsia="en-US"/>
        </w:rPr>
        <w:t xml:space="preserve"> “Mājokļu garantiju atbalsta programma un atbalsta programma Balsts”;</w:t>
      </w:r>
    </w:p>
    <w:p w14:paraId="7BF6B698" w14:textId="674A77BC"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Times New Roman"/>
          <w:lang w:eastAsia="en-US"/>
        </w:rPr>
        <w:t xml:space="preserve">samazināti izdevumi 2,5 milj. </w:t>
      </w:r>
      <w:r w:rsidRPr="00307028">
        <w:rPr>
          <w:rFonts w:eastAsia="Times New Roman"/>
          <w:i/>
          <w:iCs/>
          <w:lang w:eastAsia="en-US"/>
        </w:rPr>
        <w:t>euro</w:t>
      </w:r>
      <w:r w:rsidRPr="00307028">
        <w:rPr>
          <w:rFonts w:eastAsia="Times New Roman"/>
          <w:lang w:eastAsia="en-US"/>
        </w:rPr>
        <w:t xml:space="preserve"> apmērā 2026. gadam </w:t>
      </w:r>
      <w:r w:rsidR="00224110" w:rsidRPr="00307028">
        <w:rPr>
          <w:rFonts w:eastAsia="Times New Roman"/>
          <w:lang w:eastAsia="en-US"/>
        </w:rPr>
        <w:t>PP</w:t>
      </w:r>
      <w:r w:rsidRPr="00307028">
        <w:rPr>
          <w:rFonts w:eastAsia="Times New Roman"/>
          <w:lang w:eastAsia="en-US"/>
        </w:rPr>
        <w:t xml:space="preserve"> “Būvniecības informācijas sistēmas tālāka attīstība un pakalpojumu modernizēšana uzņēmējdarbības vides uzlabošanai”;</w:t>
      </w:r>
    </w:p>
    <w:p w14:paraId="42C7EB0A" w14:textId="0F9CE56D"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0,5 milj. </w:t>
      </w:r>
      <w:r w:rsidRPr="00307028">
        <w:rPr>
          <w:rFonts w:eastAsia="Calibri"/>
          <w:i/>
          <w:lang w:eastAsia="en-US"/>
        </w:rPr>
        <w:t>euro</w:t>
      </w:r>
      <w:r w:rsidRPr="00307028">
        <w:rPr>
          <w:rFonts w:eastAsia="Calibri"/>
          <w:lang w:eastAsia="en-US"/>
        </w:rPr>
        <w:t xml:space="preserve"> apmērā 2026. gadam </w:t>
      </w:r>
      <w:r w:rsidR="00224110" w:rsidRPr="00307028">
        <w:rPr>
          <w:rFonts w:eastAsia="Calibri"/>
          <w:lang w:eastAsia="en-US"/>
        </w:rPr>
        <w:t>PP</w:t>
      </w:r>
      <w:r w:rsidRPr="00307028">
        <w:rPr>
          <w:rFonts w:eastAsia="Calibri"/>
          <w:lang w:eastAsia="en-US"/>
        </w:rPr>
        <w:t xml:space="preserve"> “Konkurences padomes kapacitātes stiprināšana, attīstot IT risinājumus, konkurences pārkāpumu efektīvākai izmeklēšanai”;</w:t>
      </w:r>
    </w:p>
    <w:p w14:paraId="0A90C85C" w14:textId="473C3450"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0,3 milj. </w:t>
      </w:r>
      <w:r w:rsidRPr="00307028">
        <w:rPr>
          <w:rFonts w:eastAsia="Calibri"/>
          <w:i/>
          <w:lang w:eastAsia="en-US"/>
        </w:rPr>
        <w:t>euro</w:t>
      </w:r>
      <w:r w:rsidRPr="00307028">
        <w:rPr>
          <w:rFonts w:eastAsia="Calibri"/>
          <w:lang w:eastAsia="en-US"/>
        </w:rPr>
        <w:t xml:space="preserve"> apmērā 2026. gadam </w:t>
      </w:r>
      <w:r w:rsidR="00224110" w:rsidRPr="00307028">
        <w:rPr>
          <w:rFonts w:eastAsia="Calibri"/>
          <w:lang w:eastAsia="en-US"/>
        </w:rPr>
        <w:t>PP</w:t>
      </w:r>
      <w:r w:rsidRPr="00307028">
        <w:rPr>
          <w:rFonts w:eastAsia="Calibri"/>
          <w:lang w:eastAsia="en-US"/>
        </w:rPr>
        <w:t xml:space="preserve"> “Konkurences padomes kapacitātes stiprināšana, nodrošinot efektīvāku konkurences regulējuma izpildi un iekšējā tirgus pienācīgas darbības uzraudzību” u.c.;</w:t>
      </w:r>
    </w:p>
    <w:p w14:paraId="6F633036" w14:textId="150EDEED" w:rsidR="00502EF8" w:rsidRPr="00307028" w:rsidRDefault="00502EF8" w:rsidP="00224110">
      <w:pPr>
        <w:spacing w:after="120" w:line="259" w:lineRule="auto"/>
        <w:ind w:firstLine="709"/>
        <w:jc w:val="both"/>
        <w:rPr>
          <w:rFonts w:eastAsia="Times New Roman"/>
          <w:lang w:eastAsia="en-US"/>
        </w:rPr>
      </w:pPr>
      <w:r w:rsidRPr="00307028">
        <w:rPr>
          <w:rFonts w:eastAsia="Times New Roman"/>
          <w:b/>
          <w:lang w:eastAsia="en-US"/>
        </w:rPr>
        <w:t>Finanšu ministrijai</w:t>
      </w:r>
      <w:r w:rsidRPr="00307028">
        <w:rPr>
          <w:rFonts w:eastAsia="Times New Roman"/>
          <w:lang w:eastAsia="en-US"/>
        </w:rPr>
        <w:t xml:space="preserve"> palielināti izdevumi 69,6 milj. </w:t>
      </w:r>
      <w:r w:rsidRPr="00307028">
        <w:rPr>
          <w:rFonts w:eastAsia="Times New Roman"/>
          <w:i/>
          <w:lang w:eastAsia="en-US"/>
        </w:rPr>
        <w:t xml:space="preserve">euro </w:t>
      </w:r>
      <w:r w:rsidRPr="00307028">
        <w:rPr>
          <w:rFonts w:eastAsia="Times New Roman"/>
          <w:lang w:eastAsia="en-US"/>
        </w:rPr>
        <w:t>apmērā 2024. gadam, 36,0</w:t>
      </w:r>
      <w:r w:rsidR="00B018C5"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 xml:space="preserve">euro </w:t>
      </w:r>
      <w:r w:rsidRPr="00307028">
        <w:rPr>
          <w:rFonts w:eastAsia="Times New Roman"/>
          <w:lang w:eastAsia="en-US"/>
        </w:rPr>
        <w:t xml:space="preserve">apmērā 2025. gadam un 66,0 milj. </w:t>
      </w:r>
      <w:r w:rsidRPr="00307028">
        <w:rPr>
          <w:rFonts w:eastAsia="Times New Roman"/>
          <w:i/>
          <w:lang w:eastAsia="en-US"/>
        </w:rPr>
        <w:t xml:space="preserve">euro </w:t>
      </w:r>
      <w:r w:rsidRPr="00307028">
        <w:rPr>
          <w:rFonts w:eastAsia="Times New Roman"/>
          <w:lang w:eastAsia="en-US"/>
        </w:rPr>
        <w:t>apmērā 2026. gadam, tajā skaitā:</w:t>
      </w:r>
    </w:p>
    <w:p w14:paraId="4B3D69B3" w14:textId="4999941B"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41,9 milj. </w:t>
      </w:r>
      <w:r w:rsidRPr="00307028">
        <w:rPr>
          <w:rFonts w:eastAsia="Calibri"/>
          <w:i/>
          <w:lang w:eastAsia="en-US"/>
        </w:rPr>
        <w:t xml:space="preserve">euro </w:t>
      </w:r>
      <w:r w:rsidRPr="00307028">
        <w:rPr>
          <w:rFonts w:eastAsia="Calibri"/>
          <w:lang w:eastAsia="en-US"/>
        </w:rPr>
        <w:t>apmērā 2024. gadam, samazināti izdevumi 1,6</w:t>
      </w:r>
      <w:r w:rsidR="00B018C5" w:rsidRPr="00307028">
        <w:rPr>
          <w:rFonts w:eastAsia="Calibri"/>
          <w:lang w:eastAsia="en-US"/>
        </w:rPr>
        <w:t> </w:t>
      </w:r>
      <w:r w:rsidRPr="00307028">
        <w:rPr>
          <w:rFonts w:eastAsia="Calibri"/>
          <w:lang w:eastAsia="en-US"/>
        </w:rPr>
        <w:t xml:space="preserve">milj. </w:t>
      </w:r>
      <w:r w:rsidRPr="00307028">
        <w:rPr>
          <w:rFonts w:eastAsia="Calibri"/>
          <w:i/>
          <w:lang w:eastAsia="en-US"/>
        </w:rPr>
        <w:t xml:space="preserve">euro </w:t>
      </w:r>
      <w:r w:rsidRPr="00307028">
        <w:rPr>
          <w:rFonts w:eastAsia="Calibri"/>
          <w:lang w:eastAsia="en-US"/>
        </w:rPr>
        <w:t xml:space="preserve">apmērā 2025. gadam un palielināti izdevumi 40,1 milj. </w:t>
      </w:r>
      <w:r w:rsidRPr="00307028">
        <w:rPr>
          <w:rFonts w:eastAsia="Calibri"/>
          <w:i/>
          <w:lang w:eastAsia="en-US"/>
        </w:rPr>
        <w:t xml:space="preserve">euro </w:t>
      </w:r>
      <w:r w:rsidRPr="00307028">
        <w:rPr>
          <w:rFonts w:eastAsia="Calibri"/>
          <w:lang w:eastAsia="en-US"/>
        </w:rPr>
        <w:t xml:space="preserve">apmērā 2026. gadam iemaksām </w:t>
      </w:r>
      <w:r w:rsidR="0055158C" w:rsidRPr="00307028">
        <w:rPr>
          <w:rFonts w:eastAsia="Calibri"/>
          <w:lang w:eastAsia="en-US"/>
        </w:rPr>
        <w:t>ES</w:t>
      </w:r>
      <w:r w:rsidRPr="00307028">
        <w:rPr>
          <w:rFonts w:eastAsia="Calibri"/>
          <w:lang w:eastAsia="en-US"/>
        </w:rPr>
        <w:t xml:space="preserve"> budžetā;</w:t>
      </w:r>
    </w:p>
    <w:p w14:paraId="0E0CC907"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26,0 milj. </w:t>
      </w:r>
      <w:r w:rsidRPr="00307028">
        <w:rPr>
          <w:rFonts w:eastAsia="Calibri"/>
          <w:i/>
          <w:lang w:eastAsia="en-US"/>
        </w:rPr>
        <w:t>euro</w:t>
      </w:r>
      <w:r w:rsidRPr="00307028">
        <w:rPr>
          <w:rFonts w:eastAsia="Calibri"/>
          <w:lang w:eastAsia="en-US"/>
        </w:rPr>
        <w:t xml:space="preserve"> apmērā 2024. gadam, 36,0 milj. </w:t>
      </w:r>
      <w:r w:rsidRPr="00307028">
        <w:rPr>
          <w:rFonts w:eastAsia="Calibri"/>
          <w:i/>
          <w:iCs/>
          <w:lang w:eastAsia="en-US"/>
        </w:rPr>
        <w:t>euro</w:t>
      </w:r>
      <w:r w:rsidRPr="00307028">
        <w:rPr>
          <w:rFonts w:eastAsia="Calibri"/>
          <w:lang w:eastAsia="en-US"/>
        </w:rPr>
        <w:t xml:space="preserve"> 2025. un 2026. gadam ik gadu procentu maksājumiem;</w:t>
      </w:r>
    </w:p>
    <w:p w14:paraId="1B88D295"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10,3 milj. </w:t>
      </w:r>
      <w:r w:rsidRPr="00307028">
        <w:rPr>
          <w:rFonts w:eastAsia="Calibri"/>
          <w:i/>
          <w:lang w:eastAsia="en-US"/>
        </w:rPr>
        <w:t>euro</w:t>
      </w:r>
      <w:r w:rsidRPr="00307028">
        <w:rPr>
          <w:rFonts w:eastAsia="Calibri"/>
          <w:lang w:eastAsia="en-US"/>
        </w:rPr>
        <w:t xml:space="preserve"> apmērā 2026. gadam</w:t>
      </w:r>
      <w:r w:rsidRPr="00307028">
        <w:rPr>
          <w:rFonts w:ascii="Calibri" w:eastAsia="Calibri" w:hAnsi="Calibri"/>
          <w:sz w:val="22"/>
          <w:szCs w:val="22"/>
          <w:lang w:eastAsia="en-US"/>
        </w:rPr>
        <w:t xml:space="preserve"> </w:t>
      </w:r>
      <w:r w:rsidRPr="00307028">
        <w:rPr>
          <w:rFonts w:eastAsia="Calibri"/>
          <w:lang w:eastAsia="en-US"/>
        </w:rPr>
        <w:t>projekta “Dotācija VAS “Valsts nekustamie īpašumi” nekustamā īpašuma Jēkaba ielā 11, Rīgā, sastāvā esošās būves pārbūves un restaurācijas darbiem” īstenošanai;</w:t>
      </w:r>
    </w:p>
    <w:p w14:paraId="6B036B14"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1,6 milj. </w:t>
      </w:r>
      <w:r w:rsidRPr="00307028">
        <w:rPr>
          <w:rFonts w:eastAsia="Calibri"/>
          <w:i/>
          <w:lang w:eastAsia="en-US"/>
        </w:rPr>
        <w:t xml:space="preserve">euro </w:t>
      </w:r>
      <w:r w:rsidRPr="00307028">
        <w:rPr>
          <w:rFonts w:eastAsia="Calibri"/>
          <w:lang w:eastAsia="en-US"/>
        </w:rPr>
        <w:t>apmērā 2024., 2025. un 2026. gadam ik gadu iemaksu veikšanai procentu likmes subsīdijai no atbalsta instrumenta Ukrainai;</w:t>
      </w:r>
    </w:p>
    <w:p w14:paraId="7D2FCD02" w14:textId="085793CC"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w:t>
      </w:r>
      <w:r w:rsidR="000C03D2">
        <w:rPr>
          <w:rFonts w:eastAsia="Calibri"/>
          <w:lang w:eastAsia="en-US"/>
        </w:rPr>
        <w:t> </w:t>
      </w:r>
      <w:r w:rsidRPr="00307028">
        <w:rPr>
          <w:rFonts w:eastAsia="Calibri"/>
          <w:lang w:eastAsia="en-US"/>
        </w:rPr>
        <w:t>pantā noteiktajam;</w:t>
      </w:r>
    </w:p>
    <w:p w14:paraId="2DD8B18D"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1,0 milj. </w:t>
      </w:r>
      <w:r w:rsidRPr="00307028">
        <w:rPr>
          <w:rFonts w:eastAsia="Calibri"/>
          <w:i/>
          <w:lang w:eastAsia="en-US"/>
        </w:rPr>
        <w:t xml:space="preserve">euro </w:t>
      </w:r>
      <w:r w:rsidRPr="00307028">
        <w:rPr>
          <w:rFonts w:eastAsia="Calibri"/>
          <w:lang w:eastAsia="en-US"/>
        </w:rPr>
        <w:t>apmērā 2026. gadam “Valsts nekustamie īpašumi” īstenoto būvniecības attīstības projektu pievienotās vērtības nodokļa nomaksai valsts budžetā;</w:t>
      </w:r>
    </w:p>
    <w:p w14:paraId="6D203062"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1,0 milj. </w:t>
      </w:r>
      <w:r w:rsidRPr="00307028">
        <w:rPr>
          <w:rFonts w:eastAsia="Calibri"/>
          <w:i/>
          <w:lang w:eastAsia="en-US"/>
        </w:rPr>
        <w:t xml:space="preserve">euro </w:t>
      </w:r>
      <w:r w:rsidRPr="00307028">
        <w:rPr>
          <w:rFonts w:eastAsia="Calibri"/>
          <w:lang w:eastAsia="en-US"/>
        </w:rPr>
        <w:t>apmērā 2026. gadam sankciju skrīninga rīka ieviešanai Valsts kasei un SAP migrācijai uz S/4 HANA versiju;</w:t>
      </w:r>
    </w:p>
    <w:p w14:paraId="06ED085B" w14:textId="17F4FC79"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1,2 milj. </w:t>
      </w:r>
      <w:r w:rsidRPr="00307028">
        <w:rPr>
          <w:rFonts w:eastAsia="Calibri"/>
          <w:i/>
          <w:iCs/>
          <w:lang w:eastAsia="en-US"/>
        </w:rPr>
        <w:t>euro</w:t>
      </w:r>
      <w:r w:rsidRPr="00307028">
        <w:rPr>
          <w:rFonts w:eastAsia="Calibri"/>
          <w:lang w:eastAsia="en-US"/>
        </w:rPr>
        <w:t xml:space="preserve"> apmērā 2026. gadam normatīvajos aktos noteikto prasību ieviešanai </w:t>
      </w:r>
      <w:r w:rsidR="0055158C" w:rsidRPr="00307028">
        <w:rPr>
          <w:rFonts w:eastAsia="Calibri"/>
          <w:lang w:eastAsia="en-US"/>
        </w:rPr>
        <w:t>VID</w:t>
      </w:r>
      <w:r w:rsidRPr="00307028">
        <w:rPr>
          <w:rFonts w:eastAsia="Calibri"/>
          <w:lang w:eastAsia="en-US"/>
        </w:rPr>
        <w:t xml:space="preserve"> informācijas sistēmās;</w:t>
      </w:r>
    </w:p>
    <w:p w14:paraId="4E663C23" w14:textId="5D44856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3,0 milj. </w:t>
      </w:r>
      <w:r w:rsidRPr="00307028">
        <w:rPr>
          <w:rFonts w:eastAsia="Calibri"/>
          <w:i/>
          <w:iCs/>
          <w:lang w:eastAsia="en-US"/>
        </w:rPr>
        <w:t>euro</w:t>
      </w:r>
      <w:r w:rsidRPr="00307028">
        <w:rPr>
          <w:rFonts w:eastAsia="Calibri"/>
          <w:lang w:eastAsia="en-US"/>
        </w:rPr>
        <w:t xml:space="preserve"> apmērā 2026.</w:t>
      </w:r>
      <w:r w:rsidR="0055158C" w:rsidRPr="00307028">
        <w:rPr>
          <w:rFonts w:eastAsia="Calibri"/>
          <w:lang w:eastAsia="en-US"/>
        </w:rPr>
        <w:t xml:space="preserve"> </w:t>
      </w:r>
      <w:r w:rsidRPr="00307028">
        <w:rPr>
          <w:rFonts w:eastAsia="Calibri"/>
          <w:lang w:eastAsia="en-US"/>
        </w:rPr>
        <w:t xml:space="preserve">gadam </w:t>
      </w:r>
      <w:r w:rsidR="0055158C" w:rsidRPr="00307028">
        <w:rPr>
          <w:rFonts w:eastAsia="Calibri"/>
          <w:lang w:eastAsia="en-US"/>
        </w:rPr>
        <w:t>PP</w:t>
      </w:r>
      <w:r w:rsidRPr="00307028">
        <w:rPr>
          <w:rFonts w:eastAsia="Calibri"/>
          <w:lang w:eastAsia="en-US"/>
        </w:rPr>
        <w:t xml:space="preserve"> “Jaunas infrastruktūras izveide kontroles dienestu funkciju īstenošanai Uriekstes ielā 42, Rīgā (Kundziņsala)”;</w:t>
      </w:r>
    </w:p>
    <w:p w14:paraId="431DE394"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4,0 milj. </w:t>
      </w:r>
      <w:r w:rsidRPr="00307028">
        <w:rPr>
          <w:rFonts w:eastAsia="Calibri"/>
          <w:i/>
          <w:iCs/>
          <w:lang w:eastAsia="en-US"/>
        </w:rPr>
        <w:t>euro</w:t>
      </w:r>
      <w:r w:rsidRPr="00307028">
        <w:rPr>
          <w:rFonts w:eastAsia="Calibri"/>
          <w:lang w:eastAsia="en-US"/>
        </w:rPr>
        <w:t xml:space="preserve"> apmērā 2026. gadam projektam “Dotācija ēkas Rīgā, Smilšu ielā 1 (liters Nr.005) rekonstrukcijai”;</w:t>
      </w:r>
    </w:p>
    <w:p w14:paraId="6CB08EF0"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4,6 milj. </w:t>
      </w:r>
      <w:r w:rsidRPr="00307028">
        <w:rPr>
          <w:rFonts w:eastAsia="Calibri"/>
          <w:i/>
          <w:iCs/>
          <w:lang w:eastAsia="en-US"/>
        </w:rPr>
        <w:t>euro</w:t>
      </w:r>
      <w:r w:rsidRPr="00307028">
        <w:rPr>
          <w:rFonts w:eastAsia="Calibri"/>
          <w:lang w:eastAsia="en-US"/>
        </w:rPr>
        <w:t xml:space="preserve"> apmērā 2026. gadam projekta “Dotācija VAS “Valsts nekustamie īpašumi” ēkas pārbūvei Kalpaka bulvārī 6, Rīgā Latvijas Republikas Prokuratūras vajadzībām” īstenošanai;</w:t>
      </w:r>
    </w:p>
    <w:p w14:paraId="4C6875C9" w14:textId="65A36A02"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samazināti izdevumi 7,0 milj. </w:t>
      </w:r>
      <w:r w:rsidRPr="00307028">
        <w:rPr>
          <w:rFonts w:eastAsia="Calibri"/>
          <w:i/>
          <w:lang w:eastAsia="en-US"/>
        </w:rPr>
        <w:t>euro</w:t>
      </w:r>
      <w:r w:rsidRPr="00307028">
        <w:rPr>
          <w:rFonts w:eastAsia="Calibri"/>
          <w:lang w:eastAsia="en-US"/>
        </w:rPr>
        <w:t xml:space="preserve"> apmērā 2026. gadam </w:t>
      </w:r>
      <w:r w:rsidR="0055158C" w:rsidRPr="00307028">
        <w:rPr>
          <w:rFonts w:eastAsia="Calibri"/>
          <w:lang w:eastAsia="en-US"/>
        </w:rPr>
        <w:t>PP</w:t>
      </w:r>
      <w:r w:rsidRPr="00307028">
        <w:rPr>
          <w:rFonts w:eastAsia="Calibri"/>
          <w:lang w:eastAsia="en-US"/>
        </w:rPr>
        <w:t xml:space="preserve"> “Valsts ieņēmumu dienesta Maksājumu administrēšanas informācijas sistēmas (MAIS) attīstība, tai skaitā normatīvo aktu izmaiņas” u.c.;</w:t>
      </w:r>
    </w:p>
    <w:p w14:paraId="5E7B8FBC" w14:textId="464ED494" w:rsidR="00502EF8" w:rsidRPr="00307028" w:rsidRDefault="00502EF8" w:rsidP="0055158C">
      <w:pPr>
        <w:spacing w:after="120" w:line="259" w:lineRule="auto"/>
        <w:ind w:firstLine="709"/>
        <w:jc w:val="both"/>
        <w:rPr>
          <w:rFonts w:eastAsia="Times New Roman"/>
          <w:lang w:eastAsia="en-US"/>
        </w:rPr>
      </w:pPr>
      <w:r w:rsidRPr="00307028">
        <w:rPr>
          <w:rFonts w:eastAsia="Times New Roman"/>
          <w:b/>
          <w:lang w:eastAsia="en-US"/>
        </w:rPr>
        <w:t xml:space="preserve">Iekšlietu ministrijai </w:t>
      </w:r>
      <w:r w:rsidRPr="00307028">
        <w:rPr>
          <w:rFonts w:eastAsia="Times New Roman"/>
          <w:lang w:eastAsia="en-US"/>
        </w:rPr>
        <w:t xml:space="preserve">palielināti izdevumi 47,8 milj. </w:t>
      </w:r>
      <w:r w:rsidRPr="00307028">
        <w:rPr>
          <w:rFonts w:eastAsia="Times New Roman"/>
          <w:i/>
          <w:lang w:eastAsia="en-US"/>
        </w:rPr>
        <w:t xml:space="preserve">euro </w:t>
      </w:r>
      <w:r w:rsidRPr="00307028">
        <w:rPr>
          <w:rFonts w:eastAsia="Times New Roman"/>
          <w:lang w:eastAsia="en-US"/>
        </w:rPr>
        <w:t>apmērā 2024. gadam, 0,3</w:t>
      </w:r>
      <w:r w:rsidR="00B018C5" w:rsidRPr="00307028">
        <w:rPr>
          <w:rFonts w:eastAsia="Times New Roman"/>
          <w:lang w:eastAsia="en-US"/>
        </w:rPr>
        <w:t> </w:t>
      </w:r>
      <w:r w:rsidRPr="00307028">
        <w:rPr>
          <w:rFonts w:eastAsia="Times New Roman"/>
          <w:lang w:eastAsia="en-US"/>
        </w:rPr>
        <w:t>milj.</w:t>
      </w:r>
      <w:r w:rsidR="00B018C5" w:rsidRPr="00307028">
        <w:rPr>
          <w:rFonts w:eastAsia="Times New Roman"/>
          <w:lang w:eastAsia="en-US"/>
        </w:rPr>
        <w:t> </w:t>
      </w:r>
      <w:r w:rsidRPr="00307028">
        <w:rPr>
          <w:rFonts w:eastAsia="Times New Roman"/>
          <w:i/>
          <w:lang w:eastAsia="en-US"/>
        </w:rPr>
        <w:t xml:space="preserve">euro </w:t>
      </w:r>
      <w:r w:rsidRPr="00307028">
        <w:rPr>
          <w:rFonts w:eastAsia="Times New Roman"/>
          <w:lang w:eastAsia="en-US"/>
        </w:rPr>
        <w:t xml:space="preserve">apmērā 2025. gadam un samazināti izdevumi 15,6 milj. </w:t>
      </w:r>
      <w:r w:rsidRPr="00307028">
        <w:rPr>
          <w:rFonts w:eastAsia="Times New Roman"/>
          <w:i/>
          <w:lang w:eastAsia="en-US"/>
        </w:rPr>
        <w:t xml:space="preserve">euro </w:t>
      </w:r>
      <w:r w:rsidRPr="00307028">
        <w:rPr>
          <w:rFonts w:eastAsia="Times New Roman"/>
          <w:lang w:eastAsia="en-US"/>
        </w:rPr>
        <w:t>apmērā 2026.</w:t>
      </w:r>
      <w:r w:rsidR="000C03D2">
        <w:rPr>
          <w:rFonts w:eastAsia="Times New Roman"/>
          <w:lang w:eastAsia="en-US"/>
        </w:rPr>
        <w:t> </w:t>
      </w:r>
      <w:r w:rsidRPr="00307028">
        <w:rPr>
          <w:rFonts w:eastAsia="Times New Roman"/>
          <w:lang w:eastAsia="en-US"/>
        </w:rPr>
        <w:t>gadam, tajā skaitā:</w:t>
      </w:r>
    </w:p>
    <w:p w14:paraId="454618D5"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46,8 milj. </w:t>
      </w:r>
      <w:r w:rsidRPr="00307028">
        <w:rPr>
          <w:rFonts w:eastAsia="Calibri"/>
          <w:i/>
          <w:lang w:eastAsia="en-US"/>
        </w:rPr>
        <w:t>euro</w:t>
      </w:r>
      <w:r w:rsidRPr="00307028">
        <w:rPr>
          <w:rFonts w:eastAsia="Calibri"/>
          <w:lang w:eastAsia="en-US"/>
        </w:rPr>
        <w:t xml:space="preserve"> apmērā 2024. gadam, lai nodrošinātu ar valsts drošību saistītā ilgtermiņa saistību pasākuma “Speciālo ugunsdzēsības un glābšanas transportlīdzekļu iegāde” ietvaros iegādāto 152 ugunsdzēsības autocisternu finansējuma gala norēķinu; </w:t>
      </w:r>
    </w:p>
    <w:p w14:paraId="2D336EAF" w14:textId="3E0AB711"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0,4 milj. </w:t>
      </w:r>
      <w:r w:rsidRPr="00307028">
        <w:rPr>
          <w:rFonts w:eastAsia="Calibri"/>
          <w:i/>
          <w:iCs/>
          <w:lang w:eastAsia="en-US"/>
        </w:rPr>
        <w:t>euro</w:t>
      </w:r>
      <w:r w:rsidRPr="00307028">
        <w:rPr>
          <w:rFonts w:eastAsia="Calibri"/>
          <w:lang w:eastAsia="en-US"/>
        </w:rPr>
        <w:t xml:space="preserve"> apmērā 2024.</w:t>
      </w:r>
      <w:r w:rsidR="000C03D2">
        <w:rPr>
          <w:rFonts w:eastAsia="Calibri"/>
          <w:lang w:eastAsia="en-US"/>
        </w:rPr>
        <w:t> </w:t>
      </w:r>
      <w:r w:rsidRPr="00307028">
        <w:rPr>
          <w:rFonts w:eastAsia="Calibri"/>
          <w:lang w:eastAsia="en-US"/>
        </w:rPr>
        <w:t>gadam</w:t>
      </w:r>
      <w:r w:rsidRPr="00307028">
        <w:rPr>
          <w:rFonts w:ascii="Calibri" w:eastAsia="Calibri" w:hAnsi="Calibri"/>
          <w:sz w:val="22"/>
          <w:szCs w:val="22"/>
          <w:lang w:eastAsia="en-US"/>
        </w:rPr>
        <w:t xml:space="preserve"> </w:t>
      </w:r>
      <w:r w:rsidRPr="00307028">
        <w:rPr>
          <w:rFonts w:eastAsia="Calibri"/>
          <w:lang w:eastAsia="en-US"/>
        </w:rPr>
        <w:t>Civilās aizsardzības operacionālā vadības centra izveidei;</w:t>
      </w:r>
    </w:p>
    <w:p w14:paraId="2929F81B"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 milj. </w:t>
      </w:r>
      <w:r w:rsidRPr="00307028">
        <w:rPr>
          <w:rFonts w:eastAsia="Calibri"/>
          <w:i/>
          <w:iCs/>
          <w:lang w:eastAsia="en-US"/>
        </w:rPr>
        <w:t>euro</w:t>
      </w:r>
      <w:r w:rsidRPr="00307028">
        <w:rPr>
          <w:rFonts w:eastAsia="Calibri"/>
          <w:lang w:eastAsia="en-US"/>
        </w:rPr>
        <w:t xml:space="preserve"> apmērā 2024., 2025. un 2026. gadam ik gadu</w:t>
      </w:r>
      <w:r w:rsidRPr="00307028">
        <w:rPr>
          <w:rFonts w:ascii="Calibri" w:eastAsia="Calibri" w:hAnsi="Calibri"/>
          <w:sz w:val="22"/>
          <w:szCs w:val="22"/>
          <w:lang w:eastAsia="en-US"/>
        </w:rPr>
        <w:t xml:space="preserve"> </w:t>
      </w:r>
      <w:r w:rsidRPr="00307028">
        <w:rPr>
          <w:rFonts w:eastAsia="Calibri"/>
          <w:lang w:eastAsia="en-US"/>
        </w:rPr>
        <w:t>pedagogu zemākās darba samaksas likmes pieaugumam;</w:t>
      </w:r>
    </w:p>
    <w:p w14:paraId="4A1FF70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0,1 milj. </w:t>
      </w:r>
      <w:r w:rsidRPr="00307028">
        <w:rPr>
          <w:rFonts w:eastAsia="Calibri"/>
          <w:i/>
          <w:iCs/>
          <w:lang w:eastAsia="en-US"/>
        </w:rPr>
        <w:t>euro</w:t>
      </w:r>
      <w:r w:rsidRPr="00307028">
        <w:rPr>
          <w:rFonts w:eastAsia="Calibri"/>
          <w:lang w:eastAsia="en-US"/>
        </w:rPr>
        <w:t xml:space="preserve"> apmērā 2024. gadam un samazināti izdevumi 0,1 milj. </w:t>
      </w:r>
      <w:r w:rsidRPr="00307028">
        <w:rPr>
          <w:rFonts w:eastAsia="Calibri"/>
          <w:i/>
          <w:iCs/>
          <w:lang w:eastAsia="en-US"/>
        </w:rPr>
        <w:t>euro</w:t>
      </w:r>
      <w:r w:rsidRPr="00307028">
        <w:rPr>
          <w:rFonts w:eastAsia="Calibri"/>
          <w:lang w:eastAsia="en-US"/>
        </w:rPr>
        <w:t xml:space="preserve"> apmērā 2025. gadam Eiropas Parlamenta vēlēšanu nodrošināšanai;</w:t>
      </w:r>
    </w:p>
    <w:p w14:paraId="4755A65B"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3BDBDBD5" w14:textId="47D6AE36"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0,4 milj. </w:t>
      </w:r>
      <w:r w:rsidRPr="00307028">
        <w:rPr>
          <w:rFonts w:eastAsia="Calibri"/>
          <w:i/>
          <w:iCs/>
          <w:lang w:eastAsia="en-US"/>
        </w:rPr>
        <w:t>euro</w:t>
      </w:r>
      <w:r w:rsidRPr="00307028">
        <w:rPr>
          <w:rFonts w:eastAsia="Calibri"/>
          <w:lang w:eastAsia="en-US"/>
        </w:rPr>
        <w:t xml:space="preserve"> apmērā 2026. gadam pabalsta pēc katriem pieciem nepārtrauktas izdienas gadiem izmaksas nodrošināšanai </w:t>
      </w:r>
      <w:r w:rsidR="0055158C" w:rsidRPr="00307028">
        <w:rPr>
          <w:rFonts w:eastAsia="Calibri"/>
          <w:lang w:eastAsia="en-US"/>
        </w:rPr>
        <w:t>IeM</w:t>
      </w:r>
      <w:r w:rsidRPr="00307028">
        <w:rPr>
          <w:rFonts w:eastAsia="Calibri"/>
          <w:lang w:eastAsia="en-US"/>
        </w:rPr>
        <w:t xml:space="preserve"> amatpersonām ar speciālajām dienesta pakāpēm atbilstoši Valsts un pašvaldību institūciju amatpersonu un darbinieku atlīdzības likuma 25. panta ceturtajā daļā noteiktajam;</w:t>
      </w:r>
    </w:p>
    <w:p w14:paraId="7C8D4DFF"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8,6 milj. </w:t>
      </w:r>
      <w:r w:rsidRPr="00307028">
        <w:rPr>
          <w:rFonts w:eastAsia="Calibri"/>
          <w:i/>
          <w:lang w:eastAsia="en-US"/>
        </w:rPr>
        <w:t>euro</w:t>
      </w:r>
      <w:r w:rsidRPr="00307028">
        <w:rPr>
          <w:rFonts w:eastAsia="Calibri"/>
          <w:lang w:eastAsia="en-US"/>
        </w:rPr>
        <w:t xml:space="preserve"> apmērā 2026. gadam vienreizējām investīcijām valsts aizsardzības spēju attīstības un iekšējās drošības stiprināšanas pasākumu īstenošanai;</w:t>
      </w:r>
    </w:p>
    <w:p w14:paraId="53F624C0" w14:textId="3D4D074B"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1,6 milj. </w:t>
      </w:r>
      <w:r w:rsidRPr="00307028">
        <w:rPr>
          <w:rFonts w:eastAsia="Calibri"/>
          <w:i/>
          <w:iCs/>
          <w:lang w:eastAsia="en-US"/>
        </w:rPr>
        <w:t>euro</w:t>
      </w:r>
      <w:r w:rsidRPr="00307028">
        <w:rPr>
          <w:rFonts w:eastAsia="Calibri"/>
          <w:lang w:eastAsia="en-US"/>
        </w:rPr>
        <w:t xml:space="preserve"> apmērā 2026. gadam</w:t>
      </w:r>
      <w:r w:rsidRPr="00307028">
        <w:rPr>
          <w:rFonts w:ascii="Calibri" w:eastAsia="Calibri" w:hAnsi="Calibri"/>
          <w:sz w:val="22"/>
          <w:szCs w:val="22"/>
          <w:lang w:eastAsia="en-US"/>
        </w:rPr>
        <w:t xml:space="preserve"> </w:t>
      </w:r>
      <w:r w:rsidRPr="00307028">
        <w:rPr>
          <w:rFonts w:eastAsia="Calibri"/>
          <w:lang w:eastAsia="en-US"/>
        </w:rPr>
        <w:t>2023.</w:t>
      </w:r>
      <w:r w:rsidR="0055158C" w:rsidRPr="00307028">
        <w:rPr>
          <w:rFonts w:eastAsia="Calibri"/>
          <w:lang w:eastAsia="en-US"/>
        </w:rPr>
        <w:t xml:space="preserve"> </w:t>
      </w:r>
      <w:r w:rsidR="0055158C" w:rsidRPr="00307028">
        <w:rPr>
          <w:rFonts w:eastAsia="Times New Roman"/>
          <w:b/>
          <w:bCs/>
          <w:lang w:eastAsia="en-US"/>
        </w:rPr>
        <w:t xml:space="preserve">– </w:t>
      </w:r>
      <w:r w:rsidRPr="00307028">
        <w:rPr>
          <w:rFonts w:eastAsia="Calibri"/>
          <w:lang w:eastAsia="en-US"/>
        </w:rPr>
        <w:t xml:space="preserve">2025. gada </w:t>
      </w:r>
      <w:r w:rsidR="0055158C" w:rsidRPr="00307028">
        <w:rPr>
          <w:rFonts w:eastAsia="Calibri"/>
          <w:lang w:eastAsia="en-US"/>
        </w:rPr>
        <w:t>PP</w:t>
      </w:r>
      <w:r w:rsidRPr="00307028">
        <w:rPr>
          <w:rFonts w:eastAsia="Calibri"/>
          <w:lang w:eastAsia="en-US"/>
        </w:rPr>
        <w:t xml:space="preserve"> “Eiropas Savienības pastāvīgā iedzīvotāja statusa piešķiršana Krievijas Federācijas pilsoņiem, kuri apliecinājuši valsts valodas prasmes” īstenošanai;</w:t>
      </w:r>
    </w:p>
    <w:p w14:paraId="24ECAFFF" w14:textId="3E471B1B"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1,2 milj. </w:t>
      </w:r>
      <w:r w:rsidRPr="00307028">
        <w:rPr>
          <w:rFonts w:eastAsia="Calibri"/>
          <w:i/>
          <w:iCs/>
          <w:lang w:eastAsia="en-US"/>
        </w:rPr>
        <w:t>euro</w:t>
      </w:r>
      <w:r w:rsidRPr="00307028">
        <w:rPr>
          <w:rFonts w:eastAsia="Calibri"/>
          <w:lang w:eastAsia="en-US"/>
        </w:rPr>
        <w:t xml:space="preserve"> apmērā 2026. gadam valsts robežas prioritāri ierīkojamo posmu 63,93 km garumā (2. kārta) izbūvei uz valsts sauszemes robežas gar </w:t>
      </w:r>
      <w:r w:rsidR="00497067" w:rsidRPr="00307028">
        <w:rPr>
          <w:rFonts w:eastAsia="Calibri"/>
          <w:lang w:eastAsia="en-US"/>
        </w:rPr>
        <w:t xml:space="preserve">LR </w:t>
      </w:r>
      <w:r w:rsidRPr="00307028">
        <w:rPr>
          <w:rFonts w:eastAsia="Calibri"/>
          <w:lang w:eastAsia="en-US"/>
        </w:rPr>
        <w:t>un Baltkrievijas Republikas valsts robežu;</w:t>
      </w:r>
    </w:p>
    <w:p w14:paraId="27287FBD"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0,1 milj. </w:t>
      </w:r>
      <w:r w:rsidRPr="00307028">
        <w:rPr>
          <w:rFonts w:eastAsia="Calibri"/>
          <w:i/>
          <w:lang w:eastAsia="en-US"/>
        </w:rPr>
        <w:t>euro</w:t>
      </w:r>
      <w:r w:rsidRPr="00307028">
        <w:rPr>
          <w:rFonts w:eastAsia="Calibri"/>
          <w:lang w:eastAsia="en-US"/>
        </w:rPr>
        <w:t xml:space="preserve"> apmērā 2026. gadam</w:t>
      </w:r>
      <w:r w:rsidRPr="00307028">
        <w:rPr>
          <w:rFonts w:ascii="Calibri" w:eastAsia="Calibri" w:hAnsi="Calibri"/>
          <w:sz w:val="22"/>
          <w:szCs w:val="22"/>
          <w:lang w:eastAsia="en-US"/>
        </w:rPr>
        <w:t xml:space="preserve"> </w:t>
      </w:r>
      <w:r w:rsidRPr="00307028">
        <w:rPr>
          <w:rFonts w:eastAsia="Calibri"/>
          <w:lang w:eastAsia="en-US"/>
        </w:rPr>
        <w:t>ilgtermiņa saistību pasākuma “Eiropas Savienības prasībām atbilstošu pasu, elektronisko identifikācijas karšu un uzturēšanās atļauju izsniegšana” īstenošanai u.c.;</w:t>
      </w:r>
    </w:p>
    <w:p w14:paraId="57B92EAE" w14:textId="7D9E30F8" w:rsidR="00502EF8" w:rsidRPr="00307028" w:rsidRDefault="00502EF8" w:rsidP="0055158C">
      <w:pPr>
        <w:spacing w:after="120" w:line="259" w:lineRule="auto"/>
        <w:ind w:firstLine="709"/>
        <w:jc w:val="both"/>
        <w:rPr>
          <w:rFonts w:eastAsia="Times New Roman"/>
          <w:lang w:eastAsia="en-US"/>
        </w:rPr>
      </w:pPr>
      <w:r w:rsidRPr="00307028">
        <w:rPr>
          <w:rFonts w:eastAsia="Times New Roman"/>
          <w:b/>
          <w:lang w:eastAsia="en-US"/>
        </w:rPr>
        <w:t xml:space="preserve">Izglītības un zinātnes ministrijai </w:t>
      </w:r>
      <w:r w:rsidRPr="00307028">
        <w:rPr>
          <w:rFonts w:eastAsia="Times New Roman"/>
          <w:lang w:eastAsia="en-US"/>
        </w:rPr>
        <w:t xml:space="preserve">palielināti izdevumi 15,9 milj. </w:t>
      </w:r>
      <w:r w:rsidRPr="00307028">
        <w:rPr>
          <w:rFonts w:eastAsia="Times New Roman"/>
          <w:i/>
          <w:lang w:eastAsia="en-US"/>
        </w:rPr>
        <w:t xml:space="preserve">euro </w:t>
      </w:r>
      <w:r w:rsidRPr="00307028">
        <w:rPr>
          <w:rFonts w:eastAsia="Times New Roman"/>
          <w:lang w:eastAsia="en-US"/>
        </w:rPr>
        <w:t>apmērā 2024.</w:t>
      </w:r>
      <w:r w:rsidR="00B018C5" w:rsidRPr="00307028">
        <w:rPr>
          <w:rFonts w:eastAsia="Times New Roman"/>
          <w:lang w:eastAsia="en-US"/>
        </w:rPr>
        <w:t> </w:t>
      </w:r>
      <w:r w:rsidRPr="00307028">
        <w:rPr>
          <w:rFonts w:eastAsia="Times New Roman"/>
          <w:lang w:eastAsia="en-US"/>
        </w:rPr>
        <w:t xml:space="preserve">gadam, 14,7 milj. </w:t>
      </w:r>
      <w:r w:rsidRPr="00307028">
        <w:rPr>
          <w:rFonts w:eastAsia="Times New Roman"/>
          <w:i/>
          <w:lang w:eastAsia="en-US"/>
        </w:rPr>
        <w:t xml:space="preserve">euro </w:t>
      </w:r>
      <w:r w:rsidRPr="00307028">
        <w:rPr>
          <w:rFonts w:eastAsia="Times New Roman"/>
          <w:lang w:eastAsia="en-US"/>
        </w:rPr>
        <w:t xml:space="preserve">apmērā 2025. gadam un 14,4 milj. </w:t>
      </w:r>
      <w:r w:rsidRPr="00307028">
        <w:rPr>
          <w:rFonts w:eastAsia="Times New Roman"/>
          <w:i/>
          <w:lang w:eastAsia="en-US"/>
        </w:rPr>
        <w:t xml:space="preserve">euro </w:t>
      </w:r>
      <w:r w:rsidRPr="00307028">
        <w:rPr>
          <w:rFonts w:eastAsia="Times New Roman"/>
          <w:lang w:eastAsia="en-US"/>
        </w:rPr>
        <w:t>apmērā 2026. gadam, tajā skaitā:</w:t>
      </w:r>
    </w:p>
    <w:p w14:paraId="7640ABD0"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15,0 milj. </w:t>
      </w:r>
      <w:r w:rsidRPr="00307028">
        <w:rPr>
          <w:rFonts w:eastAsia="Calibri"/>
          <w:i/>
          <w:lang w:eastAsia="en-US"/>
        </w:rPr>
        <w:t>euro</w:t>
      </w:r>
      <w:r w:rsidRPr="00307028">
        <w:rPr>
          <w:rFonts w:eastAsia="Calibri"/>
          <w:lang w:eastAsia="en-US"/>
        </w:rPr>
        <w:t xml:space="preserve"> apmērā 2024., 2025. un 2026. gadam ik gadu pedagogu zemākās darba samaksas likmes pieaugumam;</w:t>
      </w:r>
    </w:p>
    <w:p w14:paraId="2A0C4C44"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0,8 milj. </w:t>
      </w:r>
      <w:r w:rsidRPr="00307028">
        <w:rPr>
          <w:rFonts w:eastAsia="Calibri"/>
          <w:i/>
          <w:lang w:eastAsia="en-US"/>
        </w:rPr>
        <w:t>euro</w:t>
      </w:r>
      <w:r w:rsidRPr="00307028">
        <w:rPr>
          <w:rFonts w:eastAsia="Calibri"/>
          <w:lang w:eastAsia="en-US"/>
        </w:rPr>
        <w:t xml:space="preserve"> apmērā 2024. gadam valsts un starptautisko finanšu institūciju garantētiem studiju un studējošo kredītiem saistībā ar EURIBOR likmes palielināšanos;</w:t>
      </w:r>
    </w:p>
    <w:p w14:paraId="34D6905D"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palielināti izdevumi 0,1 milj. </w:t>
      </w:r>
      <w:r w:rsidRPr="00307028">
        <w:rPr>
          <w:rFonts w:eastAsia="Calibri"/>
          <w:i/>
          <w:iCs/>
          <w:lang w:eastAsia="en-US"/>
        </w:rPr>
        <w:t>euro</w:t>
      </w:r>
      <w:r w:rsidRPr="00307028">
        <w:rPr>
          <w:rFonts w:eastAsia="Calibri"/>
          <w:lang w:eastAsia="en-US"/>
        </w:rPr>
        <w:t xml:space="preserve"> apmērā 2024., 2025. un 2026. gadam ik gadu, lai nodrošinātu finansējumu asistenta pakalpojumam personai ar invaliditāti pārvietošanas atbalstam un pašaprūpes veikšanai;</w:t>
      </w:r>
    </w:p>
    <w:p w14:paraId="266D1A73"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429C7F60" w14:textId="3DF5EA44"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0,4 milj. </w:t>
      </w:r>
      <w:r w:rsidRPr="00307028">
        <w:rPr>
          <w:rFonts w:eastAsia="Calibri"/>
          <w:i/>
          <w:iCs/>
          <w:lang w:eastAsia="en-US"/>
        </w:rPr>
        <w:t>euro</w:t>
      </w:r>
      <w:r w:rsidRPr="00307028">
        <w:rPr>
          <w:rFonts w:eastAsia="Calibri"/>
          <w:lang w:eastAsia="en-US"/>
        </w:rPr>
        <w:t xml:space="preserve"> apmērā 2026. gadam </w:t>
      </w:r>
      <w:r w:rsidR="0055158C" w:rsidRPr="00307028">
        <w:rPr>
          <w:rFonts w:eastAsia="Calibri"/>
          <w:lang w:eastAsia="en-US"/>
        </w:rPr>
        <w:t>PP</w:t>
      </w:r>
      <w:r w:rsidRPr="00307028">
        <w:rPr>
          <w:rFonts w:eastAsia="Calibri"/>
          <w:lang w:eastAsia="en-US"/>
        </w:rPr>
        <w:t xml:space="preserve"> “Pāreja uz obligāto izglītību tikai latviešu valodā”;</w:t>
      </w:r>
    </w:p>
    <w:p w14:paraId="08CF584D" w14:textId="1E5A9C1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samazināts finansējums 0,5 milj. </w:t>
      </w:r>
      <w:r w:rsidRPr="00307028">
        <w:rPr>
          <w:rFonts w:eastAsia="Calibri"/>
          <w:i/>
          <w:lang w:eastAsia="en-US"/>
        </w:rPr>
        <w:t>euro</w:t>
      </w:r>
      <w:r w:rsidRPr="00307028">
        <w:rPr>
          <w:rFonts w:eastAsia="Calibri"/>
          <w:lang w:eastAsia="en-US"/>
        </w:rPr>
        <w:t xml:space="preserve"> apmērā 2024., 2025. un 2026. gadam ik gadu, pārdalot finansējumu </w:t>
      </w:r>
      <w:r w:rsidR="0055158C" w:rsidRPr="00307028">
        <w:rPr>
          <w:rFonts w:eastAsia="Calibri"/>
          <w:lang w:eastAsia="en-US"/>
        </w:rPr>
        <w:t>VM</w:t>
      </w:r>
      <w:r w:rsidRPr="00307028">
        <w:rPr>
          <w:rFonts w:eastAsia="Calibri"/>
          <w:lang w:eastAsia="en-US"/>
        </w:rPr>
        <w:t xml:space="preserve">, lai nodrošinātu 87 studiju vietas programmā “Māszinības” </w:t>
      </w:r>
      <w:r w:rsidR="00497067" w:rsidRPr="00307028">
        <w:rPr>
          <w:rFonts w:eastAsia="Calibri"/>
          <w:lang w:eastAsia="en-US"/>
        </w:rPr>
        <w:t xml:space="preserve">RSU </w:t>
      </w:r>
      <w:r w:rsidRPr="00307028">
        <w:rPr>
          <w:rFonts w:eastAsia="Calibri"/>
          <w:lang w:eastAsia="en-US"/>
        </w:rPr>
        <w:t>u.c.;</w:t>
      </w:r>
    </w:p>
    <w:p w14:paraId="157B2DF5" w14:textId="28E66AB8" w:rsidR="00502EF8" w:rsidRPr="00307028" w:rsidRDefault="00502EF8" w:rsidP="0055158C">
      <w:pPr>
        <w:spacing w:after="120" w:line="259" w:lineRule="auto"/>
        <w:ind w:firstLine="709"/>
        <w:jc w:val="both"/>
        <w:rPr>
          <w:rFonts w:eastAsia="Times New Roman"/>
          <w:lang w:eastAsia="en-US"/>
        </w:rPr>
      </w:pPr>
      <w:r w:rsidRPr="00307028">
        <w:rPr>
          <w:rFonts w:eastAsia="Times New Roman"/>
          <w:b/>
          <w:lang w:eastAsia="en-US"/>
        </w:rPr>
        <w:t xml:space="preserve">Zemkopības ministrijai </w:t>
      </w:r>
      <w:r w:rsidRPr="00307028">
        <w:rPr>
          <w:rFonts w:eastAsia="Times New Roman"/>
          <w:lang w:eastAsia="en-US"/>
        </w:rPr>
        <w:t xml:space="preserve">palielināti izdevumi 1,3 milj. </w:t>
      </w:r>
      <w:r w:rsidRPr="00307028">
        <w:rPr>
          <w:rFonts w:eastAsia="Times New Roman"/>
          <w:i/>
          <w:lang w:eastAsia="en-US"/>
        </w:rPr>
        <w:t>euro</w:t>
      </w:r>
      <w:r w:rsidRPr="00307028">
        <w:rPr>
          <w:rFonts w:eastAsia="Times New Roman"/>
          <w:lang w:eastAsia="en-US"/>
        </w:rPr>
        <w:t xml:space="preserve"> apmērā 2024. gadam, 1,1</w:t>
      </w:r>
      <w:r w:rsidR="00B018C5"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euro</w:t>
      </w:r>
      <w:r w:rsidRPr="00307028">
        <w:rPr>
          <w:rFonts w:eastAsia="Times New Roman"/>
          <w:lang w:eastAsia="en-US"/>
        </w:rPr>
        <w:t xml:space="preserve"> apmērā 2025. gadam un 0,6 milj. </w:t>
      </w:r>
      <w:r w:rsidRPr="00307028">
        <w:rPr>
          <w:rFonts w:eastAsia="Times New Roman"/>
          <w:i/>
          <w:lang w:eastAsia="en-US"/>
        </w:rPr>
        <w:t>euro</w:t>
      </w:r>
      <w:r w:rsidRPr="00307028">
        <w:rPr>
          <w:rFonts w:eastAsia="Times New Roman"/>
          <w:lang w:eastAsia="en-US"/>
        </w:rPr>
        <w:t xml:space="preserve"> apmērā 2026. gadam, tajā skaitā:</w:t>
      </w:r>
    </w:p>
    <w:p w14:paraId="319EDB62" w14:textId="603D59B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lang w:eastAsia="en-US"/>
        </w:rPr>
        <w:t>euro</w:t>
      </w:r>
      <w:r w:rsidRPr="00307028">
        <w:rPr>
          <w:rFonts w:eastAsia="Calibri"/>
          <w:lang w:eastAsia="en-US"/>
        </w:rPr>
        <w:t xml:space="preserve"> apmērā 2024. un 2025. gadam ik gadu, veicot izmaiņas </w:t>
      </w:r>
      <w:r w:rsidR="00497067" w:rsidRPr="00307028">
        <w:rPr>
          <w:rFonts w:eastAsia="Calibri"/>
          <w:lang w:eastAsia="en-US"/>
        </w:rPr>
        <w:t>PVD</w:t>
      </w:r>
      <w:r w:rsidRPr="00307028">
        <w:rPr>
          <w:rFonts w:eastAsia="Calibri"/>
          <w:lang w:eastAsia="en-US"/>
        </w:rPr>
        <w:t xml:space="preserve"> maksas pakalpojumu un citu pašu ieņēmumu atlikumos; </w:t>
      </w:r>
    </w:p>
    <w:p w14:paraId="36530E1A" w14:textId="0CEFD37D"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0,2 milj. </w:t>
      </w:r>
      <w:r w:rsidRPr="00307028">
        <w:rPr>
          <w:rFonts w:eastAsia="Calibri"/>
          <w:i/>
          <w:iCs/>
          <w:lang w:eastAsia="en-US"/>
        </w:rPr>
        <w:t>euro</w:t>
      </w:r>
      <w:r w:rsidRPr="00307028">
        <w:rPr>
          <w:rFonts w:eastAsia="Calibri"/>
          <w:lang w:eastAsia="en-US"/>
        </w:rPr>
        <w:t xml:space="preserve"> apmērā 2024., 2025. un 2026. gadam ik gadu, palielinot ieņēmumus no maksas pakalpojumiem un citiem pašu ieņēmumiem, jo veicot izmaiņas </w:t>
      </w:r>
      <w:r w:rsidR="00497067" w:rsidRPr="00307028">
        <w:rPr>
          <w:rFonts w:eastAsia="Calibri"/>
          <w:lang w:eastAsia="en-US"/>
        </w:rPr>
        <w:t>LDC</w:t>
      </w:r>
      <w:r w:rsidRPr="00307028">
        <w:rPr>
          <w:rFonts w:eastAsia="Calibri"/>
          <w:lang w:eastAsia="en-US"/>
        </w:rPr>
        <w:t xml:space="preserve"> maksas pakalpojumos palielināsies pašu ieņēmumi no maksas pakalpojumu sniegšanas;</w:t>
      </w:r>
    </w:p>
    <w:p w14:paraId="2B50CA92" w14:textId="2C8F5611"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0,2 milj. </w:t>
      </w:r>
      <w:r w:rsidRPr="00307028">
        <w:rPr>
          <w:rFonts w:eastAsia="Calibri"/>
          <w:i/>
          <w:lang w:eastAsia="en-US"/>
        </w:rPr>
        <w:t>euro</w:t>
      </w:r>
      <w:r w:rsidRPr="00307028">
        <w:rPr>
          <w:rFonts w:eastAsia="Calibri"/>
          <w:lang w:eastAsia="en-US"/>
        </w:rPr>
        <w:t xml:space="preserve"> apmērā 2024. gadam, veicot izmaiņas </w:t>
      </w:r>
      <w:r w:rsidR="00497067" w:rsidRPr="00307028">
        <w:rPr>
          <w:rFonts w:eastAsia="Calibri"/>
          <w:lang w:eastAsia="en-US"/>
        </w:rPr>
        <w:t>LDC</w:t>
      </w:r>
      <w:r w:rsidRPr="00307028">
        <w:rPr>
          <w:rFonts w:eastAsia="Calibri"/>
          <w:lang w:eastAsia="en-US"/>
        </w:rPr>
        <w:t xml:space="preserve"> maksas pakalpojumu un citu pašu ieņēmumu atlikumos;</w:t>
      </w:r>
    </w:p>
    <w:p w14:paraId="557815AF" w14:textId="6B68AD26"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0,2 milj. </w:t>
      </w:r>
      <w:r w:rsidRPr="00307028">
        <w:rPr>
          <w:rFonts w:eastAsia="Calibri"/>
          <w:i/>
          <w:lang w:eastAsia="en-US"/>
        </w:rPr>
        <w:t>euro</w:t>
      </w:r>
      <w:r w:rsidRPr="00307028">
        <w:rPr>
          <w:rFonts w:eastAsia="Calibri"/>
          <w:lang w:eastAsia="en-US"/>
        </w:rPr>
        <w:t xml:space="preserve"> apmērā 2024., 2025. un 2026. gadam ik gadu, palielinot ieņēmumus no maksas pakalpojumiem un citiem pašu ieņēmumiem, jo </w:t>
      </w:r>
      <w:r w:rsidR="00497067" w:rsidRPr="00307028">
        <w:rPr>
          <w:rFonts w:eastAsia="Calibri"/>
          <w:lang w:eastAsia="en-US"/>
        </w:rPr>
        <w:t>VAAD</w:t>
      </w:r>
      <w:r w:rsidRPr="00307028">
        <w:rPr>
          <w:rFonts w:eastAsia="Calibri"/>
          <w:lang w:eastAsia="en-US"/>
        </w:rPr>
        <w:t xml:space="preserve"> plānoti  lielāki ieņēmumi no sniegtajiem maksas pakalpojumiem par fitosanitārajām pārbaudēm augu un augu produktu kravām</w:t>
      </w:r>
      <w:r w:rsidRPr="00307028">
        <w:rPr>
          <w:rFonts w:ascii="Calibri" w:eastAsia="Calibri" w:hAnsi="Calibri"/>
          <w:sz w:val="22"/>
          <w:lang w:eastAsia="en-US"/>
        </w:rPr>
        <w:t>;</w:t>
      </w:r>
    </w:p>
    <w:p w14:paraId="7AE4C1D2"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izdevumu 0,2 milj. </w:t>
      </w:r>
      <w:r w:rsidRPr="00307028">
        <w:rPr>
          <w:rFonts w:eastAsia="Calibri"/>
          <w:i/>
          <w:iCs/>
          <w:lang w:eastAsia="en-US"/>
        </w:rPr>
        <w:t>euro</w:t>
      </w:r>
      <w:r w:rsidRPr="00307028">
        <w:rPr>
          <w:rFonts w:eastAsia="Calibri"/>
          <w:lang w:eastAsia="en-US"/>
        </w:rPr>
        <w:t xml:space="preserve"> apmērā 2024., 2025. un 2026. gadam ik gadu ūdensnoteku uzturēšanas kapitālajiem ieguldījumiem;</w:t>
      </w:r>
    </w:p>
    <w:p w14:paraId="34ECA108"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w:t>
      </w:r>
      <w:r w:rsidRPr="00307028">
        <w:rPr>
          <w:rFonts w:ascii="Calibri" w:eastAsia="Calibri" w:hAnsi="Calibri"/>
          <w:sz w:val="22"/>
          <w:szCs w:val="22"/>
          <w:lang w:eastAsia="en-US"/>
        </w:rPr>
        <w:t xml:space="preserve"> </w:t>
      </w:r>
      <w:r w:rsidRPr="00307028">
        <w:rPr>
          <w:rFonts w:eastAsia="Calibri"/>
          <w:lang w:eastAsia="en-US"/>
        </w:rPr>
        <w:t xml:space="preserve">parlamentārā sekretāra atlīdzības pieauguma nodrošināšanai atbilstoši Valsts un pašvaldību institūciju amatpersonu un darbinieku atlīdzības likuma 6. pantā noteiktajam u.c.; </w:t>
      </w:r>
    </w:p>
    <w:p w14:paraId="74EA809A" w14:textId="7A930CB5" w:rsidR="00502EF8" w:rsidRPr="00307028" w:rsidRDefault="00502EF8" w:rsidP="0055158C">
      <w:pPr>
        <w:spacing w:after="120" w:line="259" w:lineRule="auto"/>
        <w:ind w:firstLine="709"/>
        <w:jc w:val="both"/>
        <w:rPr>
          <w:rFonts w:eastAsia="Times New Roman"/>
          <w:lang w:eastAsia="en-US"/>
        </w:rPr>
      </w:pPr>
      <w:r w:rsidRPr="00307028">
        <w:rPr>
          <w:rFonts w:eastAsia="Times New Roman"/>
          <w:b/>
          <w:lang w:eastAsia="en-US"/>
        </w:rPr>
        <w:t>Satiksmes ministrijai</w:t>
      </w:r>
      <w:r w:rsidRPr="00307028">
        <w:rPr>
          <w:rFonts w:eastAsia="Times New Roman"/>
          <w:lang w:eastAsia="en-US"/>
        </w:rPr>
        <w:t xml:space="preserve"> palielināti izdevumi 10,1 milj. </w:t>
      </w:r>
      <w:r w:rsidRPr="00307028">
        <w:rPr>
          <w:rFonts w:eastAsia="Times New Roman"/>
          <w:i/>
          <w:lang w:eastAsia="en-US"/>
        </w:rPr>
        <w:t>euro</w:t>
      </w:r>
      <w:r w:rsidRPr="00307028">
        <w:rPr>
          <w:rFonts w:eastAsia="Times New Roman"/>
          <w:lang w:eastAsia="en-US"/>
        </w:rPr>
        <w:t xml:space="preserve"> apmērā 2024. gadam, 0,04</w:t>
      </w:r>
      <w:r w:rsidR="00B018C5"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euro</w:t>
      </w:r>
      <w:r w:rsidRPr="00307028">
        <w:rPr>
          <w:rFonts w:eastAsia="Times New Roman"/>
          <w:lang w:eastAsia="en-US"/>
        </w:rPr>
        <w:t xml:space="preserve"> apmērā 2025. gadam un samazināti izdevumi 3,0 milj. </w:t>
      </w:r>
      <w:r w:rsidRPr="00307028">
        <w:rPr>
          <w:rFonts w:eastAsia="Times New Roman"/>
          <w:i/>
          <w:lang w:eastAsia="en-US"/>
        </w:rPr>
        <w:t>euro</w:t>
      </w:r>
      <w:r w:rsidRPr="00307028">
        <w:rPr>
          <w:rFonts w:eastAsia="Times New Roman"/>
          <w:lang w:eastAsia="en-US"/>
        </w:rPr>
        <w:t xml:space="preserve"> apmērā 2026.</w:t>
      </w:r>
      <w:r w:rsidR="00AB77BF" w:rsidRPr="00307028">
        <w:rPr>
          <w:rFonts w:eastAsia="Times New Roman"/>
          <w:lang w:eastAsia="en-US"/>
        </w:rPr>
        <w:t> </w:t>
      </w:r>
      <w:r w:rsidRPr="00307028">
        <w:rPr>
          <w:rFonts w:eastAsia="Times New Roman"/>
          <w:lang w:eastAsia="en-US"/>
        </w:rPr>
        <w:t>gadam, tajā skaitā:</w:t>
      </w:r>
    </w:p>
    <w:p w14:paraId="635485D6" w14:textId="5535A92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10,2 milj. </w:t>
      </w:r>
      <w:r w:rsidRPr="00307028">
        <w:rPr>
          <w:rFonts w:eastAsia="Calibri"/>
          <w:i/>
          <w:lang w:eastAsia="en-US"/>
        </w:rPr>
        <w:t>euro</w:t>
      </w:r>
      <w:r w:rsidRPr="00307028">
        <w:rPr>
          <w:rFonts w:eastAsia="Calibri"/>
          <w:lang w:eastAsia="en-US"/>
        </w:rPr>
        <w:t xml:space="preserve"> apmērā 2024. gadam un samazināti izdevumi 2,7</w:t>
      </w:r>
      <w:r w:rsidR="00B018C5" w:rsidRPr="00307028">
        <w:rPr>
          <w:rFonts w:eastAsia="Calibri"/>
          <w:lang w:eastAsia="en-US"/>
        </w:rPr>
        <w:t> </w:t>
      </w:r>
      <w:r w:rsidRPr="00307028">
        <w:rPr>
          <w:rFonts w:eastAsia="Calibri"/>
          <w:lang w:eastAsia="en-US"/>
        </w:rPr>
        <w:t xml:space="preserve">milj. </w:t>
      </w:r>
      <w:r w:rsidRPr="00307028">
        <w:rPr>
          <w:rFonts w:eastAsia="Calibri"/>
          <w:i/>
          <w:iCs/>
          <w:lang w:eastAsia="en-US"/>
        </w:rPr>
        <w:t>euro</w:t>
      </w:r>
      <w:r w:rsidRPr="00307028">
        <w:rPr>
          <w:rFonts w:eastAsia="Calibri"/>
          <w:lang w:eastAsia="en-US"/>
        </w:rPr>
        <w:t xml:space="preserve"> apmērā 2026. gadam jauno elektrovilcienu projekta īstenošanai;</w:t>
      </w:r>
    </w:p>
    <w:p w14:paraId="3C9F402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446DEB98" w14:textId="66948542"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0,08 milj. </w:t>
      </w:r>
      <w:r w:rsidRPr="00307028">
        <w:rPr>
          <w:rFonts w:eastAsia="Calibri"/>
          <w:i/>
          <w:iCs/>
          <w:lang w:eastAsia="en-US"/>
        </w:rPr>
        <w:t>euro</w:t>
      </w:r>
      <w:r w:rsidRPr="00307028">
        <w:rPr>
          <w:rFonts w:eastAsia="Calibri"/>
          <w:lang w:eastAsia="en-US"/>
        </w:rPr>
        <w:t xml:space="preserve"> apmērā 2025. gadam un samazināti izdevumi 0,3</w:t>
      </w:r>
      <w:r w:rsidR="00B018C5" w:rsidRPr="00307028">
        <w:rPr>
          <w:rFonts w:eastAsia="Calibri"/>
          <w:lang w:eastAsia="en-US"/>
        </w:rPr>
        <w:t> </w:t>
      </w:r>
      <w:r w:rsidRPr="00307028">
        <w:rPr>
          <w:rFonts w:eastAsia="Calibri"/>
          <w:lang w:eastAsia="en-US"/>
        </w:rPr>
        <w:t xml:space="preserve">milj. </w:t>
      </w:r>
      <w:r w:rsidRPr="00307028">
        <w:rPr>
          <w:rFonts w:eastAsia="Calibri"/>
          <w:i/>
          <w:iCs/>
          <w:lang w:eastAsia="en-US"/>
        </w:rPr>
        <w:t>euro</w:t>
      </w:r>
      <w:r w:rsidRPr="00307028">
        <w:rPr>
          <w:rFonts w:eastAsia="Calibri"/>
          <w:lang w:eastAsia="en-US"/>
        </w:rPr>
        <w:t xml:space="preserve"> apmērā 2026. gadam, veicot izmaiņas maksas pakalpojumu un citu pašu ieņēmumu naudas līdzekļu atlikumos un tiem atbilstošajos atlīdzības un preču un pakalpojumu izdevumos;</w:t>
      </w:r>
    </w:p>
    <w:p w14:paraId="47F3F99D"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samazināti izdevumi 0,05 milj. </w:t>
      </w:r>
      <w:r w:rsidRPr="00307028">
        <w:rPr>
          <w:rFonts w:eastAsia="Calibri"/>
          <w:i/>
          <w:lang w:eastAsia="en-US"/>
        </w:rPr>
        <w:t>euro</w:t>
      </w:r>
      <w:r w:rsidRPr="00307028">
        <w:rPr>
          <w:rFonts w:eastAsia="Calibri"/>
          <w:lang w:eastAsia="en-US"/>
        </w:rPr>
        <w:t xml:space="preserve"> apmērā 2024., 2025. un 2026. gadam ik gadu no maksas pakalpojumu un citu pašu ieņēmumiem atbilstoši noslēgtajiem nomas līgumiem u.c.;</w:t>
      </w:r>
    </w:p>
    <w:p w14:paraId="75BBDC3D" w14:textId="3E8F367F" w:rsidR="00502EF8" w:rsidRPr="00307028" w:rsidRDefault="00502EF8" w:rsidP="0055158C">
      <w:pPr>
        <w:spacing w:after="120" w:line="259" w:lineRule="auto"/>
        <w:ind w:firstLine="709"/>
        <w:jc w:val="both"/>
        <w:rPr>
          <w:rFonts w:eastAsia="Times New Roman"/>
          <w:lang w:eastAsia="en-US"/>
        </w:rPr>
      </w:pPr>
      <w:r w:rsidRPr="00307028">
        <w:rPr>
          <w:rFonts w:eastAsia="Times New Roman"/>
          <w:b/>
          <w:lang w:eastAsia="en-US"/>
        </w:rPr>
        <w:t>Labklājības ministrijai</w:t>
      </w:r>
      <w:r w:rsidRPr="00307028">
        <w:rPr>
          <w:rFonts w:eastAsia="Times New Roman"/>
          <w:lang w:eastAsia="en-US"/>
        </w:rPr>
        <w:t xml:space="preserve"> palielināti izdevumi 21,9 milj. </w:t>
      </w:r>
      <w:r w:rsidRPr="00307028">
        <w:rPr>
          <w:rFonts w:eastAsia="Times New Roman"/>
          <w:i/>
          <w:lang w:eastAsia="en-US"/>
        </w:rPr>
        <w:t>euro</w:t>
      </w:r>
      <w:r w:rsidRPr="00307028">
        <w:rPr>
          <w:rFonts w:eastAsia="Times New Roman"/>
          <w:lang w:eastAsia="en-US"/>
        </w:rPr>
        <w:t xml:space="preserve"> apmērā 2024. gadam, 51,1</w:t>
      </w:r>
      <w:r w:rsidR="00B018C5"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euro</w:t>
      </w:r>
      <w:r w:rsidRPr="00307028">
        <w:rPr>
          <w:rFonts w:eastAsia="Times New Roman"/>
          <w:lang w:eastAsia="en-US"/>
        </w:rPr>
        <w:t xml:space="preserve"> apmērā 2025. gadam un 108,9 milj. </w:t>
      </w:r>
      <w:r w:rsidRPr="00307028">
        <w:rPr>
          <w:rFonts w:eastAsia="Times New Roman"/>
          <w:i/>
          <w:lang w:eastAsia="en-US"/>
        </w:rPr>
        <w:t>euro</w:t>
      </w:r>
      <w:r w:rsidRPr="00307028">
        <w:rPr>
          <w:rFonts w:eastAsia="Times New Roman"/>
          <w:lang w:eastAsia="en-US"/>
        </w:rPr>
        <w:t xml:space="preserve"> apmērā 2026. gadam, tajā skaitā:</w:t>
      </w:r>
    </w:p>
    <w:p w14:paraId="42FD190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6,9 milj. </w:t>
      </w:r>
      <w:r w:rsidRPr="00307028">
        <w:rPr>
          <w:rFonts w:eastAsia="Calibri"/>
          <w:i/>
          <w:lang w:eastAsia="en-US"/>
        </w:rPr>
        <w:t xml:space="preserve">euro </w:t>
      </w:r>
      <w:r w:rsidRPr="00307028">
        <w:rPr>
          <w:rFonts w:eastAsia="Calibri"/>
          <w:lang w:eastAsia="en-US"/>
        </w:rPr>
        <w:t xml:space="preserve">apmērā 2024., 2025. un 2026. gadam ik gadu, lai nodrošinātu asistenta pakalpojumus saistībā ar prognozēto pakalpojuma saņēmēju skaita palielināšanos; </w:t>
      </w:r>
    </w:p>
    <w:p w14:paraId="02B70289"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5,9 milj. </w:t>
      </w:r>
      <w:r w:rsidRPr="00307028">
        <w:rPr>
          <w:rFonts w:eastAsia="Calibri"/>
          <w:i/>
          <w:iCs/>
          <w:lang w:eastAsia="en-US"/>
        </w:rPr>
        <w:t>euro</w:t>
      </w:r>
      <w:r w:rsidRPr="00307028">
        <w:rPr>
          <w:rFonts w:eastAsia="Calibri"/>
          <w:lang w:eastAsia="en-US"/>
        </w:rPr>
        <w:t xml:space="preserve"> apmērā 2024. gadam, 10,4 milj. </w:t>
      </w:r>
      <w:r w:rsidRPr="00307028">
        <w:rPr>
          <w:rFonts w:eastAsia="Calibri"/>
          <w:i/>
          <w:iCs/>
          <w:lang w:eastAsia="en-US"/>
        </w:rPr>
        <w:t>euro</w:t>
      </w:r>
      <w:r w:rsidRPr="00307028">
        <w:rPr>
          <w:rFonts w:eastAsia="Calibri"/>
          <w:lang w:eastAsia="en-US"/>
        </w:rPr>
        <w:t xml:space="preserve"> apmērā 2025. gadam un 17,9 milj. </w:t>
      </w:r>
      <w:r w:rsidRPr="00307028">
        <w:rPr>
          <w:rFonts w:eastAsia="Calibri"/>
          <w:i/>
          <w:iCs/>
          <w:lang w:eastAsia="en-US"/>
        </w:rPr>
        <w:t>euro</w:t>
      </w:r>
      <w:r w:rsidRPr="00307028">
        <w:rPr>
          <w:rFonts w:eastAsia="Calibri"/>
          <w:lang w:eastAsia="en-US"/>
        </w:rPr>
        <w:t xml:space="preserve"> apmērā 2026. gadam valsts sociālā nodrošinājuma pabalstam;</w:t>
      </w:r>
    </w:p>
    <w:p w14:paraId="41E8EA15" w14:textId="301C476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5,8 milj. </w:t>
      </w:r>
      <w:r w:rsidRPr="00307028">
        <w:rPr>
          <w:rFonts w:eastAsia="Calibri"/>
          <w:i/>
          <w:iCs/>
          <w:lang w:eastAsia="en-US"/>
        </w:rPr>
        <w:t>euro</w:t>
      </w:r>
      <w:r w:rsidRPr="00307028">
        <w:rPr>
          <w:rFonts w:eastAsia="Calibri"/>
          <w:lang w:eastAsia="en-US"/>
        </w:rPr>
        <w:t xml:space="preserve"> apmērā 2024. gadam, 24,2 milj. </w:t>
      </w:r>
      <w:r w:rsidRPr="00307028">
        <w:rPr>
          <w:rFonts w:eastAsia="Calibri"/>
          <w:i/>
          <w:iCs/>
          <w:lang w:eastAsia="en-US"/>
        </w:rPr>
        <w:t>euro</w:t>
      </w:r>
      <w:r w:rsidRPr="00307028">
        <w:rPr>
          <w:rFonts w:eastAsia="Calibri"/>
          <w:lang w:eastAsia="en-US"/>
        </w:rPr>
        <w:t xml:space="preserve"> apmērā 2025.</w:t>
      </w:r>
      <w:r w:rsidR="00AB77BF" w:rsidRPr="00307028">
        <w:rPr>
          <w:rFonts w:eastAsia="Calibri"/>
          <w:lang w:eastAsia="en-US"/>
        </w:rPr>
        <w:t xml:space="preserve"> </w:t>
      </w:r>
      <w:r w:rsidRPr="00307028">
        <w:rPr>
          <w:rFonts w:eastAsia="Calibri"/>
          <w:lang w:eastAsia="en-US"/>
        </w:rPr>
        <w:t xml:space="preserve">gadam un 62,9 milj. </w:t>
      </w:r>
      <w:r w:rsidRPr="00307028">
        <w:rPr>
          <w:rFonts w:eastAsia="Calibri"/>
          <w:i/>
          <w:iCs/>
          <w:lang w:eastAsia="en-US"/>
        </w:rPr>
        <w:t>euro</w:t>
      </w:r>
      <w:r w:rsidRPr="00307028">
        <w:rPr>
          <w:rFonts w:eastAsia="Calibri"/>
          <w:lang w:eastAsia="en-US"/>
        </w:rPr>
        <w:t xml:space="preserve"> apmērā 2026. gadam valsts iemaksām uz sociālās apdrošināšanas speciālo budžetu saistībā ar plānotajām izmaiņām saņēmēju skaitā un iemaksu apmēros; </w:t>
      </w:r>
    </w:p>
    <w:p w14:paraId="1F68F6D5"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1,8 milj. </w:t>
      </w:r>
      <w:r w:rsidRPr="00307028">
        <w:rPr>
          <w:rFonts w:eastAsia="Calibri"/>
          <w:i/>
          <w:iCs/>
          <w:lang w:eastAsia="en-US"/>
        </w:rPr>
        <w:t>euro</w:t>
      </w:r>
      <w:r w:rsidRPr="00307028">
        <w:rPr>
          <w:rFonts w:eastAsia="Calibri"/>
          <w:lang w:eastAsia="en-US"/>
        </w:rPr>
        <w:t xml:space="preserve"> apmērā 2024. gadam, 3,9 milj. </w:t>
      </w:r>
      <w:r w:rsidRPr="00307028">
        <w:rPr>
          <w:rFonts w:eastAsia="Calibri"/>
          <w:i/>
          <w:iCs/>
          <w:lang w:eastAsia="en-US"/>
        </w:rPr>
        <w:t>euro</w:t>
      </w:r>
      <w:r w:rsidRPr="00307028">
        <w:rPr>
          <w:rFonts w:eastAsia="Calibri"/>
          <w:lang w:eastAsia="en-US"/>
        </w:rPr>
        <w:t xml:space="preserve"> 2025. gadam un 1,4 milj. </w:t>
      </w:r>
      <w:r w:rsidRPr="00307028">
        <w:rPr>
          <w:rFonts w:eastAsia="Calibri"/>
          <w:i/>
          <w:iCs/>
          <w:lang w:eastAsia="en-US"/>
        </w:rPr>
        <w:t>euro</w:t>
      </w:r>
      <w:r w:rsidRPr="00307028">
        <w:rPr>
          <w:rFonts w:eastAsia="Calibri"/>
          <w:lang w:eastAsia="en-US"/>
        </w:rPr>
        <w:t xml:space="preserve"> 2026. gadam piemaksai pie vecuma pensijām;</w:t>
      </w:r>
    </w:p>
    <w:p w14:paraId="18D213A3" w14:textId="511E124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1,7 milj. </w:t>
      </w:r>
      <w:r w:rsidRPr="00307028">
        <w:rPr>
          <w:rFonts w:eastAsia="Calibri"/>
          <w:i/>
          <w:iCs/>
          <w:lang w:eastAsia="en-US"/>
        </w:rPr>
        <w:t>euro</w:t>
      </w:r>
      <w:r w:rsidRPr="00307028">
        <w:rPr>
          <w:rFonts w:eastAsia="Calibri"/>
          <w:lang w:eastAsia="en-US"/>
        </w:rPr>
        <w:t xml:space="preserve"> apmērā 2024. gadam, 3,5 milj. </w:t>
      </w:r>
      <w:r w:rsidRPr="00307028">
        <w:rPr>
          <w:rFonts w:eastAsia="Calibri"/>
          <w:i/>
          <w:iCs/>
          <w:lang w:eastAsia="en-US"/>
        </w:rPr>
        <w:t>euro</w:t>
      </w:r>
      <w:r w:rsidRPr="00307028">
        <w:rPr>
          <w:rFonts w:eastAsia="Calibri"/>
          <w:lang w:eastAsia="en-US"/>
        </w:rPr>
        <w:t xml:space="preserve"> apmērā 2025.</w:t>
      </w:r>
      <w:r w:rsidR="00B018C5" w:rsidRPr="00307028">
        <w:rPr>
          <w:rFonts w:eastAsia="Calibri"/>
          <w:lang w:eastAsia="en-US"/>
        </w:rPr>
        <w:t> </w:t>
      </w:r>
      <w:r w:rsidRPr="00307028">
        <w:rPr>
          <w:rFonts w:eastAsia="Calibri"/>
          <w:lang w:eastAsia="en-US"/>
        </w:rPr>
        <w:t xml:space="preserve">gadam un 6,5 milj. </w:t>
      </w:r>
      <w:r w:rsidRPr="00307028">
        <w:rPr>
          <w:rFonts w:eastAsia="Calibri"/>
          <w:i/>
          <w:iCs/>
          <w:lang w:eastAsia="en-US"/>
        </w:rPr>
        <w:t>euro</w:t>
      </w:r>
      <w:r w:rsidRPr="00307028">
        <w:rPr>
          <w:rFonts w:eastAsia="Calibri"/>
          <w:lang w:eastAsia="en-US"/>
        </w:rPr>
        <w:t xml:space="preserve"> apmērā 2026. gadam, lai nodrošinātu GMI un mājokļa pabalsta līdzfinansējumu pašvaldībām 30% apmērā; </w:t>
      </w:r>
    </w:p>
    <w:p w14:paraId="4E4807EA" w14:textId="539D0EA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0,7 milj. </w:t>
      </w:r>
      <w:r w:rsidRPr="00307028">
        <w:rPr>
          <w:rFonts w:eastAsia="Calibri"/>
          <w:i/>
          <w:iCs/>
          <w:lang w:eastAsia="en-US"/>
        </w:rPr>
        <w:t>euro</w:t>
      </w:r>
      <w:r w:rsidRPr="00307028">
        <w:rPr>
          <w:rFonts w:eastAsia="Calibri"/>
          <w:lang w:eastAsia="en-US"/>
        </w:rPr>
        <w:t xml:space="preserve"> apmērā 2024. gadam, 1,2 milj. </w:t>
      </w:r>
      <w:r w:rsidRPr="00307028">
        <w:rPr>
          <w:rFonts w:eastAsia="Calibri"/>
          <w:i/>
          <w:iCs/>
          <w:lang w:eastAsia="en-US"/>
        </w:rPr>
        <w:t>euro</w:t>
      </w:r>
      <w:r w:rsidRPr="00307028">
        <w:rPr>
          <w:rFonts w:eastAsia="Calibri"/>
          <w:lang w:eastAsia="en-US"/>
        </w:rPr>
        <w:t xml:space="preserve"> apmērā 2025.</w:t>
      </w:r>
      <w:r w:rsidR="00B018C5" w:rsidRPr="00307028">
        <w:rPr>
          <w:rFonts w:eastAsia="Calibri"/>
          <w:lang w:eastAsia="en-US"/>
        </w:rPr>
        <w:t> </w:t>
      </w:r>
      <w:r w:rsidRPr="00307028">
        <w:rPr>
          <w:rFonts w:eastAsia="Calibri"/>
          <w:lang w:eastAsia="en-US"/>
        </w:rPr>
        <w:t xml:space="preserve">gadam un 1,7 milj. </w:t>
      </w:r>
      <w:r w:rsidRPr="00307028">
        <w:rPr>
          <w:rFonts w:eastAsia="Calibri"/>
          <w:i/>
          <w:iCs/>
          <w:lang w:eastAsia="en-US"/>
        </w:rPr>
        <w:t>euro</w:t>
      </w:r>
      <w:r w:rsidRPr="00307028">
        <w:rPr>
          <w:rFonts w:eastAsia="Calibri"/>
          <w:lang w:eastAsia="en-US"/>
        </w:rPr>
        <w:t xml:space="preserve"> apmērā 2026. gadam,</w:t>
      </w:r>
      <w:r w:rsidRPr="00307028">
        <w:rPr>
          <w:rFonts w:ascii="Calibri" w:eastAsia="Calibri" w:hAnsi="Calibri"/>
          <w:sz w:val="22"/>
          <w:szCs w:val="22"/>
          <w:lang w:eastAsia="en-US"/>
        </w:rPr>
        <w:t xml:space="preserve"> </w:t>
      </w:r>
      <w:r w:rsidRPr="00307028">
        <w:rPr>
          <w:rFonts w:eastAsia="Calibri"/>
          <w:lang w:eastAsia="en-US"/>
        </w:rPr>
        <w:t>lai segtu ar pakalpojumu sniegšanu saistītos izdevumus un naudas summas personiskiem izdevumiem izmaksas valsts sociālās aprūpes institūciju klientiem;</w:t>
      </w:r>
    </w:p>
    <w:p w14:paraId="3C648296"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iCs/>
          <w:lang w:eastAsia="en-US"/>
        </w:rPr>
        <w:t>euro</w:t>
      </w:r>
      <w:r w:rsidRPr="00307028">
        <w:rPr>
          <w:rFonts w:eastAsia="Calibri"/>
          <w:lang w:eastAsia="en-US"/>
        </w:rPr>
        <w:t xml:space="preserve"> apmērā 2024. gadam, 1,9 milj. </w:t>
      </w:r>
      <w:r w:rsidRPr="00307028">
        <w:rPr>
          <w:rFonts w:eastAsia="Calibri"/>
          <w:i/>
          <w:iCs/>
          <w:lang w:eastAsia="en-US"/>
        </w:rPr>
        <w:t>euro</w:t>
      </w:r>
      <w:r w:rsidRPr="00307028">
        <w:rPr>
          <w:rFonts w:eastAsia="Calibri"/>
          <w:lang w:eastAsia="en-US"/>
        </w:rPr>
        <w:t xml:space="preserve"> 2025. gadam un 11,0 milj. </w:t>
      </w:r>
      <w:r w:rsidRPr="00307028">
        <w:rPr>
          <w:rFonts w:eastAsia="Calibri"/>
          <w:i/>
          <w:iCs/>
          <w:lang w:eastAsia="en-US"/>
        </w:rPr>
        <w:t>euro</w:t>
      </w:r>
      <w:r w:rsidRPr="00307028">
        <w:rPr>
          <w:rFonts w:eastAsia="Calibri"/>
          <w:lang w:eastAsia="en-US"/>
        </w:rPr>
        <w:t xml:space="preserve"> 2026. gadam izdienas pensijai;</w:t>
      </w:r>
    </w:p>
    <w:p w14:paraId="76F28184"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0,4 milj. </w:t>
      </w:r>
      <w:r w:rsidRPr="00307028">
        <w:rPr>
          <w:rFonts w:eastAsia="Calibri"/>
          <w:i/>
          <w:iCs/>
          <w:lang w:eastAsia="en-US"/>
        </w:rPr>
        <w:t>euro</w:t>
      </w:r>
      <w:r w:rsidRPr="00307028">
        <w:rPr>
          <w:rFonts w:eastAsia="Calibri"/>
          <w:lang w:eastAsia="en-US"/>
        </w:rPr>
        <w:t xml:space="preserve"> apmērā 2024. gadam, 0,5 milj. </w:t>
      </w:r>
      <w:r w:rsidRPr="00307028">
        <w:rPr>
          <w:rFonts w:eastAsia="Calibri"/>
          <w:i/>
          <w:iCs/>
          <w:lang w:eastAsia="en-US"/>
        </w:rPr>
        <w:t>euro</w:t>
      </w:r>
      <w:r w:rsidRPr="00307028">
        <w:rPr>
          <w:rFonts w:eastAsia="Calibri"/>
          <w:lang w:eastAsia="en-US"/>
        </w:rPr>
        <w:t xml:space="preserve"> 2025. gadam un 1,2 milj. </w:t>
      </w:r>
      <w:r w:rsidRPr="00307028">
        <w:rPr>
          <w:rFonts w:eastAsia="Calibri"/>
          <w:i/>
          <w:iCs/>
          <w:lang w:eastAsia="en-US"/>
        </w:rPr>
        <w:t>euro</w:t>
      </w:r>
      <w:r w:rsidRPr="00307028">
        <w:rPr>
          <w:rFonts w:eastAsia="Calibri"/>
          <w:lang w:eastAsia="en-US"/>
        </w:rPr>
        <w:t xml:space="preserve"> 2026. gadam bērna ar invaliditāti kopšanas pabalstam;</w:t>
      </w:r>
    </w:p>
    <w:p w14:paraId="505F9AAA" w14:textId="02971F2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w:t>
      </w:r>
      <w:r w:rsidR="003B6E4B">
        <w:rPr>
          <w:rFonts w:eastAsia="Calibri"/>
          <w:lang w:eastAsia="en-US"/>
        </w:rPr>
        <w:t> </w:t>
      </w:r>
      <w:r w:rsidRPr="00307028">
        <w:rPr>
          <w:rFonts w:eastAsia="Calibri"/>
          <w:lang w:eastAsia="en-US"/>
        </w:rPr>
        <w:t>pantā noteiktajam;</w:t>
      </w:r>
    </w:p>
    <w:p w14:paraId="7EBD5361"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0,9 milj. </w:t>
      </w:r>
      <w:r w:rsidRPr="00307028">
        <w:rPr>
          <w:rFonts w:eastAsia="Calibri"/>
          <w:i/>
          <w:iCs/>
          <w:lang w:eastAsia="en-US"/>
        </w:rPr>
        <w:t>euro</w:t>
      </w:r>
      <w:r w:rsidRPr="00307028">
        <w:rPr>
          <w:rFonts w:eastAsia="Calibri"/>
          <w:lang w:eastAsia="en-US"/>
        </w:rPr>
        <w:t xml:space="preserve"> apmērā 2024., 2025. un 2026. gadam ik gadu bērna piedzimšanas pabalstam;</w:t>
      </w:r>
    </w:p>
    <w:p w14:paraId="4034B875"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1,6 milj. </w:t>
      </w:r>
      <w:r w:rsidRPr="00307028">
        <w:rPr>
          <w:rFonts w:eastAsia="Calibri"/>
          <w:i/>
          <w:lang w:eastAsia="en-US"/>
        </w:rPr>
        <w:t xml:space="preserve">euro </w:t>
      </w:r>
      <w:r w:rsidRPr="00307028">
        <w:rPr>
          <w:rFonts w:eastAsia="Calibri"/>
          <w:lang w:eastAsia="en-US"/>
        </w:rPr>
        <w:t>apmērā 2024., 2025. un 2026. gadam ik gadu bērna kopšanas pabalstam un piemaksai pie bērna kopšanas pabalsta un vecāku pabalsta par dvīņiem vai vairākiem vienās dzemdībās dzimušiem bērniem u.c.;</w:t>
      </w:r>
    </w:p>
    <w:p w14:paraId="41954309" w14:textId="7E30DC43" w:rsidR="00502EF8" w:rsidRPr="00307028" w:rsidRDefault="00502EF8" w:rsidP="00497067">
      <w:pPr>
        <w:spacing w:after="120" w:line="259" w:lineRule="auto"/>
        <w:ind w:firstLine="709"/>
        <w:jc w:val="both"/>
        <w:rPr>
          <w:rFonts w:eastAsia="Times New Roman"/>
          <w:lang w:eastAsia="en-US"/>
        </w:rPr>
      </w:pPr>
      <w:r w:rsidRPr="00307028">
        <w:rPr>
          <w:rFonts w:eastAsia="Times New Roman"/>
          <w:b/>
          <w:lang w:eastAsia="en-US"/>
        </w:rPr>
        <w:t xml:space="preserve">Tieslietu ministrijai </w:t>
      </w:r>
      <w:r w:rsidRPr="00307028">
        <w:rPr>
          <w:rFonts w:eastAsia="Times New Roman"/>
          <w:lang w:eastAsia="en-US"/>
        </w:rPr>
        <w:t xml:space="preserve">palielināti izdevumi 9,7 milj. </w:t>
      </w:r>
      <w:r w:rsidRPr="00307028">
        <w:rPr>
          <w:rFonts w:eastAsia="Times New Roman"/>
          <w:i/>
          <w:lang w:eastAsia="en-US"/>
        </w:rPr>
        <w:t>euro</w:t>
      </w:r>
      <w:r w:rsidRPr="00307028">
        <w:rPr>
          <w:rFonts w:eastAsia="Times New Roman"/>
          <w:lang w:eastAsia="en-US"/>
        </w:rPr>
        <w:t xml:space="preserve"> apmērā 2024.</w:t>
      </w:r>
      <w:r w:rsidR="003B6E4B">
        <w:rPr>
          <w:rFonts w:eastAsia="Times New Roman"/>
          <w:lang w:eastAsia="en-US"/>
        </w:rPr>
        <w:t> </w:t>
      </w:r>
      <w:r w:rsidRPr="00307028">
        <w:rPr>
          <w:rFonts w:eastAsia="Times New Roman"/>
          <w:lang w:eastAsia="en-US"/>
        </w:rPr>
        <w:t>gadam, 5,6</w:t>
      </w:r>
      <w:r w:rsidR="00B018C5" w:rsidRPr="00307028">
        <w:rPr>
          <w:rFonts w:eastAsia="Times New Roman"/>
          <w:lang w:eastAsia="en-US"/>
        </w:rPr>
        <w:t> </w:t>
      </w:r>
      <w:r w:rsidRPr="00307028">
        <w:rPr>
          <w:rFonts w:eastAsia="Times New Roman"/>
          <w:lang w:eastAsia="en-US"/>
        </w:rPr>
        <w:t>milj.</w:t>
      </w:r>
      <w:r w:rsidR="00B018C5" w:rsidRPr="00307028">
        <w:rPr>
          <w:rFonts w:eastAsia="Times New Roman"/>
          <w:lang w:eastAsia="en-US"/>
        </w:rPr>
        <w:t> </w:t>
      </w:r>
      <w:r w:rsidRPr="00307028">
        <w:rPr>
          <w:rFonts w:eastAsia="Times New Roman"/>
          <w:i/>
          <w:lang w:eastAsia="en-US"/>
        </w:rPr>
        <w:t>euro</w:t>
      </w:r>
      <w:r w:rsidRPr="00307028">
        <w:rPr>
          <w:rFonts w:eastAsia="Times New Roman"/>
          <w:lang w:eastAsia="en-US"/>
        </w:rPr>
        <w:t xml:space="preserve"> apmērā 2025. gadam un samazināti izdevumi 6,2 milj. </w:t>
      </w:r>
      <w:r w:rsidRPr="00307028">
        <w:rPr>
          <w:rFonts w:eastAsia="Times New Roman"/>
          <w:i/>
          <w:lang w:eastAsia="en-US"/>
        </w:rPr>
        <w:t>euro</w:t>
      </w:r>
      <w:r w:rsidRPr="00307028">
        <w:rPr>
          <w:rFonts w:eastAsia="Times New Roman"/>
          <w:lang w:eastAsia="en-US"/>
        </w:rPr>
        <w:t xml:space="preserve"> apmērā 2026. gadam, tajā skaitā:</w:t>
      </w:r>
    </w:p>
    <w:p w14:paraId="163984A4"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3,8 milj. </w:t>
      </w:r>
      <w:r w:rsidRPr="00307028">
        <w:rPr>
          <w:rFonts w:eastAsia="Calibri"/>
          <w:i/>
          <w:lang w:eastAsia="en-US"/>
        </w:rPr>
        <w:t>euro</w:t>
      </w:r>
      <w:r w:rsidRPr="00307028">
        <w:rPr>
          <w:rFonts w:eastAsia="Calibri"/>
          <w:lang w:eastAsia="en-US"/>
        </w:rPr>
        <w:t xml:space="preserve"> apmērā 2024., 2025. un 2026. gadam ik gadu no maksas pakalpojumiem un citiem pašu ieņēmumiem saskaņā ar noteikumu projektu “Grozījumi Ministru kabineta 2015. gada 22. decembra noteikumos Nr. 787 “Valsts zemes dienesta maksas pakalpojumu cenrādis un samaksas kārtība””; </w:t>
      </w:r>
    </w:p>
    <w:p w14:paraId="37A24F49"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palielināti izdevumi 3,3 milj. </w:t>
      </w:r>
      <w:r w:rsidRPr="00307028">
        <w:rPr>
          <w:rFonts w:eastAsia="Calibri"/>
          <w:i/>
          <w:iCs/>
          <w:lang w:eastAsia="en-US"/>
        </w:rPr>
        <w:t>euro</w:t>
      </w:r>
      <w:r w:rsidRPr="00307028">
        <w:rPr>
          <w:rFonts w:eastAsia="Calibri"/>
          <w:lang w:eastAsia="en-US"/>
        </w:rPr>
        <w:t xml:space="preserve"> apmērā 2024. gadam, lai nodrošinātu ar valsts drošību saistītu pasākumu īstenošanu;</w:t>
      </w:r>
    </w:p>
    <w:p w14:paraId="68C876D6" w14:textId="45288CCA"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1,8 milj. </w:t>
      </w:r>
      <w:r w:rsidRPr="00307028">
        <w:rPr>
          <w:rFonts w:eastAsia="Calibri"/>
          <w:i/>
          <w:iCs/>
          <w:lang w:eastAsia="en-US"/>
        </w:rPr>
        <w:t>euro</w:t>
      </w:r>
      <w:r w:rsidRPr="00307028">
        <w:rPr>
          <w:rFonts w:eastAsia="Calibri"/>
          <w:lang w:eastAsia="en-US"/>
        </w:rPr>
        <w:t xml:space="preserve"> apmērā 2024. gadam, 2,0 milj. </w:t>
      </w:r>
      <w:r w:rsidRPr="00307028">
        <w:rPr>
          <w:rFonts w:eastAsia="Calibri"/>
          <w:i/>
          <w:iCs/>
          <w:lang w:eastAsia="en-US"/>
        </w:rPr>
        <w:t>euro</w:t>
      </w:r>
      <w:r w:rsidRPr="00307028">
        <w:rPr>
          <w:rFonts w:eastAsia="Calibri"/>
          <w:lang w:eastAsia="en-US"/>
        </w:rPr>
        <w:t xml:space="preserve"> apmērā 2025.</w:t>
      </w:r>
      <w:r w:rsidR="00AB77BF" w:rsidRPr="00307028">
        <w:rPr>
          <w:rFonts w:eastAsia="Calibri"/>
          <w:lang w:eastAsia="en-US"/>
        </w:rPr>
        <w:t> </w:t>
      </w:r>
      <w:r w:rsidRPr="00307028">
        <w:rPr>
          <w:rFonts w:eastAsia="Calibri"/>
          <w:lang w:eastAsia="en-US"/>
        </w:rPr>
        <w:t>un 2026. gadam ik gadu, lai nodrošinātu tiesnešu atalgojuma palielināšanu atbilstoši Valsts un pašvaldību institūciju amatpersonu un darbinieku atlīdzības likuma 6.</w:t>
      </w:r>
      <w:r w:rsidRPr="00307028">
        <w:rPr>
          <w:rFonts w:eastAsia="Calibri"/>
          <w:vertAlign w:val="superscript"/>
          <w:lang w:eastAsia="en-US"/>
        </w:rPr>
        <w:t>1</w:t>
      </w:r>
      <w:r w:rsidRPr="00307028">
        <w:rPr>
          <w:rFonts w:eastAsia="Calibri"/>
          <w:lang w:eastAsia="en-US"/>
        </w:rPr>
        <w:t xml:space="preserve"> pantam un pamatojoties uz </w:t>
      </w:r>
      <w:r w:rsidR="00497067" w:rsidRPr="00307028">
        <w:rPr>
          <w:rFonts w:eastAsia="Calibri"/>
          <w:lang w:eastAsia="en-US"/>
        </w:rPr>
        <w:t>VK</w:t>
      </w:r>
      <w:r w:rsidRPr="00307028">
        <w:rPr>
          <w:rFonts w:eastAsia="Calibri"/>
          <w:lang w:eastAsia="en-US"/>
        </w:rPr>
        <w:t xml:space="preserve"> publiskoto informāciju par vēlēto amatpersonu un Saeimas iecelto amatpersonu mēnešalgas apmēru tiesnešu atlīdzības pieauguma nodrošināšanai atbilstoši Valsts un pašvaldību institūciju amatpersonu</w:t>
      </w:r>
      <w:r w:rsidR="00497067" w:rsidRPr="00307028">
        <w:rPr>
          <w:rFonts w:eastAsia="Calibri"/>
          <w:lang w:eastAsia="en-US"/>
        </w:rPr>
        <w:t xml:space="preserve"> atlīdzības likumam</w:t>
      </w:r>
      <w:r w:rsidRPr="00307028">
        <w:rPr>
          <w:rFonts w:eastAsia="Calibri"/>
          <w:lang w:eastAsia="en-US"/>
        </w:rPr>
        <w:t>;</w:t>
      </w:r>
    </w:p>
    <w:p w14:paraId="6D83EF58"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0,3 milj. </w:t>
      </w:r>
      <w:r w:rsidRPr="00307028">
        <w:rPr>
          <w:rFonts w:eastAsia="Calibri"/>
          <w:i/>
          <w:iCs/>
          <w:lang w:eastAsia="en-US"/>
        </w:rPr>
        <w:t>euro</w:t>
      </w:r>
      <w:r w:rsidRPr="00307028">
        <w:rPr>
          <w:rFonts w:eastAsia="Calibri"/>
          <w:lang w:eastAsia="en-US"/>
        </w:rPr>
        <w:t xml:space="preserve"> apmērā 2024., 2025. un 2026. gadam ik gadu, lai nodrošinātu valsts kompensāciju izmaksas cietušajiem, kas saņem kompensācijas saskaņā ar likumu “Par valsts kompensāciju cietušajiem”;</w:t>
      </w:r>
    </w:p>
    <w:p w14:paraId="7981E99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07EC4CE9"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10,6 milj. </w:t>
      </w:r>
      <w:r w:rsidRPr="00307028">
        <w:rPr>
          <w:rFonts w:eastAsia="Calibri"/>
          <w:i/>
          <w:iCs/>
          <w:lang w:eastAsia="en-US"/>
        </w:rPr>
        <w:t>euro</w:t>
      </w:r>
      <w:r w:rsidRPr="00307028">
        <w:rPr>
          <w:rFonts w:eastAsia="Calibri"/>
          <w:lang w:eastAsia="en-US"/>
        </w:rPr>
        <w:t xml:space="preserve"> apmērā 2026. gadam ilgtermiņa saistību pasākumam “Jauna cietuma būvniecība Liepājā”;</w:t>
      </w:r>
    </w:p>
    <w:p w14:paraId="0F4F3986"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1,4 milj. </w:t>
      </w:r>
      <w:r w:rsidRPr="00307028">
        <w:rPr>
          <w:rFonts w:eastAsia="Calibri"/>
          <w:i/>
          <w:iCs/>
          <w:lang w:eastAsia="en-US"/>
        </w:rPr>
        <w:t>euro</w:t>
      </w:r>
      <w:r w:rsidRPr="00307028">
        <w:rPr>
          <w:rFonts w:eastAsia="Calibri"/>
          <w:lang w:eastAsia="en-US"/>
        </w:rPr>
        <w:t xml:space="preserve"> apmērā 2026. gadam, lai nodrošinātu vienreizējās investīcijas iekšējās drošības stiprināšanas pasākumu īstenošanai;</w:t>
      </w:r>
    </w:p>
    <w:p w14:paraId="6D5E89F7" w14:textId="054237E5"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0,6 milj. </w:t>
      </w:r>
      <w:r w:rsidRPr="00307028">
        <w:rPr>
          <w:rFonts w:eastAsia="Calibri"/>
          <w:i/>
          <w:lang w:eastAsia="en-US"/>
        </w:rPr>
        <w:t>euro</w:t>
      </w:r>
      <w:r w:rsidRPr="00307028">
        <w:rPr>
          <w:rFonts w:eastAsia="Calibri"/>
          <w:lang w:eastAsia="en-US"/>
        </w:rPr>
        <w:t xml:space="preserve"> apmērā 2024., 2025. un 2026. gadam ik gadu, samazinot maksas pakalpojumu un citu pašu ieņēmumu atlikums uz gada sākumu atbilstoši informatīvajam ziņojumam “Par uzņēmējdarbības riska valsts nodevas sadalījumu 2024. </w:t>
      </w:r>
      <w:r w:rsidR="0055158C" w:rsidRPr="00307028">
        <w:rPr>
          <w:rFonts w:eastAsia="Times New Roman"/>
          <w:b/>
          <w:bCs/>
          <w:lang w:eastAsia="en-US"/>
        </w:rPr>
        <w:t>–</w:t>
      </w:r>
      <w:r w:rsidRPr="00307028">
        <w:rPr>
          <w:rFonts w:eastAsia="Calibri"/>
          <w:lang w:eastAsia="en-US"/>
        </w:rPr>
        <w:t> 2026. gadam”;</w:t>
      </w:r>
    </w:p>
    <w:p w14:paraId="5EDFC316" w14:textId="19C8570D" w:rsidR="00502EF8" w:rsidRPr="00307028" w:rsidRDefault="00502EF8" w:rsidP="00AB77B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0,3 milj. </w:t>
      </w:r>
      <w:r w:rsidRPr="00307028">
        <w:rPr>
          <w:rFonts w:eastAsia="Calibri"/>
          <w:i/>
          <w:iCs/>
          <w:lang w:eastAsia="en-US"/>
        </w:rPr>
        <w:t>euro</w:t>
      </w:r>
      <w:r w:rsidRPr="00307028">
        <w:rPr>
          <w:rFonts w:eastAsia="Calibri"/>
          <w:lang w:eastAsia="en-US"/>
        </w:rPr>
        <w:t xml:space="preserve"> apmērā 2024. gadam, samazināti izdevumi 0,04</w:t>
      </w:r>
      <w:r w:rsidR="00AB77BF" w:rsidRPr="00307028">
        <w:rPr>
          <w:rFonts w:eastAsia="Calibri"/>
          <w:lang w:eastAsia="en-US"/>
        </w:rPr>
        <w:t> </w:t>
      </w:r>
      <w:r w:rsidRPr="00307028">
        <w:rPr>
          <w:rFonts w:eastAsia="Calibri"/>
          <w:lang w:eastAsia="en-US"/>
        </w:rPr>
        <w:t xml:space="preserve">milj. </w:t>
      </w:r>
      <w:r w:rsidRPr="00307028">
        <w:rPr>
          <w:rFonts w:eastAsia="Calibri"/>
          <w:i/>
          <w:iCs/>
          <w:lang w:eastAsia="en-US"/>
        </w:rPr>
        <w:t>euro</w:t>
      </w:r>
      <w:r w:rsidRPr="00307028">
        <w:rPr>
          <w:rFonts w:eastAsia="Calibri"/>
          <w:lang w:eastAsia="en-US"/>
        </w:rPr>
        <w:t xml:space="preserve"> apmērā 2025. gadam un 0,02 milj. </w:t>
      </w:r>
      <w:r w:rsidRPr="00307028">
        <w:rPr>
          <w:rFonts w:eastAsia="Calibri"/>
          <w:i/>
          <w:iCs/>
          <w:lang w:eastAsia="en-US"/>
        </w:rPr>
        <w:t>euro</w:t>
      </w:r>
      <w:r w:rsidRPr="00307028">
        <w:rPr>
          <w:rFonts w:eastAsia="Calibri"/>
          <w:lang w:eastAsia="en-US"/>
        </w:rPr>
        <w:t xml:space="preserve"> 2026. gadam, lai nodrošinātu pabalsta pēc katriem pieciem nepārtrauktas izdienas gadiem izmaksas nodrošināšanai </w:t>
      </w:r>
      <w:r w:rsidR="00497067" w:rsidRPr="00307028">
        <w:rPr>
          <w:rFonts w:eastAsia="Calibri"/>
          <w:lang w:eastAsia="en-US"/>
        </w:rPr>
        <w:t>TM</w:t>
      </w:r>
      <w:r w:rsidRPr="00307028">
        <w:rPr>
          <w:rFonts w:eastAsia="Calibri"/>
          <w:lang w:eastAsia="en-US"/>
        </w:rPr>
        <w:t xml:space="preserve"> (Ie</w:t>
      </w:r>
      <w:r w:rsidR="00497067" w:rsidRPr="00307028">
        <w:rPr>
          <w:rFonts w:eastAsia="Calibri"/>
          <w:lang w:eastAsia="en-US"/>
        </w:rPr>
        <w:t xml:space="preserve">VP) </w:t>
      </w:r>
      <w:r w:rsidRPr="00307028">
        <w:rPr>
          <w:rFonts w:eastAsia="Calibri"/>
          <w:lang w:eastAsia="en-US"/>
        </w:rPr>
        <w:t>amatpersonām ar speciālajām dienesta pakāpēm atbilstoši Valsts un pašvaldību institūciju amatpersonu un darbinieku atlīdzības likuma 25. panta ceturtajā daļā noteiktajam;</w:t>
      </w:r>
    </w:p>
    <w:p w14:paraId="494C14A8" w14:textId="5C73B0C9" w:rsidR="00502EF8" w:rsidRPr="00307028" w:rsidRDefault="00502EF8" w:rsidP="00AB77B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Datu valsts inspekcijas direktora atlīdzības pieauguma nodrošināšanai atbilstoši Valsts un pašvaldību institūciju amatpersonu un darbinieku atlīdzības likuma 13.⁷ panta pirmajai daļai un pamatojoties uz </w:t>
      </w:r>
      <w:r w:rsidR="00070D5F" w:rsidRPr="00307028">
        <w:rPr>
          <w:rFonts w:eastAsia="Calibri"/>
          <w:lang w:eastAsia="en-US"/>
        </w:rPr>
        <w:t>VK</w:t>
      </w:r>
      <w:r w:rsidRPr="00307028">
        <w:rPr>
          <w:rFonts w:eastAsia="Calibri"/>
          <w:lang w:eastAsia="en-US"/>
        </w:rPr>
        <w:t xml:space="preserve"> publiskoto informāciju par vēlēto amatpersonu un Saeimas iecelto amatpersonu mēnešalgas apmēru u.c.;</w:t>
      </w:r>
    </w:p>
    <w:p w14:paraId="06C15FEE" w14:textId="6611AD42" w:rsidR="00502EF8" w:rsidRPr="00307028" w:rsidRDefault="00502EF8" w:rsidP="002A0991">
      <w:pPr>
        <w:spacing w:after="120" w:line="259" w:lineRule="auto"/>
        <w:ind w:firstLine="709"/>
        <w:jc w:val="both"/>
        <w:rPr>
          <w:rFonts w:eastAsia="Times New Roman"/>
          <w:lang w:eastAsia="en-US"/>
        </w:rPr>
      </w:pPr>
      <w:r w:rsidRPr="00307028">
        <w:rPr>
          <w:rFonts w:eastAsia="Times New Roman"/>
          <w:b/>
          <w:lang w:eastAsia="en-US"/>
        </w:rPr>
        <w:t>Klimata un enerģētikas ministrijai</w:t>
      </w:r>
      <w:r w:rsidRPr="00307028">
        <w:rPr>
          <w:rFonts w:eastAsia="Times New Roman"/>
          <w:lang w:eastAsia="en-US"/>
        </w:rPr>
        <w:t xml:space="preserve"> palielināti izdevumi 9,2 milj. </w:t>
      </w:r>
      <w:r w:rsidRPr="00307028">
        <w:rPr>
          <w:rFonts w:eastAsia="Times New Roman"/>
          <w:i/>
          <w:lang w:eastAsia="en-US"/>
        </w:rPr>
        <w:t>euro</w:t>
      </w:r>
      <w:r w:rsidRPr="00307028">
        <w:rPr>
          <w:rFonts w:eastAsia="Times New Roman"/>
          <w:lang w:eastAsia="en-US"/>
        </w:rPr>
        <w:t xml:space="preserve"> apmērā 2024.</w:t>
      </w:r>
      <w:r w:rsidR="00AB77BF" w:rsidRPr="00307028">
        <w:rPr>
          <w:rFonts w:eastAsia="Times New Roman"/>
          <w:lang w:eastAsia="en-US"/>
        </w:rPr>
        <w:t> </w:t>
      </w:r>
      <w:r w:rsidRPr="00307028">
        <w:rPr>
          <w:rFonts w:eastAsia="Times New Roman"/>
          <w:lang w:eastAsia="en-US"/>
        </w:rPr>
        <w:t xml:space="preserve">gadam, 7,4 milj. </w:t>
      </w:r>
      <w:r w:rsidRPr="00307028">
        <w:rPr>
          <w:rFonts w:eastAsia="Times New Roman"/>
          <w:i/>
          <w:lang w:eastAsia="en-US"/>
        </w:rPr>
        <w:t>euro</w:t>
      </w:r>
      <w:r w:rsidRPr="00307028">
        <w:rPr>
          <w:rFonts w:eastAsia="Times New Roman"/>
          <w:lang w:eastAsia="en-US"/>
        </w:rPr>
        <w:t xml:space="preserve"> apmērā 2025. gadam un samazināti izdevumi 27,0 milj. </w:t>
      </w:r>
      <w:r w:rsidRPr="00307028">
        <w:rPr>
          <w:rFonts w:eastAsia="Times New Roman"/>
          <w:i/>
          <w:lang w:eastAsia="en-US"/>
        </w:rPr>
        <w:t>euro</w:t>
      </w:r>
      <w:r w:rsidRPr="00307028">
        <w:rPr>
          <w:rFonts w:eastAsia="Times New Roman"/>
          <w:lang w:eastAsia="en-US"/>
        </w:rPr>
        <w:t xml:space="preserve"> apmērā 2026. gadam, tajā skaitā:</w:t>
      </w:r>
    </w:p>
    <w:p w14:paraId="4389DA58" w14:textId="2F498865"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9,2 milj. </w:t>
      </w:r>
      <w:r w:rsidRPr="00307028">
        <w:rPr>
          <w:rFonts w:eastAsia="Calibri"/>
          <w:i/>
          <w:lang w:eastAsia="en-US"/>
        </w:rPr>
        <w:t>euro</w:t>
      </w:r>
      <w:r w:rsidRPr="00307028">
        <w:rPr>
          <w:rFonts w:eastAsia="Calibri"/>
          <w:lang w:eastAsia="en-US"/>
        </w:rPr>
        <w:t xml:space="preserve"> apmērā 2024. gadam, 7,4 milj. </w:t>
      </w:r>
      <w:r w:rsidRPr="00307028">
        <w:rPr>
          <w:rFonts w:eastAsia="Calibri"/>
          <w:i/>
          <w:iCs/>
          <w:lang w:eastAsia="en-US"/>
        </w:rPr>
        <w:t>euro</w:t>
      </w:r>
      <w:r w:rsidRPr="00307028">
        <w:rPr>
          <w:rFonts w:eastAsia="Calibri"/>
          <w:lang w:eastAsia="en-US"/>
        </w:rPr>
        <w:t xml:space="preserve"> apmērā 2025.</w:t>
      </w:r>
      <w:r w:rsidR="00AB77BF" w:rsidRPr="00307028">
        <w:rPr>
          <w:rFonts w:eastAsia="Calibri"/>
          <w:lang w:eastAsia="en-US"/>
        </w:rPr>
        <w:t> </w:t>
      </w:r>
      <w:r w:rsidRPr="00307028">
        <w:rPr>
          <w:rFonts w:eastAsia="Calibri"/>
          <w:lang w:eastAsia="en-US"/>
        </w:rPr>
        <w:t xml:space="preserve">gadam un 1,4 milj. </w:t>
      </w:r>
      <w:r w:rsidRPr="00307028">
        <w:rPr>
          <w:rFonts w:eastAsia="Calibri"/>
          <w:i/>
          <w:iCs/>
          <w:lang w:eastAsia="en-US"/>
        </w:rPr>
        <w:t>euro</w:t>
      </w:r>
      <w:r w:rsidRPr="00307028">
        <w:rPr>
          <w:rFonts w:eastAsia="Calibri"/>
          <w:lang w:eastAsia="en-US"/>
        </w:rPr>
        <w:t xml:space="preserve"> apmērā 2026. gadam EKII projektu konkursa “Siltumnīcefekta gāzu emisijas samazināšana transporta sektorā – atbalsts bezemisiju un mazemisiju transportlīdzekļu iegādei” un “Siltumnīcefekta gāzu emisiju samazināšana valsts nozīmes aizsargājamos arhitektūras pieminekļos” īstenošanai;</w:t>
      </w:r>
    </w:p>
    <w:p w14:paraId="1A8A343E"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4302F2EF"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iemaksām Kioto elastīgo mehānismu darbībai;</w:t>
      </w:r>
    </w:p>
    <w:p w14:paraId="632E8E71"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4,7 milj. </w:t>
      </w:r>
      <w:r w:rsidRPr="00307028">
        <w:rPr>
          <w:rFonts w:eastAsia="Calibri"/>
          <w:i/>
          <w:iCs/>
          <w:lang w:eastAsia="en-US"/>
        </w:rPr>
        <w:t>euro</w:t>
      </w:r>
      <w:r w:rsidRPr="00307028">
        <w:rPr>
          <w:rFonts w:eastAsia="Calibri"/>
          <w:lang w:eastAsia="en-US"/>
        </w:rPr>
        <w:t xml:space="preserve"> apmērā 2026. gadam klimatneitralitātes mērķu sasniegšanas aktivitātēm;</w:t>
      </w:r>
    </w:p>
    <w:p w14:paraId="0C1B7A2B"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23,8 milj. </w:t>
      </w:r>
      <w:r w:rsidRPr="00307028">
        <w:rPr>
          <w:rFonts w:eastAsia="Calibri"/>
          <w:i/>
          <w:iCs/>
          <w:lang w:eastAsia="en-US"/>
        </w:rPr>
        <w:t>euro</w:t>
      </w:r>
      <w:r w:rsidRPr="00307028">
        <w:rPr>
          <w:rFonts w:eastAsia="Calibri"/>
          <w:lang w:eastAsia="en-US"/>
        </w:rPr>
        <w:t xml:space="preserve"> apmērā 2026. gadam obligātā iepirkuma komponentes samazināšanai u.c.;</w:t>
      </w:r>
    </w:p>
    <w:p w14:paraId="152A736E" w14:textId="77D62B54" w:rsidR="00502EF8" w:rsidRPr="00307028" w:rsidRDefault="00502EF8" w:rsidP="00070D5F">
      <w:pPr>
        <w:spacing w:after="120" w:line="259" w:lineRule="auto"/>
        <w:ind w:firstLine="709"/>
        <w:jc w:val="both"/>
        <w:rPr>
          <w:rFonts w:eastAsia="Times New Roman"/>
          <w:lang w:eastAsia="en-US"/>
        </w:rPr>
      </w:pPr>
      <w:r w:rsidRPr="00307028">
        <w:rPr>
          <w:rFonts w:eastAsia="Times New Roman"/>
          <w:b/>
          <w:lang w:eastAsia="en-US"/>
        </w:rPr>
        <w:t>Vides aizsardzības un reģionālās attīstības ministrijai</w:t>
      </w:r>
      <w:r w:rsidRPr="00307028">
        <w:rPr>
          <w:rFonts w:eastAsia="Times New Roman"/>
          <w:lang w:eastAsia="en-US"/>
        </w:rPr>
        <w:t xml:space="preserve"> palielināti izdevumi 0,1</w:t>
      </w:r>
      <w:r w:rsidR="003B6E4B">
        <w:rPr>
          <w:rFonts w:eastAsia="Times New Roman"/>
          <w:lang w:eastAsia="en-US"/>
        </w:rPr>
        <w:t> </w:t>
      </w:r>
      <w:r w:rsidRPr="00307028">
        <w:rPr>
          <w:rFonts w:eastAsia="Times New Roman"/>
          <w:lang w:eastAsia="en-US"/>
        </w:rPr>
        <w:t>milj.</w:t>
      </w:r>
      <w:r w:rsidR="003B6E4B">
        <w:rPr>
          <w:rFonts w:eastAsia="Times New Roman"/>
          <w:lang w:eastAsia="en-US"/>
        </w:rPr>
        <w:t> </w:t>
      </w:r>
      <w:r w:rsidRPr="00307028">
        <w:rPr>
          <w:rFonts w:eastAsia="Times New Roman"/>
          <w:i/>
          <w:lang w:eastAsia="en-US"/>
        </w:rPr>
        <w:t>euro</w:t>
      </w:r>
      <w:r w:rsidRPr="00307028">
        <w:rPr>
          <w:rFonts w:eastAsia="Times New Roman"/>
          <w:lang w:eastAsia="en-US"/>
        </w:rPr>
        <w:t xml:space="preserve"> apmērā 2024. un 2025. gadam ik gadu un samazināti izdevumi 0,2 milj. </w:t>
      </w:r>
      <w:r w:rsidRPr="00307028">
        <w:rPr>
          <w:rFonts w:eastAsia="Times New Roman"/>
          <w:i/>
          <w:lang w:eastAsia="en-US"/>
        </w:rPr>
        <w:t>euro</w:t>
      </w:r>
      <w:r w:rsidRPr="00307028">
        <w:rPr>
          <w:rFonts w:eastAsia="Times New Roman"/>
          <w:lang w:eastAsia="en-US"/>
        </w:rPr>
        <w:t xml:space="preserve"> apmērā 2026. gadam, tajā skaitā:</w:t>
      </w:r>
    </w:p>
    <w:p w14:paraId="189AF218"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0,1 milj. </w:t>
      </w:r>
      <w:r w:rsidRPr="00307028">
        <w:rPr>
          <w:rFonts w:eastAsia="Calibri"/>
          <w:i/>
          <w:lang w:eastAsia="en-US"/>
        </w:rPr>
        <w:t>euro</w:t>
      </w:r>
      <w:r w:rsidRPr="00307028">
        <w:rPr>
          <w:rFonts w:eastAsia="Calibri"/>
          <w:lang w:eastAsia="en-US"/>
        </w:rPr>
        <w:t xml:space="preserve"> apmērā 2024., 2025. un 2026. gadam ik gadu iemaksām starptautiskajās organizācijās;</w:t>
      </w:r>
    </w:p>
    <w:p w14:paraId="0B463FDD" w14:textId="595DB3DC"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0,03 milj. </w:t>
      </w:r>
      <w:r w:rsidRPr="00307028">
        <w:rPr>
          <w:rFonts w:eastAsia="Calibri"/>
          <w:i/>
          <w:iCs/>
          <w:lang w:eastAsia="en-US"/>
        </w:rPr>
        <w:t>euro</w:t>
      </w:r>
      <w:r w:rsidRPr="00307028">
        <w:rPr>
          <w:rFonts w:eastAsia="Calibri"/>
          <w:lang w:eastAsia="en-US"/>
        </w:rPr>
        <w:t xml:space="preserve"> apmērā 2024., 2025. un 2026. gadam ik gadu </w:t>
      </w:r>
      <w:r w:rsidR="00070D5F" w:rsidRPr="00307028">
        <w:rPr>
          <w:rFonts w:eastAsia="Calibri"/>
          <w:lang w:eastAsia="en-US"/>
        </w:rPr>
        <w:t>ST</w:t>
      </w:r>
      <w:r w:rsidRPr="00307028">
        <w:rPr>
          <w:rFonts w:eastAsia="Calibri"/>
          <w:lang w:eastAsia="en-US"/>
        </w:rPr>
        <w:t xml:space="preserve"> noteikto informācijas tehnoloģiju drošības pārvaldībai;</w:t>
      </w:r>
    </w:p>
    <w:p w14:paraId="210CBD28"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00C16008"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0,01 milj. </w:t>
      </w:r>
      <w:r w:rsidRPr="00307028">
        <w:rPr>
          <w:rFonts w:eastAsia="Calibri"/>
          <w:i/>
          <w:iCs/>
          <w:lang w:eastAsia="en-US"/>
        </w:rPr>
        <w:t>euro</w:t>
      </w:r>
      <w:r w:rsidRPr="00307028">
        <w:rPr>
          <w:rFonts w:eastAsia="Calibri"/>
          <w:lang w:eastAsia="en-US"/>
        </w:rPr>
        <w:t xml:space="preserve"> apmērā 2024., 2025. un 2026. gadam ik gadu, samazinot ieņēmumus no maksas pakalpojumiem un citu pašu ieņēmumiem, ņemot vērā noslēgtos telpu nomas līgumus un samazinājumu potenciāli iznomājamai telpu platībai;</w:t>
      </w:r>
    </w:p>
    <w:p w14:paraId="158DC4BD" w14:textId="3A3D7C0D"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0,4 milj. </w:t>
      </w:r>
      <w:r w:rsidRPr="00307028">
        <w:rPr>
          <w:rFonts w:eastAsia="Calibri"/>
          <w:i/>
          <w:iCs/>
          <w:lang w:eastAsia="en-US"/>
        </w:rPr>
        <w:t>euro</w:t>
      </w:r>
      <w:r w:rsidRPr="00307028">
        <w:rPr>
          <w:rFonts w:eastAsia="Calibri"/>
          <w:lang w:eastAsia="en-US"/>
        </w:rPr>
        <w:t xml:space="preserve"> apmērā 2026. gadam Klimata un enerģētikas ministrijas transfertam saskaņā ar 2022.</w:t>
      </w:r>
      <w:r w:rsidR="00070D5F" w:rsidRPr="00307028">
        <w:rPr>
          <w:rFonts w:eastAsia="Calibri"/>
          <w:lang w:eastAsia="en-US"/>
        </w:rPr>
        <w:t xml:space="preserve"> gada 23. decembra</w:t>
      </w:r>
      <w:r w:rsidRPr="00307028">
        <w:rPr>
          <w:rFonts w:eastAsia="Calibri"/>
          <w:lang w:eastAsia="en-US"/>
        </w:rPr>
        <w:t xml:space="preserve"> MK rīkojuma Nr.</w:t>
      </w:r>
      <w:r w:rsidR="00D60695" w:rsidRPr="00307028">
        <w:rPr>
          <w:rFonts w:eastAsia="Calibri"/>
          <w:lang w:eastAsia="en-US"/>
        </w:rPr>
        <w:t xml:space="preserve"> </w:t>
      </w:r>
      <w:r w:rsidRPr="00307028">
        <w:rPr>
          <w:rFonts w:eastAsia="Calibri"/>
          <w:lang w:eastAsia="en-US"/>
        </w:rPr>
        <w:t>968 “Par Ekonomikas ministrijas un Vides aizsardzības un reģionālās attīstības ministrijas reorganizāciju un Klimata un enerģētikas ministrijas izveidošanu” u.c.;</w:t>
      </w:r>
    </w:p>
    <w:p w14:paraId="7AC1321E" w14:textId="1ED9FD13" w:rsidR="00502EF8" w:rsidRPr="00307028" w:rsidRDefault="00502EF8" w:rsidP="00070D5F">
      <w:pPr>
        <w:spacing w:after="120" w:line="259" w:lineRule="auto"/>
        <w:ind w:firstLine="709"/>
        <w:jc w:val="both"/>
        <w:rPr>
          <w:rFonts w:eastAsia="Times New Roman"/>
          <w:lang w:eastAsia="en-US"/>
        </w:rPr>
      </w:pPr>
      <w:r w:rsidRPr="00307028">
        <w:rPr>
          <w:rFonts w:eastAsia="Times New Roman"/>
          <w:b/>
          <w:lang w:eastAsia="en-US"/>
        </w:rPr>
        <w:t>Kultūras ministrijai</w:t>
      </w:r>
      <w:r w:rsidRPr="00307028">
        <w:rPr>
          <w:rFonts w:eastAsia="Times New Roman"/>
          <w:lang w:eastAsia="en-US"/>
        </w:rPr>
        <w:t xml:space="preserve"> palielināti izdevumi 5,6 milj. </w:t>
      </w:r>
      <w:r w:rsidRPr="00307028">
        <w:rPr>
          <w:rFonts w:eastAsia="Times New Roman"/>
          <w:i/>
          <w:lang w:eastAsia="en-US"/>
        </w:rPr>
        <w:t>euro</w:t>
      </w:r>
      <w:r w:rsidRPr="00307028">
        <w:rPr>
          <w:rFonts w:eastAsia="Times New Roman"/>
          <w:lang w:eastAsia="en-US"/>
        </w:rPr>
        <w:t xml:space="preserve"> apmērā 2024. gadam, 4,6</w:t>
      </w:r>
      <w:r w:rsidR="00A951C9" w:rsidRPr="00307028">
        <w:rPr>
          <w:rFonts w:eastAsia="Times New Roman"/>
          <w:lang w:eastAsia="en-US"/>
        </w:rPr>
        <w:t> </w:t>
      </w:r>
      <w:r w:rsidRPr="00307028">
        <w:rPr>
          <w:rFonts w:eastAsia="Times New Roman"/>
          <w:lang w:eastAsia="en-US"/>
        </w:rPr>
        <w:t>milj.</w:t>
      </w:r>
      <w:r w:rsidR="00A951C9" w:rsidRPr="00307028">
        <w:rPr>
          <w:rFonts w:eastAsia="Times New Roman"/>
          <w:lang w:eastAsia="en-US"/>
        </w:rPr>
        <w:t> </w:t>
      </w:r>
      <w:r w:rsidRPr="00307028">
        <w:rPr>
          <w:rFonts w:eastAsia="Times New Roman"/>
          <w:i/>
          <w:lang w:eastAsia="en-US"/>
        </w:rPr>
        <w:t xml:space="preserve">euro </w:t>
      </w:r>
      <w:r w:rsidRPr="00307028">
        <w:rPr>
          <w:rFonts w:eastAsia="Times New Roman"/>
          <w:lang w:eastAsia="en-US"/>
        </w:rPr>
        <w:t>apmērā 2025.</w:t>
      </w:r>
      <w:r w:rsidR="00A951C9" w:rsidRPr="00307028">
        <w:rPr>
          <w:rFonts w:eastAsia="Times New Roman"/>
          <w:lang w:eastAsia="en-US"/>
        </w:rPr>
        <w:t xml:space="preserve"> </w:t>
      </w:r>
      <w:r w:rsidRPr="00307028">
        <w:rPr>
          <w:rFonts w:eastAsia="Times New Roman"/>
          <w:lang w:eastAsia="en-US"/>
        </w:rPr>
        <w:t xml:space="preserve">gadam un 4,5 milj. </w:t>
      </w:r>
      <w:r w:rsidRPr="00307028">
        <w:rPr>
          <w:rFonts w:eastAsia="Times New Roman"/>
          <w:i/>
          <w:lang w:eastAsia="en-US"/>
        </w:rPr>
        <w:t>euro</w:t>
      </w:r>
      <w:r w:rsidRPr="00307028">
        <w:rPr>
          <w:rFonts w:eastAsia="Times New Roman"/>
          <w:lang w:eastAsia="en-US"/>
        </w:rPr>
        <w:t xml:space="preserve"> apmērā 2026. gadam, tajā skaitā:</w:t>
      </w:r>
    </w:p>
    <w:p w14:paraId="60AC9BB9"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4,5 milj. </w:t>
      </w:r>
      <w:r w:rsidRPr="00307028">
        <w:rPr>
          <w:rFonts w:eastAsia="Calibri"/>
          <w:i/>
          <w:lang w:eastAsia="en-US"/>
        </w:rPr>
        <w:t>euro</w:t>
      </w:r>
      <w:r w:rsidRPr="00307028">
        <w:rPr>
          <w:rFonts w:eastAsia="Calibri"/>
          <w:lang w:eastAsia="en-US"/>
        </w:rPr>
        <w:t xml:space="preserve"> apmērā 2024., 2025. un 2026. gadam ik gadu pedagogu zemākās darba samaksas likmes pieaugumam;</w:t>
      </w:r>
    </w:p>
    <w:p w14:paraId="58DF0350"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0,9 milj. </w:t>
      </w:r>
      <w:r w:rsidRPr="00307028">
        <w:rPr>
          <w:rFonts w:eastAsia="Calibri"/>
          <w:i/>
          <w:iCs/>
          <w:lang w:eastAsia="en-US"/>
        </w:rPr>
        <w:t>euro</w:t>
      </w:r>
      <w:r w:rsidRPr="00307028">
        <w:rPr>
          <w:rFonts w:eastAsia="Calibri"/>
          <w:lang w:eastAsia="en-US"/>
        </w:rPr>
        <w:t xml:space="preserve"> apmērā 2024. gadam divu filmu projektu īstenošanai;</w:t>
      </w:r>
    </w:p>
    <w:p w14:paraId="7E8EFE9B"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w:t>
      </w:r>
    </w:p>
    <w:p w14:paraId="4ECA8BC0"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0,01 milj. </w:t>
      </w:r>
      <w:r w:rsidRPr="00307028">
        <w:rPr>
          <w:rFonts w:eastAsia="Calibri"/>
          <w:i/>
          <w:iCs/>
          <w:lang w:eastAsia="en-US"/>
        </w:rPr>
        <w:t>euro</w:t>
      </w:r>
      <w:r w:rsidRPr="00307028">
        <w:rPr>
          <w:rFonts w:eastAsia="Calibri"/>
          <w:lang w:eastAsia="en-US"/>
        </w:rPr>
        <w:t xml:space="preserve"> apmērā 2024. un 2025. gadam ik gadu un palielināti izdevumi 0,3 milj. </w:t>
      </w:r>
      <w:r w:rsidRPr="00307028">
        <w:rPr>
          <w:rFonts w:eastAsia="Calibri"/>
          <w:i/>
          <w:iCs/>
          <w:lang w:eastAsia="en-US"/>
        </w:rPr>
        <w:t>euro</w:t>
      </w:r>
      <w:r w:rsidRPr="00307028">
        <w:rPr>
          <w:rFonts w:eastAsia="Calibri"/>
          <w:lang w:eastAsia="en-US"/>
        </w:rPr>
        <w:t xml:space="preserve"> apmērā 2026. gadam Valsts kultūrkapitāla fonda likuma normu īstenošanai;</w:t>
      </w:r>
    </w:p>
    <w:p w14:paraId="4B601FF0" w14:textId="6CB47A51"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0,1 milj. </w:t>
      </w:r>
      <w:r w:rsidRPr="00307028">
        <w:rPr>
          <w:rFonts w:eastAsia="Calibri"/>
          <w:i/>
          <w:iCs/>
          <w:lang w:eastAsia="en-US"/>
        </w:rPr>
        <w:t>euro</w:t>
      </w:r>
      <w:r w:rsidRPr="00307028">
        <w:rPr>
          <w:rFonts w:eastAsia="Calibri"/>
          <w:lang w:eastAsia="en-US"/>
        </w:rPr>
        <w:t xml:space="preserve"> apmērā 2026. gadam, samazinot </w:t>
      </w:r>
      <w:r w:rsidR="00D60695" w:rsidRPr="00307028">
        <w:rPr>
          <w:rFonts w:eastAsia="Calibri"/>
          <w:lang w:eastAsia="en-US"/>
        </w:rPr>
        <w:t>TM</w:t>
      </w:r>
      <w:r w:rsidRPr="00307028">
        <w:rPr>
          <w:rFonts w:eastAsia="Calibri"/>
          <w:lang w:eastAsia="en-US"/>
        </w:rPr>
        <w:t xml:space="preserve"> transfertu, lai </w:t>
      </w:r>
      <w:r w:rsidR="00D60695" w:rsidRPr="00307028">
        <w:rPr>
          <w:rFonts w:eastAsia="Calibri"/>
          <w:lang w:eastAsia="en-US"/>
        </w:rPr>
        <w:t xml:space="preserve">LNA </w:t>
      </w:r>
      <w:r w:rsidRPr="00307028">
        <w:rPr>
          <w:rFonts w:eastAsia="Calibri"/>
          <w:lang w:eastAsia="en-US"/>
        </w:rPr>
        <w:t>varētu nodrošināt maksātnespējas procesu administratoru nodoto juridisko personu maksātnespējas lietu glabāšanu;</w:t>
      </w:r>
    </w:p>
    <w:p w14:paraId="41B61633" w14:textId="77777777" w:rsidR="00502EF8" w:rsidRPr="00307028" w:rsidRDefault="00502EF8" w:rsidP="00070D5F">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0,2 milj. </w:t>
      </w:r>
      <w:r w:rsidRPr="00307028">
        <w:rPr>
          <w:rFonts w:eastAsia="Calibri"/>
          <w:i/>
          <w:iCs/>
          <w:lang w:eastAsia="en-US"/>
        </w:rPr>
        <w:t>euro</w:t>
      </w:r>
      <w:r w:rsidRPr="00307028">
        <w:rPr>
          <w:rFonts w:eastAsia="Calibri"/>
          <w:lang w:eastAsia="en-US"/>
        </w:rPr>
        <w:t xml:space="preserve"> apmērā 2026. gadam Latvijas Nacionālā vēstures muzeja ēkas Rīgā, Brīvības bulvārī 32, nomas maksai u.c.; </w:t>
      </w:r>
    </w:p>
    <w:p w14:paraId="017E7E78" w14:textId="733C409C" w:rsidR="00502EF8" w:rsidRPr="00307028" w:rsidRDefault="00502EF8" w:rsidP="00070D5F">
      <w:pPr>
        <w:spacing w:after="120" w:line="259" w:lineRule="auto"/>
        <w:ind w:firstLine="709"/>
        <w:jc w:val="both"/>
        <w:rPr>
          <w:rFonts w:eastAsia="Times New Roman"/>
          <w:lang w:eastAsia="en-US"/>
        </w:rPr>
      </w:pPr>
      <w:r w:rsidRPr="00307028">
        <w:rPr>
          <w:rFonts w:eastAsia="Times New Roman"/>
          <w:b/>
          <w:lang w:eastAsia="en-US"/>
        </w:rPr>
        <w:lastRenderedPageBreak/>
        <w:t xml:space="preserve">Valsts kontrolei </w:t>
      </w:r>
      <w:r w:rsidRPr="00307028">
        <w:rPr>
          <w:rFonts w:eastAsia="Times New Roman"/>
          <w:lang w:eastAsia="en-US"/>
        </w:rPr>
        <w:t xml:space="preserve">palielināti izdevumi 0,04 milj. </w:t>
      </w:r>
      <w:r w:rsidRPr="00307028">
        <w:rPr>
          <w:rFonts w:eastAsia="Times New Roman"/>
          <w:i/>
          <w:lang w:eastAsia="en-US"/>
        </w:rPr>
        <w:t>euro</w:t>
      </w:r>
      <w:r w:rsidRPr="00307028">
        <w:rPr>
          <w:rFonts w:eastAsia="Times New Roman"/>
          <w:lang w:eastAsia="en-US"/>
        </w:rPr>
        <w:t xml:space="preserve"> apmērā 2024., 2025. un 2026.</w:t>
      </w:r>
      <w:r w:rsidR="00233326">
        <w:rPr>
          <w:rFonts w:eastAsia="Times New Roman"/>
          <w:lang w:eastAsia="en-US"/>
        </w:rPr>
        <w:t> </w:t>
      </w:r>
      <w:r w:rsidRPr="00307028">
        <w:rPr>
          <w:rFonts w:eastAsia="Times New Roman"/>
          <w:lang w:eastAsia="en-US"/>
        </w:rPr>
        <w:t xml:space="preserve">gadam ik gadu Valsts kontroliera un </w:t>
      </w:r>
      <w:r w:rsidR="00D60695" w:rsidRPr="00307028">
        <w:rPr>
          <w:rFonts w:eastAsia="Times New Roman"/>
          <w:lang w:eastAsia="en-US"/>
        </w:rPr>
        <w:t>VKo</w:t>
      </w:r>
      <w:r w:rsidRPr="00307028">
        <w:rPr>
          <w:rFonts w:eastAsia="Times New Roman"/>
          <w:lang w:eastAsia="en-US"/>
        </w:rPr>
        <w:t xml:space="preserve"> padomes locekļu atlīdzības pieauguma nodrošināšanai atbilstoši Valsts un pašvaldību institūciju amatpersonu un darbinieku atlīdzības likuma 6. panta noteiktajam;</w:t>
      </w:r>
    </w:p>
    <w:p w14:paraId="6CC67032" w14:textId="125ECCB2" w:rsidR="00502EF8" w:rsidRPr="00307028" w:rsidRDefault="00502EF8" w:rsidP="00D60695">
      <w:pPr>
        <w:spacing w:after="120" w:line="259" w:lineRule="auto"/>
        <w:ind w:firstLine="709"/>
        <w:jc w:val="both"/>
        <w:rPr>
          <w:rFonts w:eastAsia="Times New Roman"/>
          <w:lang w:eastAsia="en-US"/>
        </w:rPr>
      </w:pPr>
      <w:r w:rsidRPr="00307028">
        <w:rPr>
          <w:rFonts w:eastAsia="Times New Roman"/>
          <w:b/>
          <w:lang w:eastAsia="en-US"/>
        </w:rPr>
        <w:t>Augstākajai tiesai</w:t>
      </w:r>
      <w:r w:rsidRPr="00307028">
        <w:rPr>
          <w:rFonts w:eastAsia="Times New Roman"/>
          <w:lang w:eastAsia="en-US"/>
        </w:rPr>
        <w:t xml:space="preserve"> palielināti izdevumi 0,2 milj. </w:t>
      </w:r>
      <w:r w:rsidRPr="00307028">
        <w:rPr>
          <w:rFonts w:eastAsia="Times New Roman"/>
          <w:i/>
          <w:lang w:eastAsia="en-US"/>
        </w:rPr>
        <w:t>euro</w:t>
      </w:r>
      <w:r w:rsidRPr="00307028">
        <w:rPr>
          <w:rFonts w:eastAsia="Times New Roman"/>
          <w:lang w:eastAsia="en-US"/>
        </w:rPr>
        <w:t xml:space="preserve"> apmērā 2024., 2025. un 2026.</w:t>
      </w:r>
      <w:r w:rsidR="00233326">
        <w:rPr>
          <w:rFonts w:eastAsia="Times New Roman"/>
          <w:lang w:eastAsia="en-US"/>
        </w:rPr>
        <w:t> </w:t>
      </w:r>
      <w:r w:rsidRPr="00307028">
        <w:rPr>
          <w:rFonts w:eastAsia="Times New Roman"/>
          <w:lang w:eastAsia="en-US"/>
        </w:rPr>
        <w:t>gadam ik gadu, lai nodrošinātu tiesnešu atalgojuma palielināšanu atbilstoši Valsts un pašvaldību institūciju amatpersonu un darbinieku atlīdzības likuma 6.</w:t>
      </w:r>
      <w:r w:rsidRPr="00307028">
        <w:rPr>
          <w:rFonts w:eastAsia="Times New Roman"/>
          <w:vertAlign w:val="superscript"/>
          <w:lang w:eastAsia="en-US"/>
        </w:rPr>
        <w:t>1</w:t>
      </w:r>
      <w:r w:rsidRPr="00307028">
        <w:rPr>
          <w:rFonts w:eastAsia="Times New Roman"/>
          <w:lang w:eastAsia="en-US"/>
        </w:rPr>
        <w:t xml:space="preserve"> pantam un pamatojoties uz </w:t>
      </w:r>
      <w:r w:rsidR="00D60695" w:rsidRPr="00307028">
        <w:rPr>
          <w:rFonts w:eastAsia="Times New Roman"/>
          <w:lang w:eastAsia="en-US"/>
        </w:rPr>
        <w:t>VK</w:t>
      </w:r>
      <w:r w:rsidRPr="00307028">
        <w:rPr>
          <w:rFonts w:eastAsia="Times New Roman"/>
          <w:lang w:eastAsia="en-US"/>
        </w:rPr>
        <w:t xml:space="preserve"> publiskoto informāciju par vēlēto amatpersonu un Saeimas iecelto amatpersonu mēnešalgas apmēru;</w:t>
      </w:r>
    </w:p>
    <w:p w14:paraId="13CB2D9F" w14:textId="5C4FC554" w:rsidR="00502EF8" w:rsidRPr="00307028" w:rsidRDefault="00502EF8" w:rsidP="00D60695">
      <w:pPr>
        <w:spacing w:after="120" w:line="259" w:lineRule="auto"/>
        <w:ind w:firstLine="709"/>
        <w:jc w:val="both"/>
        <w:rPr>
          <w:rFonts w:eastAsia="Times New Roman"/>
          <w:lang w:eastAsia="en-US"/>
        </w:rPr>
      </w:pPr>
      <w:r w:rsidRPr="00307028">
        <w:rPr>
          <w:rFonts w:eastAsia="Times New Roman"/>
          <w:b/>
          <w:lang w:eastAsia="en-US"/>
        </w:rPr>
        <w:t>Veselības ministrijai</w:t>
      </w:r>
      <w:r w:rsidRPr="00307028">
        <w:rPr>
          <w:rFonts w:eastAsia="Times New Roman"/>
          <w:lang w:eastAsia="en-US"/>
        </w:rPr>
        <w:t xml:space="preserve"> palielināti izdevumi 8,1 milj. </w:t>
      </w:r>
      <w:r w:rsidRPr="00307028">
        <w:rPr>
          <w:rFonts w:eastAsia="Times New Roman"/>
          <w:i/>
          <w:lang w:eastAsia="en-US"/>
        </w:rPr>
        <w:t>euro</w:t>
      </w:r>
      <w:r w:rsidRPr="00307028">
        <w:rPr>
          <w:rFonts w:eastAsia="Times New Roman"/>
          <w:lang w:eastAsia="en-US"/>
        </w:rPr>
        <w:t xml:space="preserve"> apmērā 2024. gadam, 0,7</w:t>
      </w:r>
      <w:r w:rsidR="00680513" w:rsidRPr="00307028">
        <w:rPr>
          <w:rFonts w:eastAsia="Times New Roman"/>
          <w:lang w:eastAsia="en-US"/>
        </w:rPr>
        <w:t> </w:t>
      </w:r>
      <w:r w:rsidRPr="00307028">
        <w:rPr>
          <w:rFonts w:eastAsia="Times New Roman"/>
          <w:lang w:eastAsia="en-US"/>
        </w:rPr>
        <w:t>milj.</w:t>
      </w:r>
      <w:r w:rsidR="00680513" w:rsidRPr="00307028">
        <w:rPr>
          <w:rFonts w:eastAsia="Times New Roman"/>
          <w:lang w:eastAsia="en-US"/>
        </w:rPr>
        <w:t> </w:t>
      </w:r>
      <w:r w:rsidRPr="00307028">
        <w:rPr>
          <w:rFonts w:eastAsia="Times New Roman"/>
          <w:i/>
          <w:lang w:eastAsia="en-US"/>
        </w:rPr>
        <w:t>euro</w:t>
      </w:r>
      <w:r w:rsidRPr="00307028">
        <w:rPr>
          <w:rFonts w:eastAsia="Times New Roman"/>
          <w:lang w:eastAsia="en-US"/>
        </w:rPr>
        <w:t xml:space="preserve"> apmērā 2025. un 2026. gadam ik gadu, tajā skaitā:</w:t>
      </w:r>
    </w:p>
    <w:p w14:paraId="74A1EAB9" w14:textId="77777777"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7,0 milj. </w:t>
      </w:r>
      <w:r w:rsidRPr="00307028">
        <w:rPr>
          <w:rFonts w:eastAsia="Calibri"/>
          <w:i/>
          <w:lang w:eastAsia="en-US"/>
        </w:rPr>
        <w:t>euro</w:t>
      </w:r>
      <w:r w:rsidRPr="00307028">
        <w:rPr>
          <w:rFonts w:eastAsia="Calibri"/>
          <w:lang w:eastAsia="en-US"/>
        </w:rPr>
        <w:t xml:space="preserve"> apmērā 2024. gadam atbilstoši NVD noslēgtajiem līgumiem par zāļu ražotāju līdzdalības maksājumiem kompensējamo zāļu sistēmas ietvaros;</w:t>
      </w:r>
    </w:p>
    <w:p w14:paraId="02B6C3BB" w14:textId="4EF02CA8"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iCs/>
          <w:lang w:eastAsia="en-US"/>
        </w:rPr>
        <w:t>euro</w:t>
      </w:r>
      <w:r w:rsidRPr="00307028">
        <w:rPr>
          <w:rFonts w:eastAsia="Calibri"/>
          <w:lang w:eastAsia="en-US"/>
        </w:rPr>
        <w:t xml:space="preserve"> apmērā 2024., 2025. un 2026. gadam ik gadu, lai 2023.</w:t>
      </w:r>
      <w:r w:rsidR="0055158C" w:rsidRPr="00307028">
        <w:rPr>
          <w:rFonts w:eastAsia="Times New Roman"/>
          <w:b/>
          <w:bCs/>
          <w:lang w:eastAsia="en-US"/>
        </w:rPr>
        <w:t xml:space="preserve"> – </w:t>
      </w:r>
      <w:r w:rsidRPr="00307028">
        <w:rPr>
          <w:rFonts w:eastAsia="Calibri"/>
          <w:lang w:eastAsia="en-US"/>
        </w:rPr>
        <w:t xml:space="preserve">2025. gada starpnozaru </w:t>
      </w:r>
      <w:r w:rsidR="00D60695" w:rsidRPr="00307028">
        <w:rPr>
          <w:rFonts w:eastAsia="Calibri"/>
          <w:lang w:eastAsia="en-US"/>
        </w:rPr>
        <w:t>PP</w:t>
      </w:r>
      <w:r w:rsidRPr="00307028">
        <w:rPr>
          <w:rFonts w:eastAsia="Calibri"/>
          <w:lang w:eastAsia="en-US"/>
        </w:rPr>
        <w:t xml:space="preserve"> “Nodrošināt vispārējās aprūpes māsas profesijas ieviešanu, tai skaitā veicinot māsu nodarbinātību profesijā” ietvaros </w:t>
      </w:r>
      <w:r w:rsidR="00497067" w:rsidRPr="00307028">
        <w:rPr>
          <w:rFonts w:eastAsia="Calibri"/>
          <w:lang w:eastAsia="en-US"/>
        </w:rPr>
        <w:t>RSU</w:t>
      </w:r>
      <w:r w:rsidRPr="00307028">
        <w:rPr>
          <w:rFonts w:eastAsia="Calibri"/>
          <w:lang w:eastAsia="en-US"/>
        </w:rPr>
        <w:t xml:space="preserve"> nodrošinātu 87 studiju vietas programmā “Māszinības”;</w:t>
      </w:r>
    </w:p>
    <w:p w14:paraId="387F8E9D" w14:textId="77777777"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iCs/>
          <w:lang w:eastAsia="en-US"/>
        </w:rPr>
        <w:t>euro</w:t>
      </w:r>
      <w:r w:rsidRPr="00307028">
        <w:rPr>
          <w:rFonts w:eastAsia="Calibri"/>
          <w:lang w:eastAsia="en-US"/>
        </w:rPr>
        <w:t xml:space="preserve"> apmērā 2024. gadam atlīdzību izmaksām no Ārstniecības riska fonda par pacienta dzīvībai vai veselībai nodarīto kaitējumu;</w:t>
      </w:r>
    </w:p>
    <w:p w14:paraId="108EE0ED" w14:textId="59DF80B6" w:rsidR="00502EF8" w:rsidRPr="00307028" w:rsidRDefault="00D60695"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p</w:t>
      </w:r>
      <w:r w:rsidR="00502EF8" w:rsidRPr="00307028">
        <w:rPr>
          <w:rFonts w:eastAsia="Calibri"/>
          <w:lang w:eastAsia="en-US"/>
        </w:rPr>
        <w:t xml:space="preserve">alielināti izdevumi 0,1 milj. </w:t>
      </w:r>
      <w:r w:rsidR="00502EF8" w:rsidRPr="00307028">
        <w:rPr>
          <w:rFonts w:eastAsia="Calibri"/>
          <w:i/>
          <w:iCs/>
          <w:lang w:eastAsia="en-US"/>
        </w:rPr>
        <w:t>euro</w:t>
      </w:r>
      <w:r w:rsidR="00502EF8" w:rsidRPr="00307028">
        <w:rPr>
          <w:rFonts w:eastAsia="Calibri"/>
          <w:lang w:eastAsia="en-US"/>
        </w:rPr>
        <w:t xml:space="preserve"> apmērā 2024., 2025. un 2026. gadam ik gadu, lai nodrošinātu </w:t>
      </w:r>
      <w:r w:rsidRPr="00307028">
        <w:rPr>
          <w:rFonts w:eastAsia="Calibri"/>
          <w:lang w:eastAsia="en-US"/>
        </w:rPr>
        <w:t xml:space="preserve">NMPD </w:t>
      </w:r>
      <w:r w:rsidR="00502EF8" w:rsidRPr="00307028">
        <w:rPr>
          <w:rFonts w:eastAsia="Calibri"/>
          <w:lang w:eastAsia="en-US"/>
        </w:rPr>
        <w:t>realizētā projekta “Vienotās neatliekamās medicīniskās palīdzības un katastrofu medicīnas vadības informācijas sistēmas attīstība (1.</w:t>
      </w:r>
      <w:r w:rsidR="00233326">
        <w:rPr>
          <w:rFonts w:eastAsia="Calibri"/>
          <w:lang w:eastAsia="en-US"/>
        </w:rPr>
        <w:t> </w:t>
      </w:r>
      <w:r w:rsidR="00502EF8" w:rsidRPr="00307028">
        <w:rPr>
          <w:rFonts w:eastAsia="Calibri"/>
          <w:lang w:eastAsia="en-US"/>
        </w:rPr>
        <w:t>kārta)” uzturēšanu;</w:t>
      </w:r>
    </w:p>
    <w:p w14:paraId="54579DF1" w14:textId="67670F96" w:rsidR="00502EF8" w:rsidRPr="00307028" w:rsidRDefault="00D60695"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p</w:t>
      </w:r>
      <w:r w:rsidR="00502EF8" w:rsidRPr="00307028">
        <w:rPr>
          <w:rFonts w:eastAsia="Calibri"/>
          <w:lang w:eastAsia="en-US"/>
        </w:rPr>
        <w:t xml:space="preserve">alielināti izdevumi 0,06 milj. </w:t>
      </w:r>
      <w:r w:rsidR="00502EF8" w:rsidRPr="00307028">
        <w:rPr>
          <w:rFonts w:eastAsia="Calibri"/>
          <w:i/>
          <w:iCs/>
          <w:lang w:eastAsia="en-US"/>
        </w:rPr>
        <w:t>euro</w:t>
      </w:r>
      <w:r w:rsidR="00502EF8" w:rsidRPr="00307028">
        <w:rPr>
          <w:rFonts w:eastAsia="Calibri"/>
          <w:lang w:eastAsia="en-US"/>
        </w:rPr>
        <w:t xml:space="preserve"> apmērā 2024., 2025. un 2026. gadam ik gadu </w:t>
      </w:r>
      <w:r w:rsidRPr="00307028">
        <w:rPr>
          <w:rFonts w:eastAsia="Calibri"/>
          <w:lang w:eastAsia="en-US"/>
        </w:rPr>
        <w:t>PP</w:t>
      </w:r>
      <w:r w:rsidR="00502EF8" w:rsidRPr="00307028">
        <w:rPr>
          <w:rFonts w:eastAsia="Calibri"/>
          <w:lang w:eastAsia="en-US"/>
        </w:rPr>
        <w:t xml:space="preserve"> “Kapitālieguldījumi un investīcijas</w:t>
      </w:r>
      <w:r w:rsidRPr="00307028">
        <w:rPr>
          <w:rFonts w:eastAsia="Calibri"/>
          <w:lang w:eastAsia="en-US"/>
        </w:rPr>
        <w:t xml:space="preserve"> </w:t>
      </w:r>
      <w:r w:rsidR="00502EF8" w:rsidRPr="00307028">
        <w:rPr>
          <w:rFonts w:eastAsia="Calibri"/>
          <w:lang w:eastAsia="en-US"/>
        </w:rPr>
        <w:t xml:space="preserve">Veselības ministrijas padotības iestādēs un BKUS investīcijas” ietvaros nodrošinātu </w:t>
      </w:r>
      <w:r w:rsidRPr="00307028">
        <w:rPr>
          <w:rFonts w:eastAsia="Calibri"/>
          <w:lang w:eastAsia="en-US"/>
        </w:rPr>
        <w:t>NMPD</w:t>
      </w:r>
      <w:r w:rsidR="00502EF8" w:rsidRPr="00307028">
        <w:rPr>
          <w:rFonts w:eastAsia="Calibri"/>
          <w:lang w:eastAsia="en-US"/>
        </w:rPr>
        <w:t xml:space="preserve"> iegādāto 14 dekontaminācijas vagoniņu uzturēšanu;</w:t>
      </w:r>
    </w:p>
    <w:p w14:paraId="40530915" w14:textId="721DADD1" w:rsidR="00502EF8" w:rsidRPr="00307028" w:rsidRDefault="00C037F5"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p</w:t>
      </w:r>
      <w:r w:rsidR="00502EF8" w:rsidRPr="00307028">
        <w:rPr>
          <w:rFonts w:eastAsia="Calibri"/>
          <w:lang w:eastAsia="en-US"/>
        </w:rPr>
        <w:t xml:space="preserve">alielināti izdevumi 0,02 milj. </w:t>
      </w:r>
      <w:r w:rsidR="00502EF8" w:rsidRPr="00307028">
        <w:rPr>
          <w:rFonts w:eastAsia="Calibri"/>
          <w:i/>
          <w:iCs/>
          <w:lang w:eastAsia="en-US"/>
        </w:rPr>
        <w:t>euro</w:t>
      </w:r>
      <w:r w:rsidR="00502EF8" w:rsidRPr="00307028">
        <w:rPr>
          <w:rFonts w:eastAsia="Calibri"/>
          <w:lang w:eastAsia="en-US"/>
        </w:rPr>
        <w:t xml:space="preserve"> apmērā 2024., 2025. un 2026. gadam ik gadu, lai nodrošinātu Valsts tiesu medicīnas ekspertīzes centra realizētā projekta “Tiesu medicīnas ekspertīzes un izpētes procesu optimizācija un attīstība” uzturēšanu;</w:t>
      </w:r>
    </w:p>
    <w:p w14:paraId="4C903EFF" w14:textId="77777777"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iCs/>
          <w:lang w:eastAsia="en-US"/>
        </w:rPr>
        <w:t>euro</w:t>
      </w:r>
      <w:r w:rsidRPr="00307028">
        <w:rPr>
          <w:rFonts w:eastAsia="Calibri"/>
          <w:lang w:eastAsia="en-US"/>
        </w:rPr>
        <w:t xml:space="preserve"> apmērā 2024., 2025. un 2026. gadam ik gadu parlamentārā sekretāra atlīdzības pieauguma nodrošināšanai atbilstoši Valsts un pašvaldību institūciju amatpersonu un darbinieku atlīdzības likuma 6. pantā noteiktajam u.c.;</w:t>
      </w:r>
    </w:p>
    <w:p w14:paraId="54CDAAB5" w14:textId="7E96D477" w:rsidR="00502EF8" w:rsidRPr="00307028" w:rsidRDefault="00502EF8" w:rsidP="00D60695">
      <w:pPr>
        <w:tabs>
          <w:tab w:val="left" w:pos="993"/>
        </w:tabs>
        <w:spacing w:after="120" w:line="259" w:lineRule="auto"/>
        <w:ind w:firstLine="709"/>
        <w:jc w:val="both"/>
        <w:rPr>
          <w:rFonts w:eastAsia="Calibri"/>
          <w:lang w:eastAsia="en-US"/>
        </w:rPr>
      </w:pPr>
      <w:r w:rsidRPr="00307028">
        <w:rPr>
          <w:rFonts w:eastAsia="Calibri"/>
          <w:b/>
          <w:lang w:eastAsia="en-US"/>
        </w:rPr>
        <w:t>Satversmes tiesai</w:t>
      </w:r>
      <w:r w:rsidRPr="00307028">
        <w:rPr>
          <w:rFonts w:eastAsia="Calibri"/>
          <w:lang w:eastAsia="en-US"/>
        </w:rPr>
        <w:t xml:space="preserve"> palielināti izdevumi 0,04 milj. </w:t>
      </w:r>
      <w:r w:rsidRPr="00307028">
        <w:rPr>
          <w:rFonts w:eastAsia="Calibri"/>
          <w:i/>
          <w:lang w:eastAsia="en-US"/>
        </w:rPr>
        <w:t>euro</w:t>
      </w:r>
      <w:r w:rsidRPr="00307028">
        <w:rPr>
          <w:rFonts w:eastAsia="Calibri"/>
          <w:lang w:eastAsia="en-US"/>
        </w:rPr>
        <w:t xml:space="preserve"> apmērā 2024., 2025. un 2026.</w:t>
      </w:r>
      <w:r w:rsidR="00233326">
        <w:rPr>
          <w:rFonts w:eastAsia="Calibri"/>
          <w:lang w:eastAsia="en-US"/>
        </w:rPr>
        <w:t> </w:t>
      </w:r>
      <w:r w:rsidRPr="00307028">
        <w:rPr>
          <w:rFonts w:eastAsia="Calibri"/>
          <w:lang w:eastAsia="en-US"/>
        </w:rPr>
        <w:t>gadam ik gadu, tajā skaitā:</w:t>
      </w:r>
    </w:p>
    <w:p w14:paraId="711AB512" w14:textId="37A9D7B0"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0,04 milj. </w:t>
      </w:r>
      <w:r w:rsidRPr="00307028">
        <w:rPr>
          <w:rFonts w:eastAsia="Calibri"/>
          <w:i/>
          <w:lang w:eastAsia="en-US"/>
        </w:rPr>
        <w:t>euro</w:t>
      </w:r>
      <w:r w:rsidRPr="00307028">
        <w:rPr>
          <w:rFonts w:eastAsia="Calibri"/>
          <w:lang w:eastAsia="en-US"/>
        </w:rPr>
        <w:t xml:space="preserve"> apmērā 2024., 2025. un 2026. gadam ik gadu, lai nodrošinātu tiesnešu atalgojuma palielināšanu atbilstoši Valsts un pašvaldību institūciju amatpersonu un darbinieku atlīdzības likuma 6.</w:t>
      </w:r>
      <w:r w:rsidRPr="00307028">
        <w:rPr>
          <w:rFonts w:eastAsia="Calibri"/>
          <w:vertAlign w:val="superscript"/>
          <w:lang w:eastAsia="en-US"/>
        </w:rPr>
        <w:t>1</w:t>
      </w:r>
      <w:r w:rsidRPr="00307028">
        <w:rPr>
          <w:rFonts w:eastAsia="Calibri"/>
          <w:lang w:eastAsia="en-US"/>
        </w:rPr>
        <w:t xml:space="preserve"> pantam un pamatojoties uz </w:t>
      </w:r>
      <w:r w:rsidR="00C037F5" w:rsidRPr="00307028">
        <w:rPr>
          <w:rFonts w:eastAsia="Calibri"/>
          <w:lang w:eastAsia="en-US"/>
        </w:rPr>
        <w:t>VK</w:t>
      </w:r>
      <w:r w:rsidRPr="00307028">
        <w:rPr>
          <w:rFonts w:eastAsia="Calibri"/>
          <w:lang w:eastAsia="en-US"/>
        </w:rPr>
        <w:t xml:space="preserve"> publiskoto informāciju par vēlēto amatpersonu un Saeimas iecelto amatpersonu mēnešalgas apmēru;</w:t>
      </w:r>
    </w:p>
    <w:p w14:paraId="28A17325" w14:textId="77777777" w:rsidR="00502EF8" w:rsidRPr="00307028" w:rsidRDefault="00502EF8" w:rsidP="00D60695">
      <w:pPr>
        <w:tabs>
          <w:tab w:val="left" w:pos="993"/>
        </w:tabs>
        <w:spacing w:after="120" w:line="259" w:lineRule="auto"/>
        <w:ind w:firstLine="709"/>
        <w:jc w:val="both"/>
        <w:rPr>
          <w:rFonts w:eastAsia="Calibri"/>
          <w:lang w:eastAsia="en-US"/>
        </w:rPr>
      </w:pPr>
      <w:r w:rsidRPr="00307028">
        <w:rPr>
          <w:rFonts w:eastAsia="Calibri"/>
          <w:b/>
          <w:lang w:eastAsia="en-US"/>
        </w:rPr>
        <w:t>Prokuratūrai</w:t>
      </w:r>
      <w:r w:rsidRPr="00307028">
        <w:rPr>
          <w:rFonts w:eastAsia="Calibri"/>
          <w:lang w:eastAsia="en-US"/>
        </w:rPr>
        <w:t xml:space="preserve"> palielināti izdevumi 1,8 milj.</w:t>
      </w:r>
      <w:r w:rsidRPr="00307028">
        <w:rPr>
          <w:rFonts w:eastAsia="Calibri"/>
          <w:i/>
          <w:lang w:eastAsia="en-US"/>
        </w:rPr>
        <w:t xml:space="preserve"> euro</w:t>
      </w:r>
      <w:r w:rsidRPr="00307028">
        <w:rPr>
          <w:rFonts w:eastAsia="Calibri"/>
          <w:lang w:eastAsia="en-US"/>
        </w:rPr>
        <w:t xml:space="preserve"> apmērā 2024. un 2025. gadam ik gadu un samazināti izdevumi 0,6 milj.</w:t>
      </w:r>
      <w:r w:rsidRPr="00307028">
        <w:rPr>
          <w:rFonts w:eastAsia="Calibri"/>
          <w:i/>
          <w:lang w:eastAsia="en-US"/>
        </w:rPr>
        <w:t xml:space="preserve"> euro</w:t>
      </w:r>
      <w:r w:rsidRPr="00307028">
        <w:rPr>
          <w:rFonts w:eastAsia="Calibri"/>
          <w:lang w:eastAsia="en-US"/>
        </w:rPr>
        <w:t xml:space="preserve"> apmērā 2026. gadam, tajā skaitā:</w:t>
      </w:r>
    </w:p>
    <w:p w14:paraId="54CB12CE" w14:textId="5A80EFC0"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1,8 milj. </w:t>
      </w:r>
      <w:r w:rsidRPr="00307028">
        <w:rPr>
          <w:rFonts w:eastAsia="Calibri"/>
          <w:i/>
          <w:iCs/>
          <w:lang w:eastAsia="en-US"/>
        </w:rPr>
        <w:t>euro</w:t>
      </w:r>
      <w:r w:rsidRPr="00307028">
        <w:rPr>
          <w:rFonts w:eastAsia="Calibri"/>
          <w:lang w:eastAsia="en-US"/>
        </w:rPr>
        <w:t xml:space="preserve"> apmērā 2024., 2025. un 2026. gadam ik gadu, lai nodrošinātu prokuroru atalgojuma palielināšanu atbilstoši Valsts un pašvaldību institūciju </w:t>
      </w:r>
      <w:r w:rsidRPr="00307028">
        <w:rPr>
          <w:rFonts w:eastAsia="Calibri"/>
          <w:lang w:eastAsia="en-US"/>
        </w:rPr>
        <w:lastRenderedPageBreak/>
        <w:t xml:space="preserve">amatpersonu un darbinieku atlīdzības likuma 6.² pantam un pamatojoties uz </w:t>
      </w:r>
      <w:r w:rsidR="00C037F5" w:rsidRPr="00307028">
        <w:rPr>
          <w:rFonts w:eastAsia="Calibri"/>
          <w:lang w:eastAsia="en-US"/>
        </w:rPr>
        <w:t>VK</w:t>
      </w:r>
      <w:r w:rsidRPr="00307028">
        <w:rPr>
          <w:rFonts w:eastAsia="Calibri"/>
          <w:lang w:eastAsia="en-US"/>
        </w:rPr>
        <w:t xml:space="preserve"> publiskoto informāciju par vēlēto amatpersonu un Saeimas iecelto amatpersonu mēnešalgas apmēru;</w:t>
      </w:r>
    </w:p>
    <w:p w14:paraId="0D9D43CD" w14:textId="75943569" w:rsidR="00502EF8" w:rsidRPr="00307028" w:rsidRDefault="00502EF8" w:rsidP="00D6069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0,1 milj. </w:t>
      </w:r>
      <w:r w:rsidRPr="00307028">
        <w:rPr>
          <w:rFonts w:eastAsia="Calibri"/>
          <w:i/>
          <w:iCs/>
          <w:lang w:eastAsia="en-US"/>
        </w:rPr>
        <w:t>euro</w:t>
      </w:r>
      <w:r w:rsidRPr="00307028">
        <w:rPr>
          <w:rFonts w:eastAsia="Calibri"/>
          <w:lang w:eastAsia="en-US"/>
        </w:rPr>
        <w:t xml:space="preserve"> apmērā 2026.</w:t>
      </w:r>
      <w:r w:rsidR="00233326">
        <w:rPr>
          <w:rFonts w:eastAsia="Calibri"/>
          <w:lang w:eastAsia="en-US"/>
        </w:rPr>
        <w:t> </w:t>
      </w:r>
      <w:r w:rsidRPr="00307028">
        <w:rPr>
          <w:rFonts w:eastAsia="Calibri"/>
          <w:lang w:eastAsia="en-US"/>
        </w:rPr>
        <w:t>gadam telpu nomas maksu izdevumus ēkai Kalpaka bulvārī 6;</w:t>
      </w:r>
    </w:p>
    <w:p w14:paraId="653ED694"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0,1 milj. </w:t>
      </w:r>
      <w:r w:rsidRPr="00307028">
        <w:rPr>
          <w:rFonts w:eastAsia="Calibri"/>
          <w:i/>
          <w:iCs/>
          <w:lang w:eastAsia="en-US"/>
        </w:rPr>
        <w:t>euro</w:t>
      </w:r>
      <w:r w:rsidRPr="00307028">
        <w:rPr>
          <w:rFonts w:eastAsia="Calibri"/>
          <w:lang w:eastAsia="en-US"/>
        </w:rPr>
        <w:t xml:space="preserve"> apmērā 2026. gadam pārcelšanās izdevumiem no pagaidu telpām uz ēku Kalpaka bulvārī 6;</w:t>
      </w:r>
    </w:p>
    <w:p w14:paraId="36BAD411"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2,2 milj. </w:t>
      </w:r>
      <w:r w:rsidRPr="00307028">
        <w:rPr>
          <w:rFonts w:eastAsia="Calibri"/>
          <w:i/>
          <w:iCs/>
          <w:lang w:eastAsia="en-US"/>
        </w:rPr>
        <w:t>euro</w:t>
      </w:r>
      <w:r w:rsidRPr="00307028">
        <w:rPr>
          <w:rFonts w:eastAsia="Calibri"/>
          <w:lang w:eastAsia="en-US"/>
        </w:rPr>
        <w:t xml:space="preserve"> apmērā 2026. gadam aprīkojuma iegādes izdevumu segšanai u.c.;</w:t>
      </w:r>
    </w:p>
    <w:p w14:paraId="38666405" w14:textId="77777777" w:rsidR="00502EF8" w:rsidRPr="00307028" w:rsidRDefault="00502EF8" w:rsidP="00C037F5">
      <w:pPr>
        <w:tabs>
          <w:tab w:val="left" w:pos="993"/>
        </w:tabs>
        <w:spacing w:after="120" w:line="259" w:lineRule="auto"/>
        <w:ind w:firstLine="709"/>
        <w:jc w:val="both"/>
        <w:rPr>
          <w:rFonts w:eastAsia="Calibri"/>
          <w:lang w:eastAsia="en-US"/>
        </w:rPr>
      </w:pPr>
      <w:r w:rsidRPr="00307028">
        <w:rPr>
          <w:rFonts w:eastAsia="Calibri"/>
          <w:b/>
          <w:lang w:eastAsia="en-US"/>
        </w:rPr>
        <w:t>Centrālajai vēlēšanu komisijai</w:t>
      </w:r>
      <w:r w:rsidRPr="00307028">
        <w:rPr>
          <w:rFonts w:eastAsia="Calibri"/>
          <w:lang w:eastAsia="en-US"/>
        </w:rPr>
        <w:t xml:space="preserve"> palielināti izdevumi 0,4 milj.</w:t>
      </w:r>
      <w:r w:rsidRPr="00307028">
        <w:rPr>
          <w:rFonts w:eastAsia="Calibri"/>
          <w:i/>
          <w:lang w:eastAsia="en-US"/>
        </w:rPr>
        <w:t xml:space="preserve"> euro</w:t>
      </w:r>
      <w:r w:rsidRPr="00307028">
        <w:rPr>
          <w:rFonts w:eastAsia="Calibri"/>
          <w:lang w:eastAsia="en-US"/>
        </w:rPr>
        <w:t xml:space="preserve"> apmērā 2024. gadam, samazināti izdevumi 0,2 milj.</w:t>
      </w:r>
      <w:r w:rsidRPr="00307028">
        <w:rPr>
          <w:rFonts w:eastAsia="Calibri"/>
          <w:i/>
          <w:lang w:eastAsia="en-US"/>
        </w:rPr>
        <w:t xml:space="preserve"> euro</w:t>
      </w:r>
      <w:r w:rsidRPr="00307028">
        <w:rPr>
          <w:rFonts w:eastAsia="Calibri"/>
          <w:lang w:eastAsia="en-US"/>
        </w:rPr>
        <w:t xml:space="preserve"> apmērā 2025. gadam un palielināti izdevumi 5,0 milj.</w:t>
      </w:r>
      <w:r w:rsidRPr="00307028">
        <w:rPr>
          <w:rFonts w:eastAsia="Calibri"/>
          <w:i/>
          <w:lang w:eastAsia="en-US"/>
        </w:rPr>
        <w:t xml:space="preserve"> euro</w:t>
      </w:r>
      <w:r w:rsidRPr="00307028">
        <w:rPr>
          <w:rFonts w:eastAsia="Calibri"/>
          <w:lang w:eastAsia="en-US"/>
        </w:rPr>
        <w:t xml:space="preserve"> apmērā 2026. gadam, tajā skaitā:</w:t>
      </w:r>
    </w:p>
    <w:p w14:paraId="4B17F778"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palielināti izdevumi 6,3 milj.</w:t>
      </w:r>
      <w:r w:rsidRPr="00307028">
        <w:rPr>
          <w:rFonts w:eastAsia="Calibri"/>
          <w:i/>
          <w:lang w:eastAsia="en-US"/>
        </w:rPr>
        <w:t xml:space="preserve"> euro</w:t>
      </w:r>
      <w:r w:rsidRPr="00307028">
        <w:rPr>
          <w:rFonts w:eastAsia="Calibri"/>
          <w:lang w:eastAsia="en-US"/>
        </w:rPr>
        <w:t xml:space="preserve"> apmērā 2026. gadam Saeimas vēlēšanu nodrošināšanai;</w:t>
      </w:r>
    </w:p>
    <w:p w14:paraId="717DA6C2"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iCs/>
          <w:lang w:eastAsia="en-US"/>
        </w:rPr>
        <w:t>euro</w:t>
      </w:r>
      <w:r w:rsidRPr="00307028">
        <w:rPr>
          <w:rFonts w:eastAsia="Calibri"/>
          <w:lang w:eastAsia="en-US"/>
        </w:rPr>
        <w:t xml:space="preserve"> apmērā 2024. gadam Eiropas Parlamenta vēlēšanu nodrošināšanai 2024. gadā;</w:t>
      </w:r>
    </w:p>
    <w:p w14:paraId="7C735D74" w14:textId="1EA0054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0,01 milj. </w:t>
      </w:r>
      <w:r w:rsidRPr="00307028">
        <w:rPr>
          <w:rFonts w:eastAsia="Calibri"/>
          <w:i/>
          <w:lang w:eastAsia="en-US"/>
        </w:rPr>
        <w:t>euro</w:t>
      </w:r>
      <w:r w:rsidRPr="00307028">
        <w:rPr>
          <w:rFonts w:eastAsia="Calibri"/>
          <w:lang w:eastAsia="en-US"/>
        </w:rPr>
        <w:t xml:space="preserve"> apmērā 2024., 2025. un 2026. gadam ik gadu </w:t>
      </w:r>
      <w:r w:rsidR="00C037F5" w:rsidRPr="00307028">
        <w:rPr>
          <w:rFonts w:eastAsia="Calibri"/>
          <w:lang w:eastAsia="en-US"/>
        </w:rPr>
        <w:t>CVK</w:t>
      </w:r>
      <w:r w:rsidRPr="00307028">
        <w:rPr>
          <w:rFonts w:eastAsia="Calibri"/>
          <w:lang w:eastAsia="en-US"/>
        </w:rPr>
        <w:t xml:space="preserve"> locekļu atlīdzības pieauguma nodrošināšanai atbilstoši Valsts un pašvaldību institūciju amatpersonu un darbinieku atlīdzības likuma 6. pantā noteiktajam;</w:t>
      </w:r>
    </w:p>
    <w:p w14:paraId="70D52A71" w14:textId="5A2A92A8"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0,2 milj. </w:t>
      </w:r>
      <w:r w:rsidRPr="00307028">
        <w:rPr>
          <w:rFonts w:eastAsia="Calibri"/>
          <w:i/>
          <w:iCs/>
          <w:lang w:eastAsia="en-US"/>
        </w:rPr>
        <w:t>euro</w:t>
      </w:r>
      <w:r w:rsidRPr="00307028">
        <w:rPr>
          <w:rFonts w:eastAsia="Calibri"/>
          <w:lang w:eastAsia="en-US"/>
        </w:rPr>
        <w:t xml:space="preserve"> apmērā 2024., 2025. un 2026. gadam ik gadu </w:t>
      </w:r>
      <w:r w:rsidR="00C037F5" w:rsidRPr="00307028">
        <w:rPr>
          <w:rFonts w:eastAsia="Calibri"/>
          <w:lang w:eastAsia="en-US"/>
        </w:rPr>
        <w:t>PP</w:t>
      </w:r>
      <w:r w:rsidRPr="00307028">
        <w:rPr>
          <w:rFonts w:eastAsia="Calibri"/>
          <w:lang w:eastAsia="en-US"/>
        </w:rPr>
        <w:t xml:space="preserve"> ietvaros izveidotās Vēlēšanu vadības sistēmas bāzes un pašvaldību moduļu uzturēšanai;</w:t>
      </w:r>
    </w:p>
    <w:p w14:paraId="3CCA2245"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1,1 milj. </w:t>
      </w:r>
      <w:r w:rsidRPr="00307028">
        <w:rPr>
          <w:rFonts w:eastAsia="Calibri"/>
          <w:i/>
          <w:iCs/>
          <w:lang w:eastAsia="en-US"/>
        </w:rPr>
        <w:t>euro</w:t>
      </w:r>
      <w:r w:rsidRPr="00307028">
        <w:rPr>
          <w:rFonts w:eastAsia="Calibri"/>
          <w:lang w:eastAsia="en-US"/>
        </w:rPr>
        <w:t xml:space="preserve"> apmērā 2026. gadam Pašvaldību vēlēšanu nodrošināšanai 2025. gadā;</w:t>
      </w:r>
    </w:p>
    <w:p w14:paraId="3191763A" w14:textId="7AA22F65" w:rsidR="00502EF8" w:rsidRPr="00307028" w:rsidRDefault="00502EF8" w:rsidP="00C037F5">
      <w:pPr>
        <w:tabs>
          <w:tab w:val="left" w:pos="993"/>
        </w:tabs>
        <w:spacing w:after="120" w:line="259" w:lineRule="auto"/>
        <w:ind w:firstLine="709"/>
        <w:jc w:val="both"/>
        <w:rPr>
          <w:rFonts w:eastAsia="Calibri"/>
          <w:lang w:eastAsia="en-US"/>
        </w:rPr>
      </w:pPr>
      <w:r w:rsidRPr="00307028">
        <w:rPr>
          <w:rFonts w:eastAsia="Calibri"/>
          <w:b/>
          <w:lang w:eastAsia="en-US"/>
        </w:rPr>
        <w:t>Sabiedriskajiem elektroniskajiem plašsaziņas līdzekļiem</w:t>
      </w:r>
      <w:r w:rsidRPr="00307028">
        <w:rPr>
          <w:rFonts w:eastAsia="Calibri"/>
          <w:lang w:eastAsia="en-US"/>
        </w:rPr>
        <w:t xml:space="preserve"> palielināti izdevumi 0,02</w:t>
      </w:r>
      <w:r w:rsidR="00680513" w:rsidRPr="00307028">
        <w:rPr>
          <w:rFonts w:eastAsia="Calibri"/>
          <w:lang w:eastAsia="en-US"/>
        </w:rPr>
        <w:t> </w:t>
      </w:r>
      <w:r w:rsidRPr="00307028">
        <w:rPr>
          <w:rFonts w:eastAsia="Calibri"/>
          <w:lang w:eastAsia="en-US"/>
        </w:rPr>
        <w:t xml:space="preserve">milj. </w:t>
      </w:r>
      <w:r w:rsidRPr="00307028">
        <w:rPr>
          <w:rFonts w:eastAsia="Calibri"/>
          <w:i/>
          <w:lang w:eastAsia="en-US"/>
        </w:rPr>
        <w:t>euro</w:t>
      </w:r>
      <w:r w:rsidRPr="00307028">
        <w:rPr>
          <w:rFonts w:eastAsia="Calibri"/>
          <w:lang w:eastAsia="en-US"/>
        </w:rPr>
        <w:t xml:space="preserve"> apmērā 2024., 2025. un 2026. gadam ik gadu, lai nodrošinātu atalgojuma palielināšanu atbilstoši Valsts un pašvaldību institūciju amatpersonu un darbinieku atlīdzības likuma 6. panta otrajā daļā noteiktajam;</w:t>
      </w:r>
    </w:p>
    <w:p w14:paraId="34715BA6" w14:textId="77777777" w:rsidR="00502EF8" w:rsidRPr="00307028" w:rsidRDefault="00502EF8" w:rsidP="00C037F5">
      <w:pPr>
        <w:tabs>
          <w:tab w:val="left" w:pos="993"/>
        </w:tabs>
        <w:spacing w:after="120" w:line="259" w:lineRule="auto"/>
        <w:ind w:firstLine="709"/>
        <w:jc w:val="both"/>
        <w:rPr>
          <w:rFonts w:eastAsia="Calibri"/>
          <w:lang w:eastAsia="en-US"/>
        </w:rPr>
      </w:pPr>
      <w:r w:rsidRPr="00307028">
        <w:rPr>
          <w:rFonts w:eastAsia="Calibri"/>
          <w:b/>
          <w:lang w:eastAsia="en-US"/>
        </w:rPr>
        <w:t xml:space="preserve">Radio un televīzijas regulatoram </w:t>
      </w:r>
      <w:r w:rsidRPr="00307028">
        <w:rPr>
          <w:rFonts w:eastAsia="Calibri"/>
          <w:lang w:eastAsia="en-US"/>
        </w:rPr>
        <w:t>samazināti izdevumi 0,5 milj.</w:t>
      </w:r>
      <w:r w:rsidRPr="00307028">
        <w:rPr>
          <w:rFonts w:eastAsia="Calibri"/>
          <w:i/>
          <w:lang w:eastAsia="en-US"/>
        </w:rPr>
        <w:t xml:space="preserve"> euro</w:t>
      </w:r>
      <w:r w:rsidRPr="00307028">
        <w:rPr>
          <w:rFonts w:eastAsia="Calibri"/>
          <w:lang w:eastAsia="en-US"/>
        </w:rPr>
        <w:t xml:space="preserve"> apmērā 2024., 2025. un 2026. gadam ik gadu, tajā skaitā:</w:t>
      </w:r>
    </w:p>
    <w:p w14:paraId="7BD5BB34"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0,02 milj. </w:t>
      </w:r>
      <w:r w:rsidRPr="00307028">
        <w:rPr>
          <w:rFonts w:eastAsia="Calibri"/>
          <w:i/>
          <w:iCs/>
          <w:lang w:eastAsia="en-US"/>
        </w:rPr>
        <w:t>euro</w:t>
      </w:r>
      <w:r w:rsidRPr="00307028">
        <w:rPr>
          <w:rFonts w:eastAsia="Calibri"/>
          <w:lang w:eastAsia="en-US"/>
        </w:rPr>
        <w:t xml:space="preserve"> apmērā 2024., 2025. un 2026. gadam ik gadu, lai nodrošinātu atalgojuma palielināšanu atbilstoši Valsts un pašvaldību institūciju amatpersonu un darbinieku atlīdzības likuma 6. panta otrajā daļā noteiktajam;</w:t>
      </w:r>
    </w:p>
    <w:p w14:paraId="517BBA2B" w14:textId="3F424AE3"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0,5 milj. </w:t>
      </w:r>
      <w:r w:rsidRPr="00307028">
        <w:rPr>
          <w:rFonts w:eastAsia="Calibri"/>
          <w:i/>
          <w:iCs/>
          <w:lang w:eastAsia="en-US"/>
        </w:rPr>
        <w:t>euro</w:t>
      </w:r>
      <w:r w:rsidRPr="00307028">
        <w:rPr>
          <w:rFonts w:eastAsia="Calibri"/>
          <w:lang w:eastAsia="en-US"/>
        </w:rPr>
        <w:t xml:space="preserve"> apmērā 2024., 2025. un 2026. gadam ik gadu </w:t>
      </w:r>
      <w:r w:rsidR="00C037F5" w:rsidRPr="00307028">
        <w:rPr>
          <w:rFonts w:eastAsia="Calibri"/>
          <w:lang w:eastAsia="en-US"/>
        </w:rPr>
        <w:t>PP</w:t>
      </w:r>
      <w:r w:rsidRPr="00307028">
        <w:rPr>
          <w:rFonts w:eastAsia="Calibri"/>
          <w:lang w:eastAsia="en-US"/>
        </w:rPr>
        <w:t xml:space="preserve"> “Komerciālo elektronisko plašsaziņas līdzekļu kapacitātes stiprināšana” īstenošanai;</w:t>
      </w:r>
    </w:p>
    <w:p w14:paraId="12A1DC44" w14:textId="67129A9F" w:rsidR="00502EF8" w:rsidRPr="00307028" w:rsidRDefault="00502EF8" w:rsidP="00C037F5">
      <w:pPr>
        <w:spacing w:after="120" w:line="259" w:lineRule="auto"/>
        <w:ind w:firstLine="709"/>
        <w:jc w:val="both"/>
        <w:rPr>
          <w:rFonts w:eastAsia="Times New Roman"/>
          <w:lang w:eastAsia="en-US"/>
        </w:rPr>
      </w:pPr>
      <w:r w:rsidRPr="00307028">
        <w:rPr>
          <w:rFonts w:eastAsia="Times New Roman"/>
          <w:b/>
          <w:lang w:eastAsia="en-US"/>
        </w:rPr>
        <w:t xml:space="preserve">Budžeta resoram “62. Mērķdotācijas pašvaldībām” </w:t>
      </w:r>
      <w:r w:rsidRPr="00307028">
        <w:rPr>
          <w:rFonts w:eastAsia="Times New Roman"/>
          <w:lang w:eastAsia="en-US"/>
        </w:rPr>
        <w:t>palielināti izdevumi 28,5</w:t>
      </w:r>
      <w:r w:rsidR="00680513" w:rsidRPr="00307028">
        <w:rPr>
          <w:rFonts w:eastAsia="Times New Roman"/>
          <w:lang w:eastAsia="en-US"/>
        </w:rPr>
        <w:t> </w:t>
      </w:r>
      <w:r w:rsidRPr="00307028">
        <w:rPr>
          <w:rFonts w:eastAsia="Times New Roman"/>
          <w:lang w:eastAsia="en-US"/>
        </w:rPr>
        <w:t>milj.</w:t>
      </w:r>
      <w:r w:rsidR="00680513" w:rsidRPr="00307028">
        <w:rPr>
          <w:rFonts w:eastAsia="Times New Roman"/>
          <w:i/>
          <w:lang w:eastAsia="en-US"/>
        </w:rPr>
        <w:t> </w:t>
      </w:r>
      <w:r w:rsidRPr="00307028">
        <w:rPr>
          <w:rFonts w:eastAsia="Times New Roman"/>
          <w:i/>
          <w:lang w:eastAsia="en-US"/>
        </w:rPr>
        <w:t>euro</w:t>
      </w:r>
      <w:r w:rsidRPr="00307028">
        <w:rPr>
          <w:rFonts w:eastAsia="Times New Roman"/>
          <w:lang w:eastAsia="en-US"/>
        </w:rPr>
        <w:t xml:space="preserve"> apmērā 2024. un 2025. gadam ik gadu un 29,3 milj.</w:t>
      </w:r>
      <w:r w:rsidRPr="00307028">
        <w:rPr>
          <w:rFonts w:eastAsia="Times New Roman"/>
          <w:i/>
          <w:lang w:eastAsia="en-US"/>
        </w:rPr>
        <w:t xml:space="preserve"> euro</w:t>
      </w:r>
      <w:r w:rsidRPr="00307028">
        <w:rPr>
          <w:rFonts w:eastAsia="Times New Roman"/>
          <w:lang w:eastAsia="en-US"/>
        </w:rPr>
        <w:t xml:space="preserve"> apmērā 2026. gadam, tajā skaitā:</w:t>
      </w:r>
    </w:p>
    <w:p w14:paraId="668BCB9B"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28,5 milj. </w:t>
      </w:r>
      <w:r w:rsidRPr="00307028">
        <w:rPr>
          <w:rFonts w:eastAsia="Calibri"/>
          <w:i/>
          <w:lang w:eastAsia="en-US"/>
        </w:rPr>
        <w:t>euro</w:t>
      </w:r>
      <w:r w:rsidRPr="00307028">
        <w:rPr>
          <w:rFonts w:eastAsia="Calibri"/>
          <w:lang w:eastAsia="en-US"/>
        </w:rPr>
        <w:t xml:space="preserve"> apmērā 2024., 2025. un 2026. gadam ik gadu pedagogu zemākās darba samaksas likmes pieaugumam;</w:t>
      </w:r>
    </w:p>
    <w:p w14:paraId="1C0EEE46" w14:textId="77777777" w:rsidR="00502EF8" w:rsidRPr="00307028" w:rsidRDefault="00502EF8" w:rsidP="00C037F5">
      <w:pPr>
        <w:numPr>
          <w:ilvl w:val="0"/>
          <w:numId w:val="50"/>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0,9 milj. </w:t>
      </w:r>
      <w:r w:rsidRPr="00307028">
        <w:rPr>
          <w:rFonts w:eastAsia="Calibri"/>
          <w:i/>
          <w:iCs/>
          <w:lang w:eastAsia="en-US"/>
        </w:rPr>
        <w:t>euro</w:t>
      </w:r>
      <w:r w:rsidRPr="00307028">
        <w:rPr>
          <w:rFonts w:eastAsia="Calibri"/>
          <w:lang w:eastAsia="en-US"/>
        </w:rPr>
        <w:t xml:space="preserve"> apmērā 2026. gadam pārejai uz obligāto izglītību tikai latviešu valodā;</w:t>
      </w:r>
    </w:p>
    <w:p w14:paraId="03D7BBAA" w14:textId="77777777" w:rsidR="00502EF8" w:rsidRPr="00307028" w:rsidRDefault="00502EF8" w:rsidP="00C037F5">
      <w:pPr>
        <w:spacing w:after="120" w:line="259" w:lineRule="auto"/>
        <w:ind w:firstLine="709"/>
        <w:jc w:val="both"/>
        <w:rPr>
          <w:rFonts w:eastAsia="Times New Roman"/>
          <w:lang w:eastAsia="en-US"/>
        </w:rPr>
      </w:pPr>
      <w:r w:rsidRPr="00307028">
        <w:rPr>
          <w:rFonts w:eastAsia="Times New Roman"/>
          <w:b/>
          <w:lang w:eastAsia="en-US"/>
        </w:rPr>
        <w:lastRenderedPageBreak/>
        <w:t xml:space="preserve">Budžeta resoram “74. Gadskārtējā valsts budžeta izpildes procesā pārdalāmais finansējums” </w:t>
      </w:r>
      <w:r w:rsidRPr="00307028">
        <w:rPr>
          <w:rFonts w:eastAsia="Times New Roman"/>
          <w:lang w:eastAsia="en-US"/>
        </w:rPr>
        <w:t>samazināti izdevumi 85,6 milj.</w:t>
      </w:r>
      <w:r w:rsidRPr="00307028">
        <w:rPr>
          <w:rFonts w:eastAsia="Times New Roman"/>
          <w:i/>
          <w:lang w:eastAsia="en-US"/>
        </w:rPr>
        <w:t xml:space="preserve"> euro</w:t>
      </w:r>
      <w:r w:rsidRPr="00307028">
        <w:rPr>
          <w:rFonts w:eastAsia="Times New Roman"/>
          <w:lang w:eastAsia="en-US"/>
        </w:rPr>
        <w:t xml:space="preserve"> apmērā 2024. gadam, 42,0 milj.</w:t>
      </w:r>
      <w:r w:rsidRPr="00307028">
        <w:rPr>
          <w:rFonts w:eastAsia="Times New Roman"/>
          <w:i/>
          <w:lang w:eastAsia="en-US"/>
        </w:rPr>
        <w:t xml:space="preserve"> euro</w:t>
      </w:r>
      <w:r w:rsidRPr="00307028">
        <w:rPr>
          <w:rFonts w:eastAsia="Times New Roman"/>
          <w:lang w:eastAsia="en-US"/>
        </w:rPr>
        <w:t xml:space="preserve"> apmērā 2025. gadam un 392,7 milj. </w:t>
      </w:r>
      <w:r w:rsidRPr="00307028">
        <w:rPr>
          <w:rFonts w:eastAsia="Times New Roman"/>
          <w:i/>
          <w:iCs/>
          <w:lang w:eastAsia="en-US"/>
        </w:rPr>
        <w:t>euro</w:t>
      </w:r>
      <w:r w:rsidRPr="00307028">
        <w:rPr>
          <w:rFonts w:eastAsia="Times New Roman"/>
          <w:lang w:eastAsia="en-US"/>
        </w:rPr>
        <w:t xml:space="preserve"> apmērā 2026. gadam, tajā skaitā:</w:t>
      </w:r>
    </w:p>
    <w:p w14:paraId="06472022" w14:textId="2108898C"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palielināti izdevumi 7,4 milj.</w:t>
      </w:r>
      <w:r w:rsidRPr="00307028">
        <w:rPr>
          <w:rFonts w:eastAsia="Calibri"/>
          <w:i/>
          <w:lang w:eastAsia="en-US"/>
        </w:rPr>
        <w:t xml:space="preserve"> euro</w:t>
      </w:r>
      <w:r w:rsidRPr="00307028">
        <w:rPr>
          <w:rFonts w:eastAsia="Calibri"/>
          <w:lang w:eastAsia="en-US"/>
        </w:rPr>
        <w:t xml:space="preserve"> apmērā 2024. gadam, 5,3 milj. </w:t>
      </w:r>
      <w:r w:rsidRPr="00307028">
        <w:rPr>
          <w:rFonts w:eastAsia="Calibri"/>
          <w:i/>
          <w:iCs/>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un 2026. gadam ik gadu atbilstoši informatīvajam ziņojumam “Par vakcīnu pieejamību un atlikumiem, par situāciju ar Covid-19 vakcīnu piegādēm, par </w:t>
      </w:r>
      <w:r w:rsidR="00C037F5" w:rsidRPr="00307028">
        <w:rPr>
          <w:rFonts w:eastAsia="Calibri"/>
          <w:lang w:eastAsia="en-US"/>
        </w:rPr>
        <w:t>EK</w:t>
      </w:r>
      <w:r w:rsidRPr="00307028">
        <w:rPr>
          <w:rFonts w:eastAsia="Calibri"/>
          <w:lang w:eastAsia="en-US"/>
        </w:rPr>
        <w:t xml:space="preserve"> piedāvātajiem līguma grozījumiem starp </w:t>
      </w:r>
      <w:r w:rsidR="00C037F5" w:rsidRPr="00307028">
        <w:rPr>
          <w:rFonts w:eastAsia="Calibri"/>
          <w:lang w:eastAsia="en-US"/>
        </w:rPr>
        <w:t>EK</w:t>
      </w:r>
      <w:r w:rsidRPr="00307028">
        <w:rPr>
          <w:rFonts w:eastAsia="Calibri"/>
          <w:lang w:eastAsia="en-US"/>
        </w:rPr>
        <w:t xml:space="preserve"> un vakcīnu ražotāju Pfize</w:t>
      </w:r>
      <w:r w:rsidR="00C037F5" w:rsidRPr="00307028">
        <w:rPr>
          <w:rFonts w:eastAsia="Calibri"/>
          <w:lang w:eastAsia="en-US"/>
        </w:rPr>
        <w:t>r</w:t>
      </w:r>
      <w:r w:rsidRPr="00307028">
        <w:rPr>
          <w:rFonts w:eastAsia="Calibri"/>
          <w:lang w:eastAsia="en-US"/>
        </w:rPr>
        <w:t>”;</w:t>
      </w:r>
    </w:p>
    <w:p w14:paraId="71A874BE" w14:textId="7F0B1B6C"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 xml:space="preserve">palielināti izdevumi 1,9 milj. </w:t>
      </w:r>
      <w:r w:rsidRPr="00307028">
        <w:rPr>
          <w:rFonts w:eastAsia="Calibri"/>
          <w:i/>
          <w:iCs/>
          <w:lang w:eastAsia="en-US"/>
        </w:rPr>
        <w:t>euro</w:t>
      </w:r>
      <w:r w:rsidRPr="00307028">
        <w:rPr>
          <w:rFonts w:eastAsia="Calibri"/>
          <w:lang w:eastAsia="en-US"/>
        </w:rPr>
        <w:t xml:space="preserve"> apmērā 2024. gadam un 0,8 milj. </w:t>
      </w:r>
      <w:r w:rsidRPr="00307028">
        <w:rPr>
          <w:rFonts w:eastAsia="Calibri"/>
          <w:i/>
          <w:iCs/>
          <w:lang w:eastAsia="en-US"/>
        </w:rPr>
        <w:t>euro</w:t>
      </w:r>
      <w:r w:rsidRPr="00307028">
        <w:rPr>
          <w:rFonts w:eastAsia="Calibri"/>
          <w:lang w:eastAsia="en-US"/>
        </w:rPr>
        <w:t xml:space="preserve"> apmērā 2025. un 2026. gadam ik gadu pārdalīšanai </w:t>
      </w:r>
      <w:r w:rsidR="00C037F5" w:rsidRPr="00307028">
        <w:rPr>
          <w:rFonts w:eastAsia="Calibri"/>
          <w:lang w:eastAsia="en-US"/>
        </w:rPr>
        <w:t>IeM</w:t>
      </w:r>
      <w:r w:rsidRPr="00307028">
        <w:rPr>
          <w:rFonts w:eastAsia="Calibri"/>
          <w:lang w:eastAsia="en-US"/>
        </w:rPr>
        <w:t xml:space="preserve"> un </w:t>
      </w:r>
      <w:r w:rsidR="00C037F5" w:rsidRPr="00307028">
        <w:rPr>
          <w:rFonts w:eastAsia="Calibri"/>
          <w:lang w:eastAsia="en-US"/>
        </w:rPr>
        <w:t>VARAM</w:t>
      </w:r>
      <w:r w:rsidRPr="00307028">
        <w:rPr>
          <w:rFonts w:eastAsia="Calibri"/>
          <w:lang w:eastAsia="en-US"/>
        </w:rPr>
        <w:t xml:space="preserve"> ar Eiropas Parlamenta vēlēšanām saistīto pasākumu īstenošanai;</w:t>
      </w:r>
    </w:p>
    <w:p w14:paraId="6693864C" w14:textId="77777777"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 xml:space="preserve">samazināti izdevumi 12,5 milj. </w:t>
      </w:r>
      <w:r w:rsidRPr="00307028">
        <w:rPr>
          <w:rFonts w:eastAsia="Calibri"/>
          <w:i/>
          <w:iCs/>
          <w:lang w:eastAsia="en-US"/>
        </w:rPr>
        <w:t>euro</w:t>
      </w:r>
      <w:r w:rsidRPr="00307028">
        <w:rPr>
          <w:rFonts w:eastAsia="Calibri"/>
          <w:lang w:eastAsia="en-US"/>
        </w:rPr>
        <w:t xml:space="preserve"> apmērā 2024., 2025. un 2026. gadam ik gadu, pārdalot finansējumu budžeta resoram “62. Mērķdotācijas pašvaldībām” pedagogu slodžu līdzsvarošanai;</w:t>
      </w:r>
    </w:p>
    <w:p w14:paraId="4493F364" w14:textId="77777777"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 xml:space="preserve">samazināti izdevumi 35,7 milj. </w:t>
      </w:r>
      <w:r w:rsidRPr="00307028">
        <w:rPr>
          <w:rFonts w:eastAsia="Calibri"/>
          <w:i/>
          <w:iCs/>
          <w:lang w:eastAsia="en-US"/>
        </w:rPr>
        <w:t>euro</w:t>
      </w:r>
      <w:r w:rsidRPr="00307028">
        <w:rPr>
          <w:rFonts w:eastAsia="Calibri"/>
          <w:lang w:eastAsia="en-US"/>
        </w:rPr>
        <w:t xml:space="preserve"> apmērā 2024., 2025. un 2026. gadam ik gadu, pārdalot finansējumu budžeta resoriem pedagogu zemākās darba samaksas likmes pieaugumam;</w:t>
      </w:r>
    </w:p>
    <w:p w14:paraId="7AED1EBD" w14:textId="36DE93BF"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 xml:space="preserve">samazināti izdevumi 46,8 milj. </w:t>
      </w:r>
      <w:r w:rsidRPr="00307028">
        <w:rPr>
          <w:rFonts w:eastAsia="Calibri"/>
          <w:i/>
          <w:iCs/>
          <w:lang w:eastAsia="en-US"/>
        </w:rPr>
        <w:t>euro</w:t>
      </w:r>
      <w:r w:rsidRPr="00307028">
        <w:rPr>
          <w:rFonts w:eastAsia="Calibri"/>
          <w:lang w:eastAsia="en-US"/>
        </w:rPr>
        <w:t xml:space="preserve"> apmērā 2024. gadam, pārdalot finansējumu </w:t>
      </w:r>
      <w:r w:rsidR="00C037F5" w:rsidRPr="00307028">
        <w:rPr>
          <w:rFonts w:eastAsia="Calibri"/>
          <w:lang w:eastAsia="en-US"/>
        </w:rPr>
        <w:t>IeM</w:t>
      </w:r>
      <w:r w:rsidRPr="00307028">
        <w:rPr>
          <w:rFonts w:eastAsia="Calibri"/>
          <w:lang w:eastAsia="en-US"/>
        </w:rPr>
        <w:t>, lai nodrošinātu ar valsts drošību saistītā ilgtermiņa saistību pasākuma “Speciālo ugunsdzēsības un glābšanas transportlīdzekļu iegāde” ietvaros iegādāto 152 ugunsdzēsības autocisternu finansējuma gala norēķinu;</w:t>
      </w:r>
    </w:p>
    <w:p w14:paraId="0E64E26B" w14:textId="610CFF1B" w:rsidR="00502EF8" w:rsidRPr="00307028" w:rsidRDefault="00502EF8" w:rsidP="00B018C5">
      <w:pPr>
        <w:numPr>
          <w:ilvl w:val="0"/>
          <w:numId w:val="50"/>
        </w:numPr>
        <w:tabs>
          <w:tab w:val="left" w:pos="993"/>
        </w:tabs>
        <w:spacing w:after="80" w:line="259" w:lineRule="auto"/>
        <w:ind w:left="0" w:firstLine="709"/>
        <w:jc w:val="both"/>
        <w:rPr>
          <w:rFonts w:eastAsia="Calibri"/>
          <w:lang w:eastAsia="en-US"/>
        </w:rPr>
      </w:pPr>
      <w:r w:rsidRPr="00307028">
        <w:rPr>
          <w:rFonts w:eastAsia="Calibri"/>
          <w:lang w:eastAsia="en-US"/>
        </w:rPr>
        <w:t xml:space="preserve"> samazināti izdevumi 350,6 milj. </w:t>
      </w:r>
      <w:r w:rsidRPr="00307028">
        <w:rPr>
          <w:rFonts w:eastAsia="Calibri"/>
          <w:i/>
          <w:iCs/>
          <w:lang w:eastAsia="en-US"/>
        </w:rPr>
        <w:t>euro</w:t>
      </w:r>
      <w:r w:rsidRPr="00307028">
        <w:rPr>
          <w:rFonts w:eastAsia="Calibri"/>
          <w:lang w:eastAsia="en-US"/>
        </w:rPr>
        <w:t xml:space="preserve"> apmērā 2026. gadam</w:t>
      </w:r>
      <w:r w:rsidRPr="00307028">
        <w:rPr>
          <w:rFonts w:ascii="Calibri" w:eastAsia="Calibri" w:hAnsi="Calibri"/>
          <w:sz w:val="22"/>
          <w:szCs w:val="22"/>
          <w:lang w:eastAsia="en-US"/>
        </w:rPr>
        <w:t xml:space="preserve"> </w:t>
      </w:r>
      <w:r w:rsidRPr="00307028">
        <w:rPr>
          <w:rFonts w:eastAsia="Calibri"/>
          <w:lang w:eastAsia="en-US"/>
        </w:rPr>
        <w:t xml:space="preserve">valsts drošības stiprināšanas </w:t>
      </w:r>
      <w:r w:rsidR="00C037F5" w:rsidRPr="00307028">
        <w:rPr>
          <w:rFonts w:eastAsia="Calibri"/>
          <w:lang w:eastAsia="en-US"/>
        </w:rPr>
        <w:t>PP</w:t>
      </w:r>
      <w:r w:rsidRPr="00307028">
        <w:rPr>
          <w:rFonts w:eastAsia="Calibri"/>
          <w:lang w:eastAsia="en-US"/>
        </w:rPr>
        <w:t>.</w:t>
      </w:r>
    </w:p>
    <w:p w14:paraId="1F006051" w14:textId="4AA38653" w:rsidR="00502EF8" w:rsidRPr="00307028" w:rsidRDefault="00502EF8" w:rsidP="00C037F5">
      <w:pPr>
        <w:spacing w:after="120" w:line="259" w:lineRule="auto"/>
        <w:ind w:firstLine="709"/>
        <w:jc w:val="both"/>
        <w:rPr>
          <w:rFonts w:eastAsia="Times New Roman"/>
          <w:lang w:eastAsia="en-US"/>
        </w:rPr>
      </w:pPr>
      <w:r w:rsidRPr="00307028">
        <w:rPr>
          <w:rFonts w:eastAsia="Times New Roman"/>
          <w:lang w:eastAsia="en-US"/>
        </w:rPr>
        <w:t>Bez tam veiktas arī citas korekcijas saskaņā ar noteikumu Nr. 15 nosacījumiem.</w:t>
      </w:r>
    </w:p>
    <w:p w14:paraId="62A5BC42" w14:textId="194003B1" w:rsidR="00502EF8" w:rsidRPr="00307028" w:rsidRDefault="00502EF8" w:rsidP="00C037F5">
      <w:pPr>
        <w:spacing w:after="120" w:line="259" w:lineRule="auto"/>
        <w:ind w:firstLine="709"/>
        <w:jc w:val="both"/>
        <w:rPr>
          <w:rFonts w:eastAsia="Times New Roman"/>
          <w:lang w:eastAsia="en-US"/>
        </w:rPr>
      </w:pPr>
      <w:r w:rsidRPr="00307028">
        <w:rPr>
          <w:rFonts w:eastAsia="Times New Roman"/>
          <w:b/>
          <w:lang w:eastAsia="en-US"/>
        </w:rPr>
        <w:t xml:space="preserve">Izdevumi </w:t>
      </w:r>
      <w:r w:rsidR="00C037F5" w:rsidRPr="00307028">
        <w:rPr>
          <w:rFonts w:eastAsia="Times New Roman"/>
          <w:b/>
          <w:lang w:eastAsia="en-US"/>
        </w:rPr>
        <w:t>ES</w:t>
      </w:r>
      <w:r w:rsidRPr="00307028">
        <w:rPr>
          <w:rFonts w:eastAsia="Times New Roman"/>
          <w:b/>
          <w:lang w:eastAsia="en-US"/>
        </w:rPr>
        <w:t xml:space="preserve"> politiku instrumentu un pārējās ārvalstu finanšu palīdzības līdzfinansēto projektu un pasākumu īstenošanai</w:t>
      </w:r>
      <w:r w:rsidRPr="00307028">
        <w:rPr>
          <w:rFonts w:eastAsia="Times New Roman"/>
          <w:lang w:eastAsia="en-US"/>
        </w:rPr>
        <w:t xml:space="preserve"> </w:t>
      </w:r>
      <w:r w:rsidRPr="00307028">
        <w:rPr>
          <w:rFonts w:eastAsia="Times New Roman"/>
          <w:b/>
          <w:lang w:eastAsia="en-US"/>
        </w:rPr>
        <w:t>2024. gadam</w:t>
      </w:r>
      <w:r w:rsidRPr="00307028">
        <w:rPr>
          <w:rFonts w:eastAsia="Times New Roman"/>
          <w:lang w:eastAsia="en-US"/>
        </w:rPr>
        <w:t xml:space="preserve"> paredzēti </w:t>
      </w:r>
      <w:r w:rsidRPr="00307028">
        <w:rPr>
          <w:rFonts w:eastAsia="Times New Roman"/>
          <w:b/>
          <w:lang w:eastAsia="en-US"/>
        </w:rPr>
        <w:t>2 621,4</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w:t>
      </w:r>
      <w:r w:rsidRPr="00307028">
        <w:rPr>
          <w:rFonts w:eastAsia="Times New Roman"/>
          <w:b/>
          <w:lang w:eastAsia="en-US"/>
        </w:rPr>
        <w:t>2025. gadam 2 658,0</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un </w:t>
      </w:r>
      <w:r w:rsidRPr="00307028">
        <w:rPr>
          <w:rFonts w:eastAsia="Times New Roman"/>
          <w:b/>
          <w:lang w:eastAsia="en-US"/>
        </w:rPr>
        <w:t>2026. gadam 2 252,6</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Salīdzinājumā ar ietvaru 2024. gadam </w:t>
      </w:r>
      <w:r w:rsidRPr="00307028">
        <w:rPr>
          <w:rFonts w:eastAsia="Times New Roman"/>
          <w:lang w:eastAsia="lv-LV"/>
        </w:rPr>
        <w:t xml:space="preserve">izdevumi palielināti </w:t>
      </w:r>
      <w:r w:rsidRPr="00307028">
        <w:rPr>
          <w:rFonts w:eastAsia="Times New Roman"/>
          <w:lang w:eastAsia="en-US"/>
        </w:rPr>
        <w:t xml:space="preserve">464,5 milj. </w:t>
      </w:r>
      <w:r w:rsidRPr="00307028">
        <w:rPr>
          <w:rFonts w:eastAsia="Times New Roman"/>
          <w:i/>
          <w:lang w:eastAsia="en-US"/>
        </w:rPr>
        <w:t>euro</w:t>
      </w:r>
      <w:r w:rsidRPr="00307028">
        <w:rPr>
          <w:rFonts w:eastAsia="Times New Roman"/>
          <w:lang w:eastAsia="en-US"/>
        </w:rPr>
        <w:t xml:space="preserve"> apmērā, 2025.</w:t>
      </w:r>
      <w:r w:rsidR="00680513" w:rsidRPr="00307028">
        <w:rPr>
          <w:rFonts w:eastAsia="Times New Roman"/>
          <w:lang w:eastAsia="en-US"/>
        </w:rPr>
        <w:t> </w:t>
      </w:r>
      <w:r w:rsidRPr="00307028">
        <w:rPr>
          <w:rFonts w:eastAsia="Times New Roman"/>
          <w:lang w:eastAsia="en-US"/>
        </w:rPr>
        <w:t xml:space="preserve">gadam izdevumi palielināti 531,2 milj. </w:t>
      </w:r>
      <w:r w:rsidRPr="00307028">
        <w:rPr>
          <w:rFonts w:eastAsia="Times New Roman"/>
          <w:i/>
          <w:lang w:eastAsia="en-US"/>
        </w:rPr>
        <w:t>euro</w:t>
      </w:r>
      <w:r w:rsidRPr="00307028">
        <w:rPr>
          <w:rFonts w:eastAsia="Times New Roman"/>
          <w:lang w:eastAsia="en-US"/>
        </w:rPr>
        <w:t xml:space="preserve"> apmērā un 2026. gadam izdevumi palielināti 125,8</w:t>
      </w:r>
      <w:r w:rsidR="00680513" w:rsidRPr="00307028">
        <w:rPr>
          <w:rFonts w:eastAsia="Times New Roman"/>
          <w:lang w:eastAsia="en-US"/>
        </w:rPr>
        <w:t> </w:t>
      </w:r>
      <w:r w:rsidRPr="00307028">
        <w:rPr>
          <w:rFonts w:eastAsia="Times New Roman"/>
          <w:lang w:eastAsia="en-US"/>
        </w:rPr>
        <w:t xml:space="preserve">milj. </w:t>
      </w:r>
      <w:r w:rsidRPr="00307028">
        <w:rPr>
          <w:rFonts w:eastAsia="Times New Roman"/>
          <w:i/>
          <w:lang w:eastAsia="en-US"/>
        </w:rPr>
        <w:t>euro</w:t>
      </w:r>
      <w:r w:rsidRPr="00307028">
        <w:rPr>
          <w:rFonts w:eastAsia="Times New Roman"/>
          <w:lang w:eastAsia="en-US"/>
        </w:rPr>
        <w:t xml:space="preserve"> apmērā (Attēls Nr. 1.3).</w:t>
      </w:r>
    </w:p>
    <w:p w14:paraId="0B342099" w14:textId="01AD05BE" w:rsidR="00502EF8" w:rsidRPr="00307028" w:rsidRDefault="00502EF8" w:rsidP="00502EF8">
      <w:pPr>
        <w:spacing w:after="120"/>
        <w:jc w:val="center"/>
        <w:rPr>
          <w:rFonts w:eastAsia="Times New Roman"/>
          <w:b/>
          <w:bCs/>
          <w:i/>
          <w:sz w:val="22"/>
          <w:szCs w:val="22"/>
          <w:lang w:eastAsia="en-US"/>
        </w:rPr>
      </w:pPr>
      <w:r w:rsidRPr="00307028">
        <w:rPr>
          <w:rFonts w:eastAsia="Times New Roman"/>
          <w:b/>
          <w:bCs/>
          <w:i/>
          <w:sz w:val="22"/>
          <w:szCs w:val="22"/>
          <w:lang w:eastAsia="en-US"/>
        </w:rPr>
        <w:t>1.3.</w:t>
      </w:r>
      <w:r w:rsidR="00DC3088" w:rsidRPr="00307028">
        <w:rPr>
          <w:rFonts w:eastAsia="Times New Roman"/>
          <w:b/>
          <w:bCs/>
          <w:i/>
          <w:sz w:val="22"/>
          <w:szCs w:val="22"/>
          <w:lang w:eastAsia="en-US"/>
        </w:rPr>
        <w:t xml:space="preserve"> </w:t>
      </w:r>
      <w:r w:rsidRPr="00307028">
        <w:rPr>
          <w:rFonts w:eastAsia="Times New Roman"/>
          <w:b/>
          <w:bCs/>
          <w:i/>
          <w:sz w:val="22"/>
          <w:szCs w:val="22"/>
          <w:lang w:eastAsia="en-US"/>
        </w:rPr>
        <w:t>attēls</w:t>
      </w:r>
      <w:r w:rsidRPr="00307028">
        <w:rPr>
          <w:rFonts w:eastAsia="Times New Roman"/>
          <w:b/>
          <w:bCs/>
          <w:sz w:val="22"/>
          <w:szCs w:val="22"/>
          <w:lang w:eastAsia="en-US"/>
        </w:rPr>
        <w:t xml:space="preserve"> Izdevumi ES politiku īstenošanai 2024., 2025. un 2026. gadam, milj. </w:t>
      </w:r>
      <w:r w:rsidRPr="00307028">
        <w:rPr>
          <w:rFonts w:eastAsia="Times New Roman"/>
          <w:b/>
          <w:bCs/>
          <w:i/>
          <w:sz w:val="22"/>
          <w:szCs w:val="22"/>
          <w:lang w:eastAsia="en-US"/>
        </w:rPr>
        <w:t xml:space="preserve">euro </w:t>
      </w:r>
    </w:p>
    <w:p w14:paraId="69D34148" w14:textId="77777777" w:rsidR="00502EF8" w:rsidRPr="00307028" w:rsidRDefault="00502EF8" w:rsidP="00502EF8">
      <w:pPr>
        <w:spacing w:after="120"/>
        <w:jc w:val="center"/>
        <w:rPr>
          <w:rFonts w:eastAsia="Times New Roman"/>
          <w:lang w:eastAsia="en-US"/>
        </w:rPr>
      </w:pPr>
      <w:r w:rsidRPr="00307028">
        <w:rPr>
          <w:rFonts w:eastAsia="Times New Roman"/>
          <w:noProof/>
          <w:szCs w:val="20"/>
          <w:lang w:eastAsia="lv-LV"/>
        </w:rPr>
        <w:drawing>
          <wp:inline distT="0" distB="0" distL="0" distR="0" wp14:anchorId="3EE0F38A" wp14:editId="7BB88F31">
            <wp:extent cx="5401945" cy="2297927"/>
            <wp:effectExtent l="0" t="0" r="8255" b="7620"/>
            <wp:docPr id="1168868227"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632980" w14:textId="725A4934" w:rsidR="00502EF8" w:rsidRPr="00307028" w:rsidRDefault="00502EF8" w:rsidP="00C037F5">
      <w:pPr>
        <w:jc w:val="both"/>
        <w:rPr>
          <w:rFonts w:eastAsia="Times New Roman"/>
          <w:i/>
          <w:iCs/>
          <w:sz w:val="18"/>
          <w:szCs w:val="18"/>
          <w:lang w:eastAsia="en-US"/>
        </w:rPr>
      </w:pPr>
      <w:r w:rsidRPr="00307028">
        <w:rPr>
          <w:rFonts w:eastAsia="Times New Roman"/>
          <w:sz w:val="18"/>
          <w:szCs w:val="18"/>
          <w:lang w:eastAsia="en-US"/>
        </w:rPr>
        <w:t xml:space="preserve">* </w:t>
      </w:r>
      <w:r w:rsidRPr="00307028">
        <w:rPr>
          <w:rFonts w:eastAsia="Times New Roman"/>
          <w:i/>
          <w:iCs/>
          <w:sz w:val="18"/>
          <w:szCs w:val="18"/>
          <w:lang w:eastAsia="en-US"/>
        </w:rPr>
        <w:t>2024. un 2025. gadam aprēķināta, pamatojoties uz likumā “Par valsts budžetu 2023. gadam un budžeta ietvaru 2023., 2024. un 2025. gadam” noteikto maksimāli pieļaujamo izdevumu apjomu (ietvaru) attiecīgajam gadam, 2026. gadam – pamatojoties uz 2025. gadam apstiprināto ietvaru</w:t>
      </w:r>
    </w:p>
    <w:p w14:paraId="2A3BFB0D" w14:textId="7A4E05DC" w:rsidR="00502EF8" w:rsidRPr="00307028" w:rsidRDefault="00502EF8" w:rsidP="00C037F5">
      <w:pPr>
        <w:spacing w:before="120" w:after="120" w:line="259" w:lineRule="auto"/>
        <w:ind w:firstLine="709"/>
        <w:jc w:val="both"/>
        <w:rPr>
          <w:rFonts w:eastAsia="Times New Roman"/>
          <w:lang w:eastAsia="en-US"/>
        </w:rPr>
      </w:pPr>
      <w:r w:rsidRPr="00307028">
        <w:rPr>
          <w:rFonts w:eastAsia="Times New Roman"/>
          <w:lang w:eastAsia="en-US"/>
        </w:rPr>
        <w:lastRenderedPageBreak/>
        <w:t xml:space="preserve">Izmaiņas </w:t>
      </w:r>
      <w:r w:rsidRPr="00307028">
        <w:rPr>
          <w:rFonts w:eastAsia="Times New Roman"/>
          <w:b/>
          <w:lang w:eastAsia="en-US"/>
        </w:rPr>
        <w:t xml:space="preserve">izdevumiem </w:t>
      </w:r>
      <w:r w:rsidR="00C037F5" w:rsidRPr="00307028">
        <w:rPr>
          <w:rFonts w:eastAsia="Times New Roman"/>
          <w:b/>
          <w:lang w:eastAsia="en-US"/>
        </w:rPr>
        <w:t>ES</w:t>
      </w:r>
      <w:r w:rsidRPr="00307028">
        <w:rPr>
          <w:rFonts w:eastAsia="Times New Roman"/>
          <w:b/>
          <w:lang w:eastAsia="en-US"/>
        </w:rPr>
        <w:t xml:space="preserve"> politiku īstenošanai</w:t>
      </w:r>
      <w:r w:rsidRPr="00307028">
        <w:rPr>
          <w:rFonts w:eastAsia="Times New Roman"/>
          <w:lang w:eastAsia="en-US"/>
        </w:rPr>
        <w:t xml:space="preserve"> galvenokārt veido: </w:t>
      </w:r>
    </w:p>
    <w:p w14:paraId="5A1AFC9C" w14:textId="77777777" w:rsidR="00502EF8" w:rsidRPr="00307028" w:rsidRDefault="00502EF8" w:rsidP="00C037F5">
      <w:pPr>
        <w:numPr>
          <w:ilvl w:val="0"/>
          <w:numId w:val="51"/>
        </w:numPr>
        <w:tabs>
          <w:tab w:val="left" w:pos="993"/>
        </w:tabs>
        <w:spacing w:after="120" w:line="259" w:lineRule="auto"/>
        <w:ind w:left="0" w:firstLine="720"/>
        <w:jc w:val="both"/>
        <w:rPr>
          <w:rFonts w:eastAsia="Calibri"/>
          <w:lang w:eastAsia="en-US"/>
        </w:rPr>
      </w:pPr>
      <w:r w:rsidRPr="00307028">
        <w:rPr>
          <w:rFonts w:eastAsia="Calibri"/>
          <w:lang w:eastAsia="en-US"/>
        </w:rPr>
        <w:t xml:space="preserve">palielināti izdevumi, kas tiek segti no ārvalstu finanšu palīdzības līdzekļu atlikumiem 9,6 milj. </w:t>
      </w:r>
      <w:r w:rsidRPr="00307028">
        <w:rPr>
          <w:rFonts w:eastAsia="Calibri"/>
          <w:i/>
          <w:lang w:eastAsia="en-US"/>
        </w:rPr>
        <w:t>euro</w:t>
      </w:r>
      <w:r w:rsidRPr="00307028">
        <w:rPr>
          <w:rFonts w:eastAsia="Calibri"/>
          <w:lang w:eastAsia="en-US"/>
        </w:rPr>
        <w:t xml:space="preserve"> apmērā 2024. gadam, 0,2 milj. </w:t>
      </w:r>
      <w:r w:rsidRPr="00307028">
        <w:rPr>
          <w:rFonts w:eastAsia="Calibri"/>
          <w:i/>
          <w:lang w:eastAsia="en-US"/>
        </w:rPr>
        <w:t>euro</w:t>
      </w:r>
      <w:r w:rsidRPr="00307028">
        <w:rPr>
          <w:rFonts w:eastAsia="Calibri"/>
          <w:lang w:eastAsia="en-US"/>
        </w:rPr>
        <w:t xml:space="preserve"> apmērā 2025. gadam un 0,1 milj. </w:t>
      </w:r>
      <w:r w:rsidRPr="00307028">
        <w:rPr>
          <w:rFonts w:eastAsia="Calibri"/>
          <w:i/>
          <w:lang w:eastAsia="en-US"/>
        </w:rPr>
        <w:t>euro</w:t>
      </w:r>
      <w:r w:rsidRPr="00307028">
        <w:rPr>
          <w:rFonts w:eastAsia="Calibri"/>
          <w:lang w:eastAsia="en-US"/>
        </w:rPr>
        <w:t xml:space="preserve"> apmērā 2026. gadam; </w:t>
      </w:r>
    </w:p>
    <w:p w14:paraId="5859D32C" w14:textId="77777777" w:rsidR="00502EF8" w:rsidRPr="00307028" w:rsidRDefault="00502EF8" w:rsidP="00C037F5">
      <w:pPr>
        <w:numPr>
          <w:ilvl w:val="0"/>
          <w:numId w:val="51"/>
        </w:numPr>
        <w:tabs>
          <w:tab w:val="left" w:pos="993"/>
        </w:tabs>
        <w:spacing w:after="120" w:line="259" w:lineRule="auto"/>
        <w:ind w:left="0" w:firstLine="720"/>
        <w:jc w:val="both"/>
        <w:rPr>
          <w:rFonts w:eastAsia="Calibri"/>
          <w:lang w:eastAsia="en-US"/>
        </w:rPr>
      </w:pPr>
      <w:r w:rsidRPr="00307028">
        <w:rPr>
          <w:rFonts w:eastAsia="Calibri"/>
          <w:lang w:eastAsia="en-US"/>
        </w:rPr>
        <w:t xml:space="preserve">ministriju budžetos saņemtie ārvalstu finanšu palīdzības līdzekļi un atbilstoši palielināti izdevumi 47,6 milj. </w:t>
      </w:r>
      <w:r w:rsidRPr="00307028">
        <w:rPr>
          <w:rFonts w:eastAsia="Calibri"/>
          <w:i/>
          <w:lang w:eastAsia="en-US"/>
        </w:rPr>
        <w:t>euro</w:t>
      </w:r>
      <w:r w:rsidRPr="00307028">
        <w:rPr>
          <w:rFonts w:eastAsia="Calibri"/>
          <w:lang w:eastAsia="en-US"/>
        </w:rPr>
        <w:t xml:space="preserve"> apmērā 2024. gadam, 61,3 milj. </w:t>
      </w:r>
      <w:r w:rsidRPr="00307028">
        <w:rPr>
          <w:rFonts w:eastAsia="Calibri"/>
          <w:i/>
          <w:lang w:eastAsia="en-US"/>
        </w:rPr>
        <w:t>euro</w:t>
      </w:r>
      <w:r w:rsidRPr="00307028">
        <w:rPr>
          <w:rFonts w:eastAsia="Calibri"/>
          <w:lang w:eastAsia="en-US"/>
        </w:rPr>
        <w:t xml:space="preserve"> apmērā 2025. gadam un 12,7 milj. </w:t>
      </w:r>
      <w:r w:rsidRPr="00307028">
        <w:rPr>
          <w:rFonts w:eastAsia="Calibri"/>
          <w:i/>
          <w:lang w:eastAsia="en-US"/>
        </w:rPr>
        <w:t>euro</w:t>
      </w:r>
      <w:r w:rsidRPr="00307028">
        <w:rPr>
          <w:rFonts w:eastAsia="Calibri"/>
          <w:lang w:eastAsia="en-US"/>
        </w:rPr>
        <w:t xml:space="preserve"> apmērā 2026. gadam;</w:t>
      </w:r>
    </w:p>
    <w:p w14:paraId="09072B69" w14:textId="586DE1BB" w:rsidR="00502EF8" w:rsidRPr="00307028" w:rsidRDefault="00502EF8" w:rsidP="00C037F5">
      <w:pPr>
        <w:numPr>
          <w:ilvl w:val="0"/>
          <w:numId w:val="51"/>
        </w:numPr>
        <w:tabs>
          <w:tab w:val="left" w:pos="993"/>
        </w:tabs>
        <w:spacing w:after="120" w:line="259" w:lineRule="auto"/>
        <w:ind w:left="0" w:firstLine="720"/>
        <w:jc w:val="both"/>
        <w:rPr>
          <w:rFonts w:eastAsia="Calibri"/>
          <w:lang w:eastAsia="en-US"/>
        </w:rPr>
      </w:pPr>
      <w:r w:rsidRPr="00307028">
        <w:rPr>
          <w:rFonts w:eastAsia="Calibri"/>
          <w:lang w:eastAsia="en-US"/>
        </w:rPr>
        <w:t xml:space="preserve">veikta līdzekļu pārdale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(turpmāk – 80.00.00 programma) uz ministriju budžetiem jau uzsākto </w:t>
      </w:r>
      <w:r w:rsidR="00C037F5" w:rsidRPr="00307028">
        <w:rPr>
          <w:rFonts w:eastAsia="Calibri"/>
          <w:lang w:eastAsia="en-US"/>
        </w:rPr>
        <w:t>ES</w:t>
      </w:r>
      <w:r w:rsidRPr="00307028">
        <w:rPr>
          <w:rFonts w:eastAsia="Calibri"/>
          <w:lang w:eastAsia="en-US"/>
        </w:rPr>
        <w:t xml:space="preserve"> politiku instrumentu un pārējās ārvalstu finanšu palīdzības līdzfinansēto projektu un pasākumu, kā arī emisijas kvotu izsoļu ieņēmumu instrumentu līdzekļu finansēto vai līdzfinansēto projektu un pasākumu īstenošanai 543,8 milj. </w:t>
      </w:r>
      <w:r w:rsidRPr="00307028">
        <w:rPr>
          <w:rFonts w:eastAsia="Calibri"/>
          <w:i/>
          <w:lang w:eastAsia="en-US"/>
        </w:rPr>
        <w:t>euro</w:t>
      </w:r>
      <w:r w:rsidRPr="00307028">
        <w:rPr>
          <w:rFonts w:eastAsia="Calibri"/>
          <w:lang w:eastAsia="en-US"/>
        </w:rPr>
        <w:t xml:space="preserve"> apmērā 2024. gadam, 240,8</w:t>
      </w:r>
      <w:r w:rsidR="00680513" w:rsidRPr="00307028">
        <w:rPr>
          <w:rFonts w:eastAsia="Calibri"/>
          <w:lang w:eastAsia="en-US"/>
        </w:rPr>
        <w:t> </w:t>
      </w:r>
      <w:r w:rsidRPr="00307028">
        <w:rPr>
          <w:rFonts w:eastAsia="Calibri"/>
          <w:lang w:eastAsia="en-US"/>
        </w:rPr>
        <w:t xml:space="preserve">milj. </w:t>
      </w:r>
      <w:r w:rsidRPr="00307028">
        <w:rPr>
          <w:rFonts w:eastAsia="Calibri"/>
          <w:i/>
          <w:lang w:eastAsia="en-US"/>
        </w:rPr>
        <w:t>euro</w:t>
      </w:r>
      <w:r w:rsidRPr="00307028">
        <w:rPr>
          <w:rFonts w:eastAsia="Calibri"/>
          <w:lang w:eastAsia="en-US"/>
        </w:rPr>
        <w:t xml:space="preserve"> apmērā 2025. gadam un 97,4 milj. </w:t>
      </w:r>
      <w:r w:rsidRPr="00307028">
        <w:rPr>
          <w:rFonts w:eastAsia="Calibri"/>
          <w:i/>
          <w:lang w:eastAsia="en-US"/>
        </w:rPr>
        <w:t>euro</w:t>
      </w:r>
      <w:r w:rsidRPr="00307028">
        <w:rPr>
          <w:rFonts w:eastAsia="Calibri"/>
          <w:lang w:eastAsia="en-US"/>
        </w:rPr>
        <w:t xml:space="preserve"> apmērā 2026. gadam;</w:t>
      </w:r>
    </w:p>
    <w:p w14:paraId="73190840" w14:textId="18F7142A" w:rsidR="00502EF8" w:rsidRPr="00307028" w:rsidRDefault="00502EF8" w:rsidP="00C037F5">
      <w:pPr>
        <w:numPr>
          <w:ilvl w:val="0"/>
          <w:numId w:val="51"/>
        </w:numPr>
        <w:tabs>
          <w:tab w:val="left" w:pos="993"/>
        </w:tabs>
        <w:spacing w:after="120" w:line="259" w:lineRule="auto"/>
        <w:ind w:left="0" w:firstLine="720"/>
        <w:jc w:val="both"/>
        <w:rPr>
          <w:rFonts w:eastAsia="Calibri"/>
          <w:lang w:eastAsia="en-US"/>
        </w:rPr>
      </w:pPr>
      <w:r w:rsidRPr="00307028">
        <w:rPr>
          <w:rFonts w:eastAsia="Calibri"/>
          <w:lang w:eastAsia="en-US"/>
        </w:rPr>
        <w:t xml:space="preserve">palielināti izdevumi 80.00.00 programmā </w:t>
      </w:r>
      <w:r w:rsidR="00C037F5" w:rsidRPr="00307028">
        <w:rPr>
          <w:rFonts w:eastAsia="Calibri"/>
          <w:lang w:eastAsia="en-US"/>
        </w:rPr>
        <w:t>ES</w:t>
      </w:r>
      <w:r w:rsidRPr="00307028">
        <w:rPr>
          <w:rFonts w:eastAsia="Calibri"/>
          <w:lang w:eastAsia="en-US"/>
        </w:rPr>
        <w:t xml:space="preserve"> politiku instrumentu un pārējās ārvalstu finanšu palīdzības līdzfinansēto projektu un pasākumu īstenošanai atbilstoši vadošo iestāžu 2023. gada jūlija prognozēm 415,6 milj. </w:t>
      </w:r>
      <w:r w:rsidRPr="00307028">
        <w:rPr>
          <w:rFonts w:eastAsia="Calibri"/>
          <w:i/>
          <w:lang w:eastAsia="en-US"/>
        </w:rPr>
        <w:t>euro</w:t>
      </w:r>
      <w:r w:rsidRPr="00307028">
        <w:rPr>
          <w:rFonts w:eastAsia="Calibri"/>
          <w:lang w:eastAsia="en-US"/>
        </w:rPr>
        <w:t xml:space="preserve"> apmērā 2024. gadam, 476,3 milj. </w:t>
      </w:r>
      <w:r w:rsidRPr="00307028">
        <w:rPr>
          <w:rFonts w:eastAsia="Calibri"/>
          <w:i/>
          <w:lang w:eastAsia="en-US"/>
        </w:rPr>
        <w:t>euro</w:t>
      </w:r>
      <w:r w:rsidRPr="00307028">
        <w:rPr>
          <w:rFonts w:eastAsia="Calibri"/>
          <w:lang w:eastAsia="en-US"/>
        </w:rPr>
        <w:t xml:space="preserve"> apmērā 2025. gadam un 113,9 milj. </w:t>
      </w:r>
      <w:r w:rsidRPr="00307028">
        <w:rPr>
          <w:rFonts w:eastAsia="Calibri"/>
          <w:i/>
          <w:lang w:eastAsia="en-US"/>
        </w:rPr>
        <w:t>euro</w:t>
      </w:r>
      <w:r w:rsidRPr="00307028">
        <w:rPr>
          <w:rFonts w:eastAsia="Calibri"/>
          <w:lang w:eastAsia="en-US"/>
        </w:rPr>
        <w:t xml:space="preserve"> apmērā 2026. gadam;</w:t>
      </w:r>
    </w:p>
    <w:p w14:paraId="11CFFB58" w14:textId="11E89AA6" w:rsidR="00502EF8" w:rsidRPr="00307028" w:rsidRDefault="00C037F5" w:rsidP="00502EF8">
      <w:pPr>
        <w:numPr>
          <w:ilvl w:val="0"/>
          <w:numId w:val="51"/>
        </w:numPr>
        <w:tabs>
          <w:tab w:val="left" w:pos="993"/>
        </w:tabs>
        <w:spacing w:after="120" w:line="259" w:lineRule="auto"/>
        <w:ind w:left="0" w:firstLine="720"/>
        <w:jc w:val="both"/>
        <w:rPr>
          <w:rFonts w:eastAsia="Calibri"/>
          <w:lang w:eastAsia="en-US"/>
        </w:rPr>
      </w:pPr>
      <w:r w:rsidRPr="00307028">
        <w:rPr>
          <w:rFonts w:eastAsia="Calibri"/>
          <w:b/>
          <w:bCs/>
          <w:noProof/>
          <w:szCs w:val="20"/>
          <w:lang w:eastAsia="en-US"/>
        </w:rPr>
        <mc:AlternateContent>
          <mc:Choice Requires="wps">
            <w:drawing>
              <wp:anchor distT="45720" distB="45720" distL="114300" distR="114300" simplePos="0" relativeHeight="251761664" behindDoc="0" locked="0" layoutInCell="1" allowOverlap="1" wp14:anchorId="2F75B7DF" wp14:editId="40F9E6C5">
                <wp:simplePos x="0" y="0"/>
                <wp:positionH relativeFrom="margin">
                  <wp:posOffset>33020</wp:posOffset>
                </wp:positionH>
                <wp:positionV relativeFrom="paragraph">
                  <wp:posOffset>763905</wp:posOffset>
                </wp:positionV>
                <wp:extent cx="5742305" cy="317500"/>
                <wp:effectExtent l="0" t="0" r="10795" b="25400"/>
                <wp:wrapTopAndBottom/>
                <wp:docPr id="1046785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317500"/>
                        </a:xfrm>
                        <a:prstGeom prst="rect">
                          <a:avLst/>
                        </a:prstGeom>
                        <a:solidFill>
                          <a:srgbClr val="57ABD5"/>
                        </a:solidFill>
                        <a:ln w="9525">
                          <a:solidFill>
                            <a:srgbClr val="8FAADC"/>
                          </a:solidFill>
                          <a:miter lim="800000"/>
                          <a:headEnd/>
                          <a:tailEnd/>
                        </a:ln>
                      </wps:spPr>
                      <wps:txbx>
                        <w:txbxContent>
                          <w:p w14:paraId="317045B8" w14:textId="77777777" w:rsidR="00502EF8" w:rsidRPr="00741C4A" w:rsidRDefault="00502EF8" w:rsidP="00741C4A">
                            <w:pPr>
                              <w:shd w:val="clear" w:color="auto" w:fill="57ABD5"/>
                              <w:jc w:val="center"/>
                              <w:rPr>
                                <w:b/>
                                <w:bCs/>
                                <w:caps/>
                                <w:sz w:val="28"/>
                                <w:szCs w:val="28"/>
                              </w:rPr>
                            </w:pPr>
                            <w:r w:rsidRPr="00741C4A">
                              <w:rPr>
                                <w:b/>
                                <w:bCs/>
                                <w:caps/>
                                <w:sz w:val="28"/>
                                <w:szCs w:val="28"/>
                              </w:rPr>
                              <w:t>Valsts speciālā budžeta bāze 2024., 2025. un 2026. gadam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5B7DF" id="_x0000_s1030" type="#_x0000_t202" style="position:absolute;left:0;text-align:left;margin-left:2.6pt;margin-top:60.15pt;width:452.15pt;height:2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" fillcolor="#57abd5" strokecolor="#8faadc">
                <v:textbox>
                  <w:txbxContent>
                    <w:p w14:paraId="317045B8" w14:textId="77777777" w:rsidR="00502EF8" w:rsidRPr="00741C4A" w:rsidRDefault="00502EF8" w:rsidP="00741C4A">
                      <w:pPr>
                        <w:shd w:val="clear" w:color="auto" w:fill="57ABD5"/>
                        <w:jc w:val="center"/>
                        <w:rPr>
                          <w:b/>
                          <w:bCs/>
                          <w:caps/>
                          <w:sz w:val="28"/>
                          <w:szCs w:val="28"/>
                        </w:rPr>
                      </w:pPr>
                      <w:r w:rsidRPr="00741C4A">
                        <w:rPr>
                          <w:b/>
                          <w:bCs/>
                          <w:caps/>
                          <w:sz w:val="28"/>
                          <w:szCs w:val="28"/>
                        </w:rPr>
                        <w:t>Valsts speciālā budžeta bāze 2024., 2025. un 2026. gadam</w:t>
                      </w:r>
                    </w:p>
                  </w:txbxContent>
                </v:textbox>
                <w10:wrap type="topAndBottom" anchorx="margin"/>
              </v:shape>
            </w:pict>
          </mc:Fallback>
        </mc:AlternateContent>
      </w:r>
      <w:r w:rsidR="00502EF8" w:rsidRPr="00307028">
        <w:rPr>
          <w:rFonts w:eastAsia="Calibri"/>
          <w:lang w:eastAsia="en-US"/>
        </w:rPr>
        <w:t xml:space="preserve">no valsts budžeta daļēji finansēto atvasināto publisko personu un budžeta nefinansēto iestāžu transfertiem palielināti izdevumi 0,9 milj. </w:t>
      </w:r>
      <w:r w:rsidR="00502EF8" w:rsidRPr="00307028">
        <w:rPr>
          <w:rFonts w:eastAsia="Calibri"/>
          <w:i/>
          <w:lang w:eastAsia="en-US"/>
        </w:rPr>
        <w:t>euro</w:t>
      </w:r>
      <w:r w:rsidR="00502EF8" w:rsidRPr="00307028">
        <w:rPr>
          <w:rFonts w:eastAsia="Calibri"/>
          <w:lang w:eastAsia="en-US"/>
        </w:rPr>
        <w:t xml:space="preserve"> apmērā 2024. un 2025. gadam ik gadu un 0,6 milj. </w:t>
      </w:r>
      <w:r w:rsidR="00502EF8" w:rsidRPr="00307028">
        <w:rPr>
          <w:rFonts w:eastAsia="Calibri"/>
          <w:i/>
          <w:lang w:eastAsia="en-US"/>
        </w:rPr>
        <w:t>euro</w:t>
      </w:r>
      <w:r w:rsidR="00502EF8" w:rsidRPr="00307028">
        <w:rPr>
          <w:rFonts w:eastAsia="Calibri"/>
          <w:lang w:eastAsia="en-US"/>
        </w:rPr>
        <w:t xml:space="preserve"> apmērā 2026. gadam.</w:t>
      </w:r>
    </w:p>
    <w:p w14:paraId="1AB55B5D" w14:textId="77777777" w:rsidR="00502EF8" w:rsidRPr="00307028" w:rsidRDefault="00502EF8" w:rsidP="00C037F5">
      <w:pPr>
        <w:spacing w:after="120" w:line="259" w:lineRule="auto"/>
        <w:ind w:firstLine="709"/>
        <w:jc w:val="both"/>
        <w:rPr>
          <w:rFonts w:eastAsia="Times New Roman"/>
          <w:lang w:eastAsia="lv-LV"/>
        </w:rPr>
      </w:pPr>
      <w:r w:rsidRPr="00307028">
        <w:rPr>
          <w:rFonts w:eastAsia="Times New Roman"/>
          <w:lang w:eastAsia="lv-LV"/>
        </w:rPr>
        <w:t xml:space="preserve">Saskaņā ar noteikumiem </w:t>
      </w:r>
      <w:r w:rsidRPr="00307028">
        <w:rPr>
          <w:rFonts w:eastAsia="Times New Roman"/>
          <w:lang w:eastAsia="en-US"/>
        </w:rPr>
        <w:t xml:space="preserve">Nr. 15 </w:t>
      </w:r>
      <w:r w:rsidRPr="00307028">
        <w:rPr>
          <w:rFonts w:eastAsia="Times New Roman"/>
          <w:lang w:eastAsia="lv-LV"/>
        </w:rPr>
        <w:t>valsts speciālā budžeta bāze 2024. un 2025. gadam aprēķināta, pamatojoties uz ietvaru attiecīgajam gadam, bet 2026. gadam – pamatojoties uz ietvaru 2025. gadam, kā arī ņemot vērā:</w:t>
      </w:r>
    </w:p>
    <w:p w14:paraId="3A7EB02A" w14:textId="77777777" w:rsidR="00502EF8" w:rsidRPr="00307028" w:rsidRDefault="00502EF8" w:rsidP="00DC3088">
      <w:pPr>
        <w:spacing w:after="80" w:line="259" w:lineRule="auto"/>
        <w:ind w:left="426" w:hanging="426"/>
        <w:jc w:val="both"/>
        <w:rPr>
          <w:rFonts w:eastAsia="Times New Roman"/>
          <w:lang w:eastAsia="lv-LV"/>
        </w:rPr>
      </w:pPr>
      <w:r w:rsidRPr="00307028">
        <w:rPr>
          <w:rFonts w:eastAsia="Times New Roman"/>
          <w:lang w:eastAsia="lv-LV"/>
        </w:rPr>
        <w:t>1.</w:t>
      </w:r>
      <w:r w:rsidRPr="00307028">
        <w:rPr>
          <w:rFonts w:eastAsia="Times New Roman"/>
          <w:lang w:eastAsia="en-US"/>
        </w:rPr>
        <w:t xml:space="preserve"> prognozes 2024., 2025. un 2026. gadam par:</w:t>
      </w:r>
    </w:p>
    <w:p w14:paraId="293909A2" w14:textId="77777777" w:rsidR="00502EF8" w:rsidRPr="00307028" w:rsidRDefault="00502EF8" w:rsidP="00DC3088">
      <w:pPr>
        <w:spacing w:after="80" w:line="259" w:lineRule="auto"/>
        <w:ind w:left="426" w:hanging="426"/>
        <w:jc w:val="both"/>
        <w:rPr>
          <w:rFonts w:eastAsia="Times New Roman"/>
          <w:lang w:eastAsia="en-US"/>
        </w:rPr>
      </w:pPr>
      <w:r w:rsidRPr="00307028">
        <w:rPr>
          <w:rFonts w:eastAsia="Times New Roman"/>
          <w:lang w:eastAsia="en-US"/>
        </w:rPr>
        <w:t>1.1. valsts sociālās apdrošināšanas iemaksām sadalījumā pa mēnešiem;</w:t>
      </w:r>
    </w:p>
    <w:p w14:paraId="0C33658B" w14:textId="77777777" w:rsidR="00502EF8" w:rsidRPr="00307028" w:rsidRDefault="00502EF8" w:rsidP="00DC3088">
      <w:pPr>
        <w:spacing w:after="80" w:line="259" w:lineRule="auto"/>
        <w:ind w:left="426" w:hanging="426"/>
        <w:jc w:val="both"/>
        <w:rPr>
          <w:rFonts w:eastAsia="Times New Roman"/>
          <w:lang w:eastAsia="en-US"/>
        </w:rPr>
      </w:pPr>
      <w:r w:rsidRPr="00307028">
        <w:rPr>
          <w:rFonts w:eastAsia="Times New Roman"/>
          <w:lang w:eastAsia="en-US"/>
        </w:rPr>
        <w:t xml:space="preserve">1.2. tautsaimniecībā nodarbināto mēneša vidējo bruto darba samaksu </w:t>
      </w:r>
      <w:r w:rsidRPr="00307028">
        <w:rPr>
          <w:rFonts w:eastAsia="Times New Roman"/>
          <w:i/>
          <w:iCs/>
          <w:lang w:eastAsia="en-US"/>
        </w:rPr>
        <w:t>euro</w:t>
      </w:r>
      <w:r w:rsidRPr="00307028">
        <w:rPr>
          <w:rFonts w:eastAsia="Times New Roman"/>
          <w:lang w:eastAsia="en-US"/>
        </w:rPr>
        <w:t>, tās pieaugumu faktiskajās un salīdzināmajās cenās procentos salīdzinājumā ar iepriekšējo periodu;</w:t>
      </w:r>
    </w:p>
    <w:p w14:paraId="2ACB493C" w14:textId="77777777" w:rsidR="00502EF8" w:rsidRPr="00307028" w:rsidRDefault="00502EF8" w:rsidP="00DC3088">
      <w:pPr>
        <w:spacing w:after="80" w:line="259" w:lineRule="auto"/>
        <w:ind w:left="426" w:hanging="426"/>
        <w:jc w:val="both"/>
        <w:rPr>
          <w:rFonts w:eastAsia="Times New Roman"/>
          <w:lang w:eastAsia="en-US"/>
        </w:rPr>
      </w:pPr>
      <w:r w:rsidRPr="00307028">
        <w:rPr>
          <w:rFonts w:eastAsia="Times New Roman"/>
          <w:lang w:eastAsia="en-US"/>
        </w:rPr>
        <w:t>1.3. darba tirgus rādītājiem (nodarbinātību, darba meklētāju īpatsvaru procentos no ekonomiski aktīvajiem iedzīvotājiem, reģistrēto bezdarba līmeni procentos no ekonomiski aktīvajiem iedzīvotājiem);</w:t>
      </w:r>
    </w:p>
    <w:p w14:paraId="53C53E10" w14:textId="77777777" w:rsidR="00502EF8" w:rsidRPr="00307028" w:rsidRDefault="00502EF8" w:rsidP="00DC3088">
      <w:pPr>
        <w:spacing w:after="80" w:line="259" w:lineRule="auto"/>
        <w:ind w:left="426" w:hanging="426"/>
        <w:jc w:val="both"/>
        <w:rPr>
          <w:rFonts w:eastAsia="Times New Roman"/>
          <w:lang w:eastAsia="en-US"/>
        </w:rPr>
      </w:pPr>
      <w:r w:rsidRPr="00307028">
        <w:rPr>
          <w:rFonts w:eastAsia="Times New Roman"/>
          <w:lang w:eastAsia="en-US"/>
        </w:rPr>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14:paraId="50EADFA7" w14:textId="460001D8" w:rsidR="00502EF8" w:rsidRPr="00307028" w:rsidRDefault="00502EF8" w:rsidP="00DC3088">
      <w:pPr>
        <w:spacing w:after="80" w:line="259" w:lineRule="auto"/>
        <w:ind w:left="426" w:hanging="426"/>
        <w:jc w:val="both"/>
        <w:rPr>
          <w:rFonts w:eastAsia="Times New Roman"/>
          <w:lang w:eastAsia="en-US"/>
        </w:rPr>
      </w:pPr>
      <w:r w:rsidRPr="00307028">
        <w:rPr>
          <w:rFonts w:eastAsia="Times New Roman"/>
          <w:lang w:eastAsia="en-US"/>
        </w:rPr>
        <w:t>2. speciālā budžeta naudas līdzekļu atlikumu (uz 2024., 2025. un 2026. gada 1.</w:t>
      </w:r>
      <w:r w:rsidR="00D563D2">
        <w:rPr>
          <w:rFonts w:eastAsia="Times New Roman"/>
          <w:lang w:eastAsia="en-US"/>
        </w:rPr>
        <w:t> </w:t>
      </w:r>
      <w:r w:rsidRPr="00307028">
        <w:rPr>
          <w:rFonts w:eastAsia="Times New Roman"/>
          <w:lang w:eastAsia="en-US"/>
        </w:rPr>
        <w:t>janvāri);</w:t>
      </w:r>
    </w:p>
    <w:p w14:paraId="5D92DC76" w14:textId="77777777" w:rsidR="00502EF8" w:rsidRPr="00307028" w:rsidRDefault="00502EF8" w:rsidP="00DC3088">
      <w:pPr>
        <w:spacing w:after="80" w:line="259" w:lineRule="auto"/>
        <w:ind w:left="284" w:hanging="284"/>
        <w:jc w:val="both"/>
        <w:rPr>
          <w:rFonts w:eastAsia="Times New Roman"/>
          <w:lang w:eastAsia="en-US"/>
        </w:rPr>
      </w:pPr>
      <w:r w:rsidRPr="00307028">
        <w:rPr>
          <w:rFonts w:eastAsia="Times New Roman"/>
          <w:lang w:eastAsia="en-US"/>
        </w:rPr>
        <w:t xml:space="preserve">3. izmaiņas valsts budžeta ilgtermiņa saistībās normatīvajos aktos budžeta un finanšu vadības jomā noteiktajos gadījumos, tai skaitā valsts budžeta ilgtermiņa saistībās procentu izdevumiem, kārtējiem maksājumiem Eiropas Savienības budžetā un starptautiskai sadarbībai, Eiropas Savienības politiku instrumentu un pārējās ārvalstu finanšu palīdzības </w:t>
      </w:r>
      <w:r w:rsidRPr="00307028">
        <w:rPr>
          <w:rFonts w:eastAsia="Times New Roman"/>
          <w:lang w:eastAsia="en-US"/>
        </w:rPr>
        <w:lastRenderedPageBreak/>
        <w:t>līdzekļu finansēto vai līdzfinansēto projektu un pasākumu īstenošanai atbilstoši precizētajiem darba grafikiem un naudas plūsmām;</w:t>
      </w:r>
    </w:p>
    <w:p w14:paraId="6620900E" w14:textId="77777777" w:rsidR="00502EF8" w:rsidRPr="00307028" w:rsidRDefault="00502EF8" w:rsidP="00DC3088">
      <w:pPr>
        <w:spacing w:after="80" w:line="259" w:lineRule="auto"/>
        <w:ind w:left="284" w:hanging="284"/>
        <w:jc w:val="both"/>
        <w:rPr>
          <w:rFonts w:eastAsia="Times New Roman"/>
          <w:lang w:eastAsia="en-US"/>
        </w:rPr>
      </w:pPr>
      <w:r w:rsidRPr="00307028">
        <w:rPr>
          <w:rFonts w:eastAsia="Times New Roman"/>
          <w:lang w:eastAsia="en-US"/>
        </w:rPr>
        <w:t>4. izmaiņas nenodokļu ieņēmumos un valsts speciālā budžeta saņemtajos transfertos no valsts pamatbudžeta un tiem atbilstošajos izdevumos;</w:t>
      </w:r>
    </w:p>
    <w:p w14:paraId="0A43463A" w14:textId="77777777" w:rsidR="00502EF8" w:rsidRPr="00307028" w:rsidRDefault="00502EF8" w:rsidP="00DC3088">
      <w:pPr>
        <w:spacing w:after="80" w:line="259" w:lineRule="auto"/>
        <w:ind w:left="284" w:hanging="284"/>
        <w:jc w:val="both"/>
        <w:rPr>
          <w:rFonts w:eastAsia="Times New Roman"/>
          <w:lang w:eastAsia="en-US"/>
        </w:rPr>
      </w:pPr>
      <w:r w:rsidRPr="00307028">
        <w:rPr>
          <w:rFonts w:eastAsia="Times New Roman"/>
          <w:lang w:eastAsia="en-US"/>
        </w:rPr>
        <w:t>5. izmaiņas izdevumos saistībā ar sociālās apdrošināšanas pakalpojumu saņēmēju skaita un vidējā apmēra prognozēm;</w:t>
      </w:r>
    </w:p>
    <w:p w14:paraId="51E9CA14" w14:textId="77777777" w:rsidR="00502EF8" w:rsidRPr="00307028" w:rsidRDefault="00502EF8" w:rsidP="00DC3088">
      <w:pPr>
        <w:spacing w:after="80" w:line="259" w:lineRule="auto"/>
        <w:ind w:left="284" w:hanging="284"/>
        <w:jc w:val="both"/>
        <w:rPr>
          <w:rFonts w:eastAsia="Times New Roman"/>
          <w:lang w:eastAsia="en-US"/>
        </w:rPr>
      </w:pPr>
      <w:r w:rsidRPr="00307028">
        <w:rPr>
          <w:rFonts w:eastAsia="Times New Roman"/>
          <w:lang w:eastAsia="en-US"/>
        </w:rPr>
        <w:t>6. izmaiņas starp izdevumu kodiem atbilstoši ekonomiskajām kategorijām, ievērojot šādus nosacījumus:</w:t>
      </w:r>
    </w:p>
    <w:p w14:paraId="10FA4526" w14:textId="77777777" w:rsidR="00502EF8" w:rsidRPr="00307028" w:rsidRDefault="00502EF8" w:rsidP="00DC3088">
      <w:pPr>
        <w:spacing w:after="80" w:line="259" w:lineRule="auto"/>
        <w:ind w:left="284" w:hanging="284"/>
        <w:jc w:val="both"/>
        <w:rPr>
          <w:rFonts w:eastAsia="Times New Roman"/>
          <w:lang w:eastAsia="lv-LV"/>
        </w:rPr>
      </w:pPr>
      <w:r w:rsidRPr="00307028">
        <w:rPr>
          <w:rFonts w:eastAsia="Times New Roman"/>
          <w:lang w:eastAsia="lv-LV"/>
        </w:rPr>
        <w:t>6.1. nav pieļaujama pārdale no procentu izdevumiem, izdevumiem starptautiskajai sadarbībai un izdevumiem sociālajiem pabalstiem uz citiem izdevumiem;</w:t>
      </w:r>
    </w:p>
    <w:p w14:paraId="6C3B7B26" w14:textId="3F14D941" w:rsidR="00502EF8" w:rsidRPr="00307028" w:rsidRDefault="00502EF8" w:rsidP="00DC3088">
      <w:pPr>
        <w:spacing w:after="80" w:line="259" w:lineRule="auto"/>
        <w:ind w:left="284" w:hanging="284"/>
        <w:jc w:val="both"/>
        <w:rPr>
          <w:rFonts w:eastAsia="Times New Roman"/>
          <w:lang w:eastAsia="lv-LV"/>
        </w:rPr>
      </w:pPr>
      <w:r w:rsidRPr="00307028">
        <w:rPr>
          <w:rFonts w:eastAsia="Times New Roman"/>
          <w:lang w:eastAsia="lv-LV"/>
        </w:rPr>
        <w:t xml:space="preserve">6.2. nav pieļaujama pārdale uz izdevumiem atlīdzībai valsts speciālā budžeta daļā valsts pamatfunkciju īstenošanai, izņemot gadījumus, ja pirms valsts speciālā budžeta bāzes aprēķinu veikšanas ir ticis pieņemts atsevišķs </w:t>
      </w:r>
      <w:r w:rsidR="00DC3088" w:rsidRPr="00307028">
        <w:rPr>
          <w:rFonts w:eastAsia="Times New Roman"/>
          <w:lang w:eastAsia="lv-LV"/>
        </w:rPr>
        <w:t>MK</w:t>
      </w:r>
      <w:r w:rsidRPr="00307028">
        <w:rPr>
          <w:rFonts w:eastAsia="Times New Roman"/>
          <w:lang w:eastAsia="lv-LV"/>
        </w:rPr>
        <w:t xml:space="preserve"> lēmums;</w:t>
      </w:r>
    </w:p>
    <w:p w14:paraId="350FC4CC" w14:textId="77777777" w:rsidR="00680513" w:rsidRPr="00307028" w:rsidRDefault="00502EF8" w:rsidP="00680513">
      <w:pPr>
        <w:spacing w:after="80" w:line="259" w:lineRule="auto"/>
        <w:ind w:left="284" w:hanging="284"/>
        <w:jc w:val="both"/>
        <w:rPr>
          <w:rFonts w:eastAsia="Times New Roman"/>
          <w:lang w:eastAsia="lv-LV"/>
        </w:rPr>
      </w:pPr>
      <w:r w:rsidRPr="00307028">
        <w:rPr>
          <w:rFonts w:eastAsia="Times New Roman"/>
          <w:lang w:eastAsia="lv-LV"/>
        </w:rPr>
        <w:t xml:space="preserve">7. 2026. gadam – izdevumu samazinājumu pasākumiem, kurus 2025. gadā paredzēts īstenot vienu reizi un par kuru īstenošanu vidējā termiņā vai ilgtermiņā nav </w:t>
      </w:r>
      <w:r w:rsidR="00DC3088" w:rsidRPr="00307028">
        <w:rPr>
          <w:rFonts w:eastAsia="Times New Roman"/>
          <w:lang w:eastAsia="lv-LV"/>
        </w:rPr>
        <w:t>MK</w:t>
      </w:r>
      <w:r w:rsidRPr="00307028">
        <w:rPr>
          <w:rFonts w:eastAsia="Times New Roman"/>
          <w:lang w:eastAsia="lv-LV"/>
        </w:rPr>
        <w:t xml:space="preserve"> lēmums;</w:t>
      </w:r>
    </w:p>
    <w:p w14:paraId="3393F05B" w14:textId="11370F8D" w:rsidR="00502EF8" w:rsidRPr="00307028" w:rsidRDefault="00680513" w:rsidP="00680513">
      <w:pPr>
        <w:spacing w:after="80" w:line="259" w:lineRule="auto"/>
        <w:ind w:left="284" w:hanging="284"/>
        <w:jc w:val="both"/>
        <w:rPr>
          <w:rFonts w:eastAsia="Times New Roman"/>
          <w:lang w:eastAsia="lv-LV"/>
        </w:rPr>
      </w:pPr>
      <w:r w:rsidRPr="00307028">
        <w:rPr>
          <w:rFonts w:eastAsia="Times New Roman"/>
          <w:lang w:eastAsia="lv-LV"/>
        </w:rPr>
        <w:t xml:space="preserve">8. </w:t>
      </w:r>
      <w:r w:rsidR="00502EF8" w:rsidRPr="00307028">
        <w:rPr>
          <w:rFonts w:eastAsia="Times New Roman"/>
          <w:lang w:eastAsia="lv-LV"/>
        </w:rPr>
        <w:t>2026. gadam – izdevumu palielinājumu pasākumiem, kuriem 2025. gadā paredzēts finansējums nepilnam gadam, bet kuri turpmāk jāfinansē pilnā apjomā visu gadu.</w:t>
      </w:r>
    </w:p>
    <w:p w14:paraId="2809B6B0" w14:textId="7DF16B1E" w:rsidR="00502EF8" w:rsidRPr="00307028" w:rsidRDefault="00502EF8" w:rsidP="00DC3088">
      <w:pPr>
        <w:spacing w:after="120" w:line="259" w:lineRule="auto"/>
        <w:ind w:firstLine="709"/>
        <w:jc w:val="both"/>
        <w:rPr>
          <w:rFonts w:eastAsia="Times New Roman"/>
          <w:lang w:eastAsia="en-US"/>
        </w:rPr>
      </w:pPr>
      <w:r w:rsidRPr="00307028">
        <w:rPr>
          <w:rFonts w:eastAsia="Times New Roman"/>
          <w:b/>
          <w:lang w:eastAsia="en-US"/>
        </w:rPr>
        <w:t>Valsts speciālā budžeta bāzes izdevumi</w:t>
      </w:r>
      <w:r w:rsidRPr="00307028">
        <w:rPr>
          <w:rFonts w:eastAsia="Times New Roman"/>
          <w:lang w:eastAsia="en-US"/>
        </w:rPr>
        <w:t xml:space="preserve"> (sk</w:t>
      </w:r>
      <w:r w:rsidR="00D563D2">
        <w:rPr>
          <w:rFonts w:eastAsia="Times New Roman"/>
          <w:lang w:eastAsia="en-US"/>
        </w:rPr>
        <w:t>atīt</w:t>
      </w:r>
      <w:r w:rsidRPr="00307028">
        <w:rPr>
          <w:rFonts w:eastAsia="Times New Roman"/>
          <w:lang w:eastAsia="en-US"/>
        </w:rPr>
        <w:t xml:space="preserve"> 1. un 4. pielikumu) </w:t>
      </w:r>
      <w:r w:rsidRPr="00307028">
        <w:rPr>
          <w:rFonts w:eastAsia="Times New Roman"/>
          <w:b/>
          <w:lang w:eastAsia="en-US"/>
        </w:rPr>
        <w:t>2024.</w:t>
      </w:r>
      <w:r w:rsidR="00680513" w:rsidRPr="00307028">
        <w:rPr>
          <w:rFonts w:eastAsia="Times New Roman"/>
          <w:b/>
          <w:lang w:eastAsia="en-US"/>
        </w:rPr>
        <w:t xml:space="preserve"> </w:t>
      </w:r>
      <w:r w:rsidRPr="00307028">
        <w:rPr>
          <w:rFonts w:eastAsia="Times New Roman"/>
          <w:b/>
          <w:lang w:eastAsia="en-US"/>
        </w:rPr>
        <w:t>gadam</w:t>
      </w:r>
      <w:r w:rsidRPr="00307028">
        <w:rPr>
          <w:rFonts w:eastAsia="Times New Roman"/>
          <w:lang w:eastAsia="en-US"/>
        </w:rPr>
        <w:t xml:space="preserve"> aprēķināti </w:t>
      </w:r>
      <w:r w:rsidRPr="00307028">
        <w:rPr>
          <w:rFonts w:eastAsia="Times New Roman"/>
          <w:b/>
          <w:lang w:eastAsia="en-US"/>
        </w:rPr>
        <w:t>4 365,4</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w:t>
      </w:r>
      <w:r w:rsidRPr="00307028">
        <w:rPr>
          <w:rFonts w:eastAsia="Times New Roman"/>
          <w:b/>
          <w:lang w:eastAsia="en-US"/>
        </w:rPr>
        <w:t>2025. gadam 4 688,0</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un </w:t>
      </w:r>
      <w:r w:rsidRPr="00307028">
        <w:rPr>
          <w:rFonts w:eastAsia="Times New Roman"/>
          <w:b/>
          <w:lang w:eastAsia="en-US"/>
        </w:rPr>
        <w:t>2026. gadam</w:t>
      </w:r>
      <w:r w:rsidRPr="00307028">
        <w:rPr>
          <w:rFonts w:eastAsia="Times New Roman"/>
          <w:lang w:eastAsia="en-US"/>
        </w:rPr>
        <w:t xml:space="preserve"> </w:t>
      </w:r>
      <w:r w:rsidRPr="00307028">
        <w:rPr>
          <w:rFonts w:eastAsia="Times New Roman"/>
          <w:b/>
          <w:lang w:eastAsia="en-US"/>
        </w:rPr>
        <w:t>5 065,7</w:t>
      </w:r>
      <w:r w:rsidRPr="00307028">
        <w:rPr>
          <w:rFonts w:eastAsia="Times New Roman"/>
          <w:lang w:eastAsia="en-US"/>
        </w:rPr>
        <w:t xml:space="preserve"> milj. </w:t>
      </w:r>
      <w:r w:rsidRPr="00307028">
        <w:rPr>
          <w:rFonts w:eastAsia="Times New Roman"/>
          <w:i/>
          <w:lang w:eastAsia="en-US"/>
        </w:rPr>
        <w:t>euro</w:t>
      </w:r>
      <w:r w:rsidRPr="00307028">
        <w:rPr>
          <w:rFonts w:eastAsia="Times New Roman"/>
          <w:lang w:eastAsia="en-US"/>
        </w:rPr>
        <w:t xml:space="preserve"> apmērā. Salīdzinājumā ar attiecīgā gada ietvaru</w:t>
      </w:r>
      <w:r w:rsidRPr="00307028">
        <w:rPr>
          <w:rFonts w:eastAsia="Times New Roman"/>
          <w:lang w:eastAsia="lv-LV"/>
        </w:rPr>
        <w:t xml:space="preserve"> </w:t>
      </w:r>
      <w:r w:rsidRPr="00307028">
        <w:rPr>
          <w:rFonts w:eastAsia="Times New Roman"/>
          <w:lang w:eastAsia="en-US"/>
        </w:rPr>
        <w:t xml:space="preserve">2024. gadam </w:t>
      </w:r>
      <w:r w:rsidRPr="00307028">
        <w:rPr>
          <w:rFonts w:eastAsia="Times New Roman"/>
          <w:lang w:eastAsia="lv-LV"/>
        </w:rPr>
        <w:t xml:space="preserve">izdevumi palielināti </w:t>
      </w:r>
      <w:r w:rsidRPr="00307028">
        <w:rPr>
          <w:rFonts w:eastAsia="Times New Roman"/>
          <w:lang w:eastAsia="en-US"/>
        </w:rPr>
        <w:t xml:space="preserve">46,0 milj. </w:t>
      </w:r>
      <w:r w:rsidRPr="00307028">
        <w:rPr>
          <w:rFonts w:eastAsia="Times New Roman"/>
          <w:i/>
          <w:lang w:eastAsia="en-US"/>
        </w:rPr>
        <w:t>euro</w:t>
      </w:r>
      <w:r w:rsidRPr="00307028">
        <w:rPr>
          <w:rFonts w:eastAsia="Times New Roman"/>
          <w:lang w:eastAsia="en-US"/>
        </w:rPr>
        <w:t xml:space="preserve"> apmērā, 2025. gadam izdevumi palielināti 118,5 milj. </w:t>
      </w:r>
      <w:r w:rsidRPr="00307028">
        <w:rPr>
          <w:rFonts w:eastAsia="Times New Roman"/>
          <w:i/>
          <w:lang w:eastAsia="en-US"/>
        </w:rPr>
        <w:t>euro</w:t>
      </w:r>
      <w:r w:rsidRPr="00307028">
        <w:rPr>
          <w:rFonts w:eastAsia="Times New Roman"/>
          <w:lang w:eastAsia="en-US"/>
        </w:rPr>
        <w:t xml:space="preserve"> apmērā. 2026. gadam</w:t>
      </w:r>
      <w:r w:rsidRPr="00307028">
        <w:rPr>
          <w:rFonts w:eastAsia="Times New Roman"/>
          <w:b/>
          <w:lang w:eastAsia="en-US"/>
        </w:rPr>
        <w:t xml:space="preserve"> </w:t>
      </w:r>
      <w:r w:rsidRPr="00307028">
        <w:rPr>
          <w:rFonts w:eastAsia="Times New Roman"/>
          <w:lang w:eastAsia="en-US"/>
        </w:rPr>
        <w:t xml:space="preserve">izdevumi salīdzinājumā ar ietvaru 2025. gadam palielināti 496,2 milj. </w:t>
      </w:r>
      <w:r w:rsidRPr="00307028">
        <w:rPr>
          <w:rFonts w:eastAsia="Times New Roman"/>
          <w:i/>
          <w:lang w:eastAsia="en-US"/>
        </w:rPr>
        <w:t xml:space="preserve">euro </w:t>
      </w:r>
      <w:r w:rsidRPr="00307028">
        <w:rPr>
          <w:rFonts w:eastAsia="Times New Roman"/>
          <w:lang w:eastAsia="en-US"/>
        </w:rPr>
        <w:t>apmērā (Attēls Nr. 1.4).</w:t>
      </w:r>
    </w:p>
    <w:p w14:paraId="17B24439" w14:textId="1767BC3C" w:rsidR="00502EF8" w:rsidRPr="00307028" w:rsidRDefault="00502EF8" w:rsidP="00502EF8">
      <w:pPr>
        <w:spacing w:after="120"/>
        <w:jc w:val="center"/>
        <w:rPr>
          <w:rFonts w:eastAsia="Times New Roman"/>
          <w:b/>
          <w:bCs/>
          <w:sz w:val="22"/>
          <w:szCs w:val="22"/>
          <w:lang w:eastAsia="lv-LV"/>
        </w:rPr>
      </w:pPr>
      <w:r w:rsidRPr="00307028">
        <w:rPr>
          <w:rFonts w:eastAsia="Times New Roman"/>
          <w:b/>
          <w:bCs/>
          <w:i/>
          <w:sz w:val="22"/>
          <w:szCs w:val="22"/>
          <w:lang w:eastAsia="en-US"/>
        </w:rPr>
        <w:t>1.4.</w:t>
      </w:r>
      <w:r w:rsidR="00DC3088" w:rsidRPr="00307028">
        <w:rPr>
          <w:rFonts w:eastAsia="Times New Roman"/>
          <w:b/>
          <w:bCs/>
          <w:i/>
          <w:sz w:val="22"/>
          <w:szCs w:val="22"/>
          <w:lang w:eastAsia="en-US"/>
        </w:rPr>
        <w:t xml:space="preserve"> </w:t>
      </w:r>
      <w:r w:rsidRPr="00307028">
        <w:rPr>
          <w:rFonts w:eastAsia="Times New Roman"/>
          <w:b/>
          <w:bCs/>
          <w:i/>
          <w:sz w:val="22"/>
          <w:szCs w:val="22"/>
          <w:lang w:eastAsia="en-US"/>
        </w:rPr>
        <w:t>attēls</w:t>
      </w:r>
      <w:r w:rsidRPr="00307028">
        <w:rPr>
          <w:rFonts w:eastAsia="Times New Roman"/>
          <w:b/>
          <w:bCs/>
          <w:sz w:val="22"/>
          <w:szCs w:val="22"/>
          <w:lang w:eastAsia="en-US"/>
        </w:rPr>
        <w:t xml:space="preserve"> Valsts speciālā budžeta bāzes izdevumi 2024., 2025. un 2026. gadam, milj. </w:t>
      </w:r>
      <w:r w:rsidRPr="00307028">
        <w:rPr>
          <w:rFonts w:eastAsia="Times New Roman"/>
          <w:b/>
          <w:bCs/>
          <w:i/>
          <w:sz w:val="22"/>
          <w:szCs w:val="22"/>
          <w:lang w:eastAsia="en-US"/>
        </w:rPr>
        <w:t>euro</w:t>
      </w:r>
      <w:r w:rsidRPr="00307028">
        <w:rPr>
          <w:rFonts w:eastAsia="Times New Roman"/>
          <w:b/>
          <w:bCs/>
          <w:sz w:val="22"/>
          <w:szCs w:val="22"/>
          <w:lang w:eastAsia="lv-LV"/>
        </w:rPr>
        <w:t xml:space="preserve"> </w:t>
      </w:r>
    </w:p>
    <w:p w14:paraId="2CF000B8" w14:textId="77777777" w:rsidR="00502EF8" w:rsidRPr="00307028" w:rsidRDefault="00502EF8" w:rsidP="00502EF8">
      <w:pPr>
        <w:spacing w:before="120" w:after="120"/>
        <w:jc w:val="both"/>
        <w:rPr>
          <w:rFonts w:eastAsia="Times New Roman"/>
          <w:lang w:eastAsia="en-US"/>
        </w:rPr>
      </w:pPr>
      <w:r w:rsidRPr="00307028">
        <w:rPr>
          <w:rFonts w:eastAsia="Times New Roman"/>
          <w:noProof/>
          <w:lang w:eastAsia="lv-LV"/>
        </w:rPr>
        <w:drawing>
          <wp:inline distT="0" distB="0" distL="0" distR="0" wp14:anchorId="0C4E6EDF" wp14:editId="1271B026">
            <wp:extent cx="5760085" cy="2401294"/>
            <wp:effectExtent l="0" t="0" r="12065" b="18415"/>
            <wp:docPr id="951009618" name="Chart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FE8A3C" w14:textId="06F08801" w:rsidR="00DC3088" w:rsidRPr="00307028" w:rsidRDefault="00502EF8" w:rsidP="00DC3088">
      <w:pPr>
        <w:spacing w:before="120" w:after="120"/>
        <w:jc w:val="both"/>
        <w:rPr>
          <w:rFonts w:eastAsia="Times New Roman"/>
          <w:i/>
          <w:iCs/>
          <w:sz w:val="18"/>
          <w:szCs w:val="18"/>
          <w:lang w:eastAsia="en-US"/>
        </w:rPr>
      </w:pPr>
      <w:r w:rsidRPr="00307028">
        <w:rPr>
          <w:rFonts w:eastAsia="Times New Roman"/>
          <w:i/>
          <w:iCs/>
          <w:sz w:val="18"/>
          <w:szCs w:val="18"/>
          <w:lang w:eastAsia="en-US"/>
        </w:rPr>
        <w:t>* 2024. un 2025.gadam aprēķināta, pamatojoties uz likumā “Par valsts budžetu 2023. gadam un budžeta ietvaru 2023., 2024. un 2025. gadam” noteikto maksimāli pieļaujamo izdevumu apjomu (ietvaru) attiecīgajam gadam, 2026.gadam – pamatojoties uz 2025.gadam apstiprināto ietvaru</w:t>
      </w:r>
    </w:p>
    <w:p w14:paraId="7CA375DA" w14:textId="77777777" w:rsidR="00502EF8" w:rsidRPr="00307028" w:rsidRDefault="00502EF8" w:rsidP="00DC3088">
      <w:pPr>
        <w:spacing w:after="120" w:line="259" w:lineRule="auto"/>
        <w:ind w:firstLine="567"/>
        <w:jc w:val="both"/>
        <w:rPr>
          <w:rFonts w:eastAsia="Times New Roman"/>
          <w:lang w:eastAsia="en-US"/>
        </w:rPr>
      </w:pPr>
      <w:r w:rsidRPr="00307028">
        <w:rPr>
          <w:rFonts w:eastAsia="Times New Roman"/>
          <w:lang w:eastAsia="en-US"/>
        </w:rPr>
        <w:t>Izdevumu izmaiņas 2024., 2025. un 2026. gadam galvenokārt veido, jo:</w:t>
      </w:r>
    </w:p>
    <w:p w14:paraId="25ED25CE" w14:textId="777777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 palielināti izdevumi 72,0 milj. </w:t>
      </w:r>
      <w:r w:rsidRPr="00307028">
        <w:rPr>
          <w:rFonts w:eastAsia="Calibri"/>
          <w:i/>
          <w:lang w:eastAsia="en-US"/>
        </w:rPr>
        <w:t>euro</w:t>
      </w:r>
      <w:r w:rsidRPr="00307028">
        <w:rPr>
          <w:rFonts w:eastAsia="Calibri"/>
          <w:lang w:eastAsia="en-US"/>
        </w:rPr>
        <w:t xml:space="preserve"> apmērā 2024. gadam, 118,0 milj. </w:t>
      </w:r>
      <w:r w:rsidRPr="00307028">
        <w:rPr>
          <w:rFonts w:eastAsia="Calibri"/>
          <w:i/>
          <w:lang w:eastAsia="en-US"/>
        </w:rPr>
        <w:t>euro</w:t>
      </w:r>
      <w:r w:rsidRPr="00307028">
        <w:rPr>
          <w:rFonts w:eastAsia="Calibri"/>
          <w:lang w:eastAsia="en-US"/>
        </w:rPr>
        <w:t xml:space="preserve"> apmērā 2025. gadam un 403,1 milj. </w:t>
      </w:r>
      <w:r w:rsidRPr="00307028">
        <w:rPr>
          <w:rFonts w:eastAsia="Calibri"/>
          <w:i/>
          <w:lang w:eastAsia="en-US"/>
        </w:rPr>
        <w:t>euro</w:t>
      </w:r>
      <w:r w:rsidRPr="00307028">
        <w:rPr>
          <w:rFonts w:eastAsia="Calibri"/>
          <w:lang w:eastAsia="en-US"/>
        </w:rPr>
        <w:t xml:space="preserve"> apmērā 2026. gadam vecuma pensijas izmaksām; </w:t>
      </w:r>
    </w:p>
    <w:p w14:paraId="15D0222F" w14:textId="5C5E2A24"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4,2 milj. </w:t>
      </w:r>
      <w:r w:rsidRPr="00307028">
        <w:rPr>
          <w:rFonts w:eastAsia="Calibri"/>
          <w:i/>
          <w:lang w:eastAsia="en-US"/>
        </w:rPr>
        <w:t>euro</w:t>
      </w:r>
      <w:r w:rsidRPr="00307028">
        <w:rPr>
          <w:rFonts w:eastAsia="Calibri"/>
          <w:lang w:eastAsia="en-US"/>
        </w:rPr>
        <w:t xml:space="preserve"> apmērā 2024. gadam, 3,7 milj. </w:t>
      </w:r>
      <w:r w:rsidRPr="00307028">
        <w:rPr>
          <w:rFonts w:eastAsia="Calibri"/>
          <w:i/>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21,9 milj. </w:t>
      </w:r>
      <w:r w:rsidRPr="00307028">
        <w:rPr>
          <w:rFonts w:eastAsia="Calibri"/>
          <w:i/>
          <w:lang w:eastAsia="en-US"/>
        </w:rPr>
        <w:t>euro</w:t>
      </w:r>
      <w:r w:rsidRPr="00307028">
        <w:rPr>
          <w:rFonts w:eastAsia="Calibri"/>
          <w:lang w:eastAsia="en-US"/>
        </w:rPr>
        <w:t xml:space="preserve"> apmērā 2026. gadam invaliditātes pensijas izmaksām;</w:t>
      </w:r>
    </w:p>
    <w:p w14:paraId="6CBC3073" w14:textId="26F6185E"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lastRenderedPageBreak/>
        <w:t xml:space="preserve">palielināti izdevumi 2,7 milj. </w:t>
      </w:r>
      <w:r w:rsidRPr="00307028">
        <w:rPr>
          <w:rFonts w:eastAsia="Calibri"/>
          <w:i/>
          <w:lang w:eastAsia="en-US"/>
        </w:rPr>
        <w:t>euro</w:t>
      </w:r>
      <w:r w:rsidRPr="00307028">
        <w:rPr>
          <w:rFonts w:eastAsia="Calibri"/>
          <w:lang w:eastAsia="en-US"/>
        </w:rPr>
        <w:t xml:space="preserve"> apmērā 2024. gadam, 6,4 milj. </w:t>
      </w:r>
      <w:r w:rsidRPr="00307028">
        <w:rPr>
          <w:rFonts w:eastAsia="Calibri"/>
          <w:i/>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14,7 milj. </w:t>
      </w:r>
      <w:r w:rsidRPr="00307028">
        <w:rPr>
          <w:rFonts w:eastAsia="Calibri"/>
          <w:i/>
          <w:lang w:eastAsia="en-US"/>
        </w:rPr>
        <w:t>euro</w:t>
      </w:r>
      <w:r w:rsidRPr="00307028">
        <w:rPr>
          <w:rFonts w:eastAsia="Calibri"/>
          <w:lang w:eastAsia="en-US"/>
        </w:rPr>
        <w:t xml:space="preserve"> apmērā 2026. gadam pensijas apgādnieka zaudējuma gadījumā izmaksām;</w:t>
      </w:r>
    </w:p>
    <w:p w14:paraId="0A9BA1A5" w14:textId="21C56DD4"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1,3 milj. </w:t>
      </w:r>
      <w:r w:rsidRPr="00307028">
        <w:rPr>
          <w:rFonts w:eastAsia="Calibri"/>
          <w:i/>
          <w:iCs/>
          <w:lang w:eastAsia="en-US"/>
        </w:rPr>
        <w:t>euro</w:t>
      </w:r>
      <w:r w:rsidRPr="00307028">
        <w:rPr>
          <w:rFonts w:eastAsia="Calibri"/>
          <w:lang w:eastAsia="en-US"/>
        </w:rPr>
        <w:t xml:space="preserve"> apmērā 2024. gadam, 1,5 milj. </w:t>
      </w:r>
      <w:r w:rsidRPr="00307028">
        <w:rPr>
          <w:rFonts w:eastAsia="Calibri"/>
          <w:i/>
          <w:iCs/>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2,1 milj. </w:t>
      </w:r>
      <w:r w:rsidRPr="00307028">
        <w:rPr>
          <w:rFonts w:eastAsia="Calibri"/>
          <w:i/>
          <w:lang w:eastAsia="en-US"/>
        </w:rPr>
        <w:t>euro</w:t>
      </w:r>
      <w:r w:rsidRPr="00307028">
        <w:rPr>
          <w:rFonts w:eastAsia="Calibri"/>
          <w:lang w:eastAsia="en-US"/>
        </w:rPr>
        <w:t xml:space="preserve"> apmērā 2026. gadam kaitējuma atlīdzībām Černobiļas AES avārijas rezultātā cietušajām personām;</w:t>
      </w:r>
    </w:p>
    <w:p w14:paraId="0F94DFC8" w14:textId="2C98A030"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palielināti izdevumi 0,5 milj. </w:t>
      </w:r>
      <w:r w:rsidRPr="00307028">
        <w:rPr>
          <w:rFonts w:eastAsia="Calibri"/>
          <w:i/>
          <w:lang w:eastAsia="en-US"/>
        </w:rPr>
        <w:t>euro</w:t>
      </w:r>
      <w:r w:rsidRPr="00307028">
        <w:rPr>
          <w:rFonts w:eastAsia="Calibri"/>
          <w:lang w:eastAsia="en-US"/>
        </w:rPr>
        <w:t xml:space="preserve"> apmērā 2024. gadam, 0,9 milj. </w:t>
      </w:r>
      <w:r w:rsidRPr="00307028">
        <w:rPr>
          <w:rFonts w:eastAsia="Calibri"/>
          <w:i/>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3,5 milj. </w:t>
      </w:r>
      <w:r w:rsidRPr="00307028">
        <w:rPr>
          <w:rFonts w:eastAsia="Calibri"/>
          <w:i/>
          <w:lang w:eastAsia="en-US"/>
        </w:rPr>
        <w:t>euro</w:t>
      </w:r>
      <w:r w:rsidRPr="00307028">
        <w:rPr>
          <w:rFonts w:eastAsia="Calibri"/>
          <w:lang w:eastAsia="en-US"/>
        </w:rPr>
        <w:t xml:space="preserve"> apmērā 2026. gadam apbedīšanas pabalsta izmaksām;</w:t>
      </w:r>
    </w:p>
    <w:p w14:paraId="5D59AEE8" w14:textId="7BA9A3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0,2 milj. </w:t>
      </w:r>
      <w:r w:rsidRPr="00307028">
        <w:rPr>
          <w:rFonts w:eastAsia="Calibri"/>
          <w:i/>
          <w:lang w:eastAsia="en-US"/>
        </w:rPr>
        <w:t>euro</w:t>
      </w:r>
      <w:r w:rsidRPr="00307028">
        <w:rPr>
          <w:rFonts w:eastAsia="Calibri"/>
          <w:lang w:eastAsia="en-US"/>
        </w:rPr>
        <w:t xml:space="preserve"> apmērā 2024. gadam, 0,1 milj. </w:t>
      </w:r>
      <w:r w:rsidRPr="00307028">
        <w:rPr>
          <w:rFonts w:eastAsia="Calibri"/>
          <w:i/>
          <w:iCs/>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palielināti izdevumi 0,7 milj. </w:t>
      </w:r>
      <w:r w:rsidRPr="00307028">
        <w:rPr>
          <w:rFonts w:eastAsia="Calibri"/>
          <w:i/>
          <w:lang w:eastAsia="en-US"/>
        </w:rPr>
        <w:t>euro</w:t>
      </w:r>
      <w:r w:rsidRPr="00307028">
        <w:rPr>
          <w:rFonts w:eastAsia="Calibri"/>
          <w:lang w:eastAsia="en-US"/>
        </w:rPr>
        <w:t xml:space="preserve"> apmērā 2026. gadam paternitātes pabalsta izmaksām;</w:t>
      </w:r>
    </w:p>
    <w:p w14:paraId="5497DD69" w14:textId="777777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0,3 milj. </w:t>
      </w:r>
      <w:r w:rsidRPr="00307028">
        <w:rPr>
          <w:rFonts w:eastAsia="Calibri"/>
          <w:i/>
          <w:lang w:eastAsia="en-US"/>
        </w:rPr>
        <w:t>euro</w:t>
      </w:r>
      <w:r w:rsidRPr="00307028">
        <w:rPr>
          <w:rFonts w:eastAsia="Calibri"/>
          <w:lang w:eastAsia="en-US"/>
        </w:rPr>
        <w:t xml:space="preserve"> apmērā 2024. gadam, 0,04 milj. </w:t>
      </w:r>
      <w:r w:rsidRPr="00307028">
        <w:rPr>
          <w:rFonts w:eastAsia="Calibri"/>
          <w:i/>
          <w:lang w:eastAsia="en-US"/>
        </w:rPr>
        <w:t>euro</w:t>
      </w:r>
      <w:r w:rsidRPr="00307028">
        <w:rPr>
          <w:rFonts w:eastAsia="Calibri"/>
          <w:lang w:eastAsia="en-US"/>
        </w:rPr>
        <w:t xml:space="preserve"> apmērā 2025. gadam un palielināti izdevumi 1,8 milj. </w:t>
      </w:r>
      <w:r w:rsidRPr="00307028">
        <w:rPr>
          <w:rFonts w:eastAsia="Calibri"/>
          <w:i/>
          <w:lang w:eastAsia="en-US"/>
        </w:rPr>
        <w:t>euro</w:t>
      </w:r>
      <w:r w:rsidRPr="00307028">
        <w:rPr>
          <w:rFonts w:eastAsia="Calibri"/>
          <w:lang w:eastAsia="en-US"/>
        </w:rPr>
        <w:t xml:space="preserve"> apmērā 2026. gadam pabalsta pensijas saņēmēja nāves gadījumā pārdzīvojušam laulātajam izmaksām;</w:t>
      </w:r>
    </w:p>
    <w:p w14:paraId="6115EAE5" w14:textId="777777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0,5 milj. </w:t>
      </w:r>
      <w:r w:rsidRPr="00307028">
        <w:rPr>
          <w:rFonts w:eastAsia="Calibri"/>
          <w:i/>
          <w:iCs/>
          <w:lang w:eastAsia="en-US"/>
        </w:rPr>
        <w:t>euro</w:t>
      </w:r>
      <w:r w:rsidRPr="00307028">
        <w:rPr>
          <w:rFonts w:eastAsia="Calibri"/>
          <w:lang w:eastAsia="en-US"/>
        </w:rPr>
        <w:t xml:space="preserve"> apmērā 2024., 2025. un 2026. gadam ik gadu izdienas pensijas izmaksām; </w:t>
      </w:r>
    </w:p>
    <w:p w14:paraId="20E146A8" w14:textId="7851F44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samazināti izdevumi 0,6 milj. </w:t>
      </w:r>
      <w:r w:rsidRPr="00307028">
        <w:rPr>
          <w:rFonts w:eastAsia="Calibri"/>
          <w:i/>
          <w:lang w:eastAsia="en-US"/>
        </w:rPr>
        <w:t>euro</w:t>
      </w:r>
      <w:r w:rsidRPr="00307028">
        <w:rPr>
          <w:rFonts w:eastAsia="Calibri"/>
          <w:lang w:eastAsia="en-US"/>
        </w:rPr>
        <w:t xml:space="preserve"> apmērā 2024. gadam un palielināti izdevumi 0,7</w:t>
      </w:r>
      <w:r w:rsidR="00680513" w:rsidRPr="00307028">
        <w:rPr>
          <w:rFonts w:eastAsia="Calibri"/>
          <w:lang w:eastAsia="en-US"/>
        </w:rPr>
        <w:t> </w:t>
      </w:r>
      <w:r w:rsidRPr="00307028">
        <w:rPr>
          <w:rFonts w:eastAsia="Calibri"/>
          <w:lang w:eastAsia="en-US"/>
        </w:rPr>
        <w:t xml:space="preserve">milj. </w:t>
      </w:r>
      <w:r w:rsidRPr="00307028">
        <w:rPr>
          <w:rFonts w:eastAsia="Calibri"/>
          <w:i/>
          <w:lang w:eastAsia="en-US"/>
        </w:rPr>
        <w:t>euro</w:t>
      </w:r>
      <w:r w:rsidRPr="00307028">
        <w:rPr>
          <w:rFonts w:eastAsia="Calibri"/>
          <w:lang w:eastAsia="en-US"/>
        </w:rPr>
        <w:t xml:space="preserve"> apmērā 2025. gadam un 14,7 milj. </w:t>
      </w:r>
      <w:r w:rsidRPr="00307028">
        <w:rPr>
          <w:rFonts w:eastAsia="Calibri"/>
          <w:i/>
          <w:lang w:eastAsia="en-US"/>
        </w:rPr>
        <w:t>euro</w:t>
      </w:r>
      <w:r w:rsidRPr="00307028">
        <w:rPr>
          <w:rFonts w:eastAsia="Calibri"/>
          <w:lang w:eastAsia="en-US"/>
        </w:rPr>
        <w:t xml:space="preserve"> apmērā 2026. gadam atlīdzības par darbspēju zaudējumu izmaksām;</w:t>
      </w:r>
    </w:p>
    <w:p w14:paraId="7D607158" w14:textId="7BE4E308"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0,8 milj. </w:t>
      </w:r>
      <w:r w:rsidRPr="00307028">
        <w:rPr>
          <w:rFonts w:eastAsia="Calibri"/>
          <w:i/>
          <w:iCs/>
          <w:lang w:eastAsia="en-US"/>
        </w:rPr>
        <w:t>euro</w:t>
      </w:r>
      <w:r w:rsidRPr="00307028">
        <w:rPr>
          <w:rFonts w:eastAsia="Calibri"/>
          <w:lang w:eastAsia="en-US"/>
        </w:rPr>
        <w:t xml:space="preserve"> apmērā 2024. gadam, 0,9 milj. </w:t>
      </w:r>
      <w:r w:rsidRPr="00307028">
        <w:rPr>
          <w:rFonts w:eastAsia="Calibri"/>
          <w:i/>
          <w:iCs/>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0,7 milj. </w:t>
      </w:r>
      <w:r w:rsidRPr="00307028">
        <w:rPr>
          <w:rFonts w:eastAsia="Calibri"/>
          <w:i/>
          <w:iCs/>
          <w:lang w:eastAsia="en-US"/>
        </w:rPr>
        <w:t>euro</w:t>
      </w:r>
      <w:r w:rsidRPr="00307028">
        <w:rPr>
          <w:rFonts w:eastAsia="Calibri"/>
          <w:lang w:eastAsia="en-US"/>
        </w:rPr>
        <w:t xml:space="preserve"> apmērā 2026. gadam pārējo pabalstu izmaksām;</w:t>
      </w:r>
    </w:p>
    <w:p w14:paraId="77E946C2" w14:textId="286F5910"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1,1 milj. </w:t>
      </w:r>
      <w:r w:rsidRPr="00307028">
        <w:rPr>
          <w:rFonts w:eastAsia="Calibri"/>
          <w:i/>
          <w:lang w:eastAsia="en-US"/>
        </w:rPr>
        <w:t>euro</w:t>
      </w:r>
      <w:r w:rsidRPr="00307028">
        <w:rPr>
          <w:rFonts w:eastAsia="Calibri"/>
          <w:lang w:eastAsia="en-US"/>
        </w:rPr>
        <w:t xml:space="preserve"> apmērā 2024. gadam un palielināti izdevumi 6,8</w:t>
      </w:r>
      <w:r w:rsidR="00680513" w:rsidRPr="00307028">
        <w:rPr>
          <w:rFonts w:eastAsia="Calibri"/>
          <w:lang w:eastAsia="en-US"/>
        </w:rPr>
        <w:t> </w:t>
      </w:r>
      <w:r w:rsidRPr="00307028">
        <w:rPr>
          <w:rFonts w:eastAsia="Calibri"/>
          <w:lang w:eastAsia="en-US"/>
        </w:rPr>
        <w:t xml:space="preserve">milj. </w:t>
      </w:r>
      <w:r w:rsidRPr="00307028">
        <w:rPr>
          <w:rFonts w:eastAsia="Calibri"/>
          <w:i/>
          <w:lang w:eastAsia="en-US"/>
        </w:rPr>
        <w:t>euro</w:t>
      </w:r>
      <w:r w:rsidRPr="00307028">
        <w:rPr>
          <w:rFonts w:eastAsia="Calibri"/>
          <w:lang w:eastAsia="en-US"/>
        </w:rPr>
        <w:t xml:space="preserve"> apmērā 2025. gadam un 19,6 milj. </w:t>
      </w:r>
      <w:r w:rsidRPr="00307028">
        <w:rPr>
          <w:rFonts w:eastAsia="Calibri"/>
          <w:i/>
          <w:lang w:eastAsia="en-US"/>
        </w:rPr>
        <w:t>euro</w:t>
      </w:r>
      <w:r w:rsidRPr="00307028">
        <w:rPr>
          <w:rFonts w:eastAsia="Calibri"/>
          <w:lang w:eastAsia="en-US"/>
        </w:rPr>
        <w:t xml:space="preserve"> apmērā 2026. gadam bezdarbnieka pabalsta izmaksām;</w:t>
      </w:r>
    </w:p>
    <w:p w14:paraId="4B4C822D" w14:textId="08D07A08"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2,5 milj. </w:t>
      </w:r>
      <w:r w:rsidRPr="00307028">
        <w:rPr>
          <w:rFonts w:eastAsia="Calibri"/>
          <w:i/>
          <w:lang w:eastAsia="en-US"/>
        </w:rPr>
        <w:t>euro</w:t>
      </w:r>
      <w:r w:rsidRPr="00307028">
        <w:rPr>
          <w:rFonts w:eastAsia="Calibri"/>
          <w:lang w:eastAsia="en-US"/>
        </w:rPr>
        <w:t xml:space="preserve"> apmērā 2024. gadam, 0,9 milj. </w:t>
      </w:r>
      <w:r w:rsidRPr="00307028">
        <w:rPr>
          <w:rFonts w:eastAsia="Calibri"/>
          <w:i/>
          <w:lang w:eastAsia="en-US"/>
        </w:rPr>
        <w:t>euro</w:t>
      </w:r>
      <w:r w:rsidRPr="00307028">
        <w:rPr>
          <w:rFonts w:eastAsia="Calibri"/>
          <w:lang w:eastAsia="en-US"/>
        </w:rPr>
        <w:t xml:space="preserve"> apmērā 2025.</w:t>
      </w:r>
      <w:r w:rsidR="00680513" w:rsidRPr="00307028">
        <w:rPr>
          <w:rFonts w:eastAsia="Calibri"/>
          <w:lang w:eastAsia="en-US"/>
        </w:rPr>
        <w:t> </w:t>
      </w:r>
      <w:r w:rsidRPr="00307028">
        <w:rPr>
          <w:rFonts w:eastAsia="Calibri"/>
          <w:lang w:eastAsia="en-US"/>
        </w:rPr>
        <w:t xml:space="preserve">gadam un palielināti izdevumi 4,2 milj. </w:t>
      </w:r>
      <w:r w:rsidRPr="00307028">
        <w:rPr>
          <w:rFonts w:eastAsia="Calibri"/>
          <w:i/>
          <w:lang w:eastAsia="en-US"/>
        </w:rPr>
        <w:t>euro</w:t>
      </w:r>
      <w:r w:rsidRPr="00307028">
        <w:rPr>
          <w:rFonts w:eastAsia="Calibri"/>
          <w:lang w:eastAsia="en-US"/>
        </w:rPr>
        <w:t xml:space="preserve"> apmērā 2026. gadam maternitātes pabalsta izmaksām;</w:t>
      </w:r>
    </w:p>
    <w:p w14:paraId="512AE25F" w14:textId="777777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2,9 milj. </w:t>
      </w:r>
      <w:r w:rsidRPr="00307028">
        <w:rPr>
          <w:rFonts w:eastAsia="Calibri"/>
          <w:i/>
          <w:lang w:eastAsia="en-US"/>
        </w:rPr>
        <w:t>euro</w:t>
      </w:r>
      <w:r w:rsidRPr="00307028">
        <w:rPr>
          <w:rFonts w:eastAsia="Calibri"/>
          <w:lang w:eastAsia="en-US"/>
        </w:rPr>
        <w:t xml:space="preserve"> apmērā 2024. gadam, savukārt izdevumi palielināti 2,0 milj. </w:t>
      </w:r>
      <w:r w:rsidRPr="00307028">
        <w:rPr>
          <w:rFonts w:eastAsia="Calibri"/>
          <w:i/>
          <w:lang w:eastAsia="en-US"/>
        </w:rPr>
        <w:t>euro</w:t>
      </w:r>
      <w:r w:rsidRPr="00307028">
        <w:rPr>
          <w:rFonts w:eastAsia="Calibri"/>
          <w:lang w:eastAsia="en-US"/>
        </w:rPr>
        <w:t xml:space="preserve"> apmērā 2025. gadam un 15,2 milj. </w:t>
      </w:r>
      <w:r w:rsidRPr="00307028">
        <w:rPr>
          <w:rFonts w:eastAsia="Calibri"/>
          <w:i/>
          <w:lang w:eastAsia="en-US"/>
        </w:rPr>
        <w:t>euro</w:t>
      </w:r>
      <w:r w:rsidRPr="00307028">
        <w:rPr>
          <w:rFonts w:eastAsia="Calibri"/>
          <w:lang w:eastAsia="en-US"/>
        </w:rPr>
        <w:t xml:space="preserve"> apmērā 2026. gadam vecāku pabalsta izmaksām;</w:t>
      </w:r>
    </w:p>
    <w:p w14:paraId="753B312C" w14:textId="77777777" w:rsidR="00502EF8" w:rsidRPr="00307028" w:rsidRDefault="00502EF8" w:rsidP="00DC3088">
      <w:pPr>
        <w:numPr>
          <w:ilvl w:val="0"/>
          <w:numId w:val="51"/>
        </w:numPr>
        <w:tabs>
          <w:tab w:val="left" w:pos="993"/>
        </w:tabs>
        <w:spacing w:after="120" w:line="259" w:lineRule="auto"/>
        <w:ind w:left="0" w:firstLine="709"/>
        <w:jc w:val="both"/>
        <w:rPr>
          <w:rFonts w:eastAsia="Calibri"/>
          <w:lang w:eastAsia="en-US"/>
        </w:rPr>
      </w:pPr>
      <w:r w:rsidRPr="00307028">
        <w:rPr>
          <w:rFonts w:eastAsia="Calibri"/>
          <w:lang w:eastAsia="en-US"/>
        </w:rPr>
        <w:t xml:space="preserve">samazināti izdevumi 26,0 milj. </w:t>
      </w:r>
      <w:r w:rsidRPr="00307028">
        <w:rPr>
          <w:rFonts w:eastAsia="Calibri"/>
          <w:i/>
          <w:lang w:eastAsia="en-US"/>
        </w:rPr>
        <w:t>euro</w:t>
      </w:r>
      <w:r w:rsidRPr="00307028">
        <w:rPr>
          <w:rFonts w:eastAsia="Calibri"/>
          <w:lang w:eastAsia="en-US"/>
        </w:rPr>
        <w:t xml:space="preserve"> apmērā 2024. gadam, 19,4 milj. </w:t>
      </w:r>
      <w:r w:rsidRPr="00307028">
        <w:rPr>
          <w:rFonts w:eastAsia="Calibri"/>
          <w:i/>
          <w:lang w:eastAsia="en-US"/>
        </w:rPr>
        <w:t>euro</w:t>
      </w:r>
      <w:r w:rsidRPr="00307028">
        <w:rPr>
          <w:rFonts w:eastAsia="Calibri"/>
          <w:lang w:eastAsia="en-US"/>
        </w:rPr>
        <w:t xml:space="preserve"> apmērā 2025. gadam un 4,5 milj. </w:t>
      </w:r>
      <w:r w:rsidRPr="00307028">
        <w:rPr>
          <w:rFonts w:eastAsia="Calibri"/>
          <w:i/>
          <w:lang w:eastAsia="en-US"/>
        </w:rPr>
        <w:t>euro</w:t>
      </w:r>
      <w:r w:rsidRPr="00307028">
        <w:rPr>
          <w:rFonts w:eastAsia="Calibri"/>
          <w:lang w:eastAsia="en-US"/>
        </w:rPr>
        <w:t xml:space="preserve"> apmērā 2026. gadam slimības pabalsta izmaksām u.c..</w:t>
      </w:r>
    </w:p>
    <w:p w14:paraId="7ADA5CF1" w14:textId="77777777" w:rsidR="00502EF8" w:rsidRPr="00307028" w:rsidRDefault="00502EF8" w:rsidP="00DC3088">
      <w:pPr>
        <w:tabs>
          <w:tab w:val="left" w:pos="993"/>
        </w:tabs>
        <w:spacing w:after="120" w:line="259" w:lineRule="auto"/>
        <w:ind w:firstLine="709"/>
        <w:jc w:val="both"/>
        <w:rPr>
          <w:rFonts w:eastAsia="Times New Roman"/>
          <w:lang w:eastAsia="en-US"/>
        </w:rPr>
      </w:pPr>
      <w:r w:rsidRPr="00307028">
        <w:rPr>
          <w:rFonts w:eastAsia="Times New Roman"/>
          <w:lang w:eastAsia="en-US"/>
        </w:rPr>
        <w:t>Izdevumu izmaiņas ir saistībā ar pabalstu, atlīdzību un pensiju saņēmēju skaita un vidējo apmēru mēnesī (tajā skaitā saistībā ar pensiju indeksāciju) prognozētajām izmaiņām.</w:t>
      </w:r>
    </w:p>
    <w:p w14:paraId="058D8900" w14:textId="77777777" w:rsidR="00502EF8" w:rsidRPr="00307028" w:rsidRDefault="00502EF8" w:rsidP="00DC3088">
      <w:pPr>
        <w:tabs>
          <w:tab w:val="left" w:pos="851"/>
        </w:tabs>
        <w:autoSpaceDE w:val="0"/>
        <w:autoSpaceDN w:val="0"/>
        <w:adjustRightInd w:val="0"/>
        <w:spacing w:after="120" w:line="259" w:lineRule="auto"/>
        <w:ind w:firstLine="720"/>
        <w:jc w:val="both"/>
        <w:rPr>
          <w:rFonts w:eastAsia="Times New Roman"/>
          <w:lang w:eastAsia="en-US"/>
        </w:rPr>
      </w:pPr>
      <w:r w:rsidRPr="00307028">
        <w:rPr>
          <w:rFonts w:eastAsia="Times New Roman"/>
          <w:lang w:eastAsia="en-US"/>
        </w:rPr>
        <w:t>Informatīvā ziņojuma 5. pielikumā pievienota informācija par valsts budžeta bāzes izdevumos 2024., 2025. un 2026. gadam neiekļauto ministriju iesniegto pasākumu sarakstu, tajā skaitā pamatfunkciju īstenošanai un ES politiku instrumentu un pārējās ārvalstu finanšu palīdzības līdzfinansēto projektu un pasākumu īstenošanai.</w:t>
      </w:r>
    </w:p>
    <w:p w14:paraId="0904A734" w14:textId="77777777" w:rsidR="00C83E7A" w:rsidRPr="00307028" w:rsidRDefault="00C83E7A" w:rsidP="00DC3088">
      <w:pPr>
        <w:spacing w:after="120" w:line="259" w:lineRule="auto"/>
        <w:jc w:val="both"/>
        <w:rPr>
          <w:rFonts w:eastAsia="Calibri"/>
          <w:highlight w:val="yellow"/>
        </w:rPr>
      </w:pPr>
    </w:p>
    <w:p w14:paraId="4BDA16C4" w14:textId="6F668086" w:rsidR="00C83E7A" w:rsidRPr="00307028" w:rsidRDefault="00C83E7A" w:rsidP="00C83E7A">
      <w:pPr>
        <w:spacing w:after="120" w:line="259" w:lineRule="auto"/>
        <w:ind w:firstLine="720"/>
        <w:jc w:val="both"/>
        <w:rPr>
          <w:rFonts w:eastAsia="Calibri"/>
          <w:highlight w:val="yellow"/>
        </w:rPr>
      </w:pPr>
    </w:p>
    <w:bookmarkStart w:id="45" w:name="_Toc142492922"/>
    <w:p w14:paraId="53469BF6" w14:textId="2D61C9C7" w:rsidR="005D385C" w:rsidRPr="005D385C" w:rsidRDefault="005D385C" w:rsidP="005D385C">
      <w:pPr>
        <w:pStyle w:val="Heading1"/>
        <w:spacing w:before="120"/>
        <w:ind w:left="-567"/>
        <w:rPr>
          <w:sz w:val="44"/>
          <w:szCs w:val="36"/>
        </w:rPr>
      </w:pPr>
      <w:r>
        <w:rPr>
          <w:noProof/>
          <w14:ligatures w14:val="standardContextual"/>
        </w:rPr>
        <w:lastRenderedPageBreak/>
        <mc:AlternateContent>
          <mc:Choice Requires="wps">
            <w:drawing>
              <wp:anchor distT="0" distB="0" distL="114300" distR="114300" simplePos="0" relativeHeight="251766784" behindDoc="1" locked="0" layoutInCell="1" allowOverlap="1" wp14:anchorId="7832472B" wp14:editId="268F2765">
                <wp:simplePos x="0" y="0"/>
                <wp:positionH relativeFrom="column">
                  <wp:posOffset>-579203</wp:posOffset>
                </wp:positionH>
                <wp:positionV relativeFrom="paragraph">
                  <wp:posOffset>-235060</wp:posOffset>
                </wp:positionV>
                <wp:extent cx="7076661" cy="723568"/>
                <wp:effectExtent l="0" t="0" r="10160" b="19685"/>
                <wp:wrapNone/>
                <wp:docPr id="1737893121" name="Rectangle 5"/>
                <wp:cNvGraphicFramePr/>
                <a:graphic xmlns:a="http://schemas.openxmlformats.org/drawingml/2006/main">
                  <a:graphicData uri="http://schemas.microsoft.com/office/word/2010/wordprocessingShape">
                    <wps:wsp>
                      <wps:cNvSpPr/>
                      <wps:spPr>
                        <a:xfrm>
                          <a:off x="0" y="0"/>
                          <a:ext cx="7076661" cy="723568"/>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EA769B" id="Rectangle 5" o:spid="_x0000_s1026" style="position:absolute;margin-left:-45.6pt;margin-top:-18.5pt;width:557.2pt;height:56.95pt;z-index:-251549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" fillcolor="#fbe4d5 [661]" strokecolor="#fbe4d5 [661]" strokeweight="1pt"/>
            </w:pict>
          </mc:Fallback>
        </mc:AlternateContent>
      </w:r>
      <w:r w:rsidRPr="00307028">
        <w:t>VALSTS BUDŽETA IZDEVUMU PĀRSKATĪŠANA</w:t>
      </w:r>
      <w:bookmarkEnd w:id="45"/>
      <w:r w:rsidRPr="00307028">
        <w:t xml:space="preserve"> </w:t>
      </w:r>
    </w:p>
    <w:p w14:paraId="655CC36A" w14:textId="77777777" w:rsidR="005D385C" w:rsidRDefault="005D385C" w:rsidP="00B17292">
      <w:pPr>
        <w:spacing w:after="120" w:line="259" w:lineRule="auto"/>
        <w:ind w:firstLine="720"/>
        <w:jc w:val="both"/>
        <w:rPr>
          <w:rFonts w:eastAsia="Calibri"/>
        </w:rPr>
      </w:pPr>
    </w:p>
    <w:p w14:paraId="576982B2" w14:textId="5468738C" w:rsidR="00B17292" w:rsidRPr="00307028" w:rsidRDefault="00B17292" w:rsidP="00B17292">
      <w:pPr>
        <w:spacing w:after="120" w:line="259" w:lineRule="auto"/>
        <w:ind w:firstLine="720"/>
        <w:jc w:val="both"/>
        <w:rPr>
          <w:rFonts w:eastAsia="Calibri"/>
        </w:rPr>
      </w:pPr>
      <w:r w:rsidRPr="00307028">
        <w:rPr>
          <w:rFonts w:eastAsia="Calibri"/>
        </w:rPr>
        <w:t xml:space="preserve">Pēdējais gads ir </w:t>
      </w:r>
      <w:r w:rsidR="00740429" w:rsidRPr="00307028">
        <w:rPr>
          <w:rFonts w:eastAsia="Calibri"/>
        </w:rPr>
        <w:t xml:space="preserve">pagājis </w:t>
      </w:r>
      <w:r w:rsidRPr="00307028">
        <w:rPr>
          <w:rFonts w:eastAsia="Calibri"/>
        </w:rPr>
        <w:t xml:space="preserve">izdevumu pārskatīšanas zīmē, ko jau sākotnēji iezīmēja pieaugošās ministriju/iestāžu vajadzības un esošās valsts budžeta iespējas (PP 2023. gadam iesniegti par 2 232,7 milj. </w:t>
      </w:r>
      <w:r w:rsidRPr="00307028">
        <w:rPr>
          <w:rFonts w:eastAsia="Calibri"/>
          <w:i/>
          <w:iCs/>
        </w:rPr>
        <w:t>euro</w:t>
      </w:r>
      <w:r w:rsidR="001B2BA5" w:rsidRPr="00307028">
        <w:rPr>
          <w:rFonts w:eastAsia="Calibri"/>
        </w:rPr>
        <w:t xml:space="preserve"> </w:t>
      </w:r>
      <w:r w:rsidR="00DC6891" w:rsidRPr="00307028">
        <w:rPr>
          <w:rFonts w:eastAsia="Calibri"/>
        </w:rPr>
        <w:t>pretstatā</w:t>
      </w:r>
      <w:r w:rsidRPr="00307028">
        <w:rPr>
          <w:rFonts w:eastAsia="Calibri"/>
        </w:rPr>
        <w:t xml:space="preserve"> fiskāl</w:t>
      </w:r>
      <w:r w:rsidR="00DC6891" w:rsidRPr="00307028">
        <w:rPr>
          <w:rFonts w:eastAsia="Calibri"/>
        </w:rPr>
        <w:t>ajai</w:t>
      </w:r>
      <w:r w:rsidRPr="00307028">
        <w:rPr>
          <w:rFonts w:eastAsia="Calibri"/>
        </w:rPr>
        <w:t xml:space="preserve"> telpa</w:t>
      </w:r>
      <w:r w:rsidR="00DC6891" w:rsidRPr="00307028">
        <w:rPr>
          <w:rFonts w:eastAsia="Calibri"/>
        </w:rPr>
        <w:t>i</w:t>
      </w:r>
      <w:r w:rsidRPr="00307028">
        <w:rPr>
          <w:rFonts w:eastAsia="Calibri"/>
        </w:rPr>
        <w:t xml:space="preserve"> 215,1 milj. </w:t>
      </w:r>
      <w:r w:rsidRPr="00307028">
        <w:rPr>
          <w:rFonts w:eastAsia="Calibri"/>
          <w:i/>
          <w:iCs/>
        </w:rPr>
        <w:t>euro</w:t>
      </w:r>
      <w:r w:rsidR="00DC6891" w:rsidRPr="00307028">
        <w:rPr>
          <w:rFonts w:eastAsia="Calibri"/>
          <w:i/>
          <w:iCs/>
        </w:rPr>
        <w:t xml:space="preserve"> </w:t>
      </w:r>
      <w:r w:rsidR="00DC6891" w:rsidRPr="00307028">
        <w:rPr>
          <w:rFonts w:eastAsia="Calibri"/>
        </w:rPr>
        <w:t>apmērā</w:t>
      </w:r>
      <w:r w:rsidRPr="00307028">
        <w:rPr>
          <w:rFonts w:eastAsia="Calibri"/>
        </w:rPr>
        <w:t xml:space="preserve">). Tāpat arī pēdējo gadu notikumi valstī un pasaulē ir raisījuši ļoti daudz pārmaiņu, kā arī jaunas vajadzības, kas joprojām būtiski ietekmē valsts budžeta plānošanu un izpildi. Izdevumu pārskatīšanas loma budžeta sagatavošanas procesā pieaug un tikai turpinās pieaugt, līdz ar to ministrijām ir jāpārskata bāzes, prioritātes, politikas, veiktie pasākumi, kā arī </w:t>
      </w:r>
      <w:r w:rsidR="00C66CAC" w:rsidRPr="00307028">
        <w:rPr>
          <w:rFonts w:eastAsia="Calibri"/>
        </w:rPr>
        <w:t xml:space="preserve">jāaktualizē </w:t>
      </w:r>
      <w:r w:rsidRPr="00307028">
        <w:rPr>
          <w:rFonts w:eastAsia="Calibri"/>
        </w:rPr>
        <w:t>procesu</w:t>
      </w:r>
      <w:r w:rsidR="00C66CAC" w:rsidRPr="00307028">
        <w:rPr>
          <w:rFonts w:eastAsia="Calibri"/>
        </w:rPr>
        <w:t>s</w:t>
      </w:r>
      <w:r w:rsidRPr="00307028">
        <w:rPr>
          <w:rFonts w:eastAsia="Calibri"/>
        </w:rPr>
        <w:t>.</w:t>
      </w:r>
    </w:p>
    <w:p w14:paraId="05C7D1F7" w14:textId="1222B30F" w:rsidR="00B17292" w:rsidRPr="00307028" w:rsidRDefault="00B17292" w:rsidP="00B17292">
      <w:pPr>
        <w:spacing w:after="120" w:line="259" w:lineRule="auto"/>
        <w:ind w:firstLine="720"/>
        <w:jc w:val="both"/>
        <w:rPr>
          <w:rFonts w:eastAsia="Calibri"/>
        </w:rPr>
      </w:pPr>
      <w:r w:rsidRPr="00307028">
        <w:rPr>
          <w:rFonts w:eastAsia="Calibri"/>
        </w:rPr>
        <w:t>2023. gads īpaši iezīmējās veselības nozares izvērtēšanā, t.sk. Ministru prezidenta izdotā rezolūcija (23-MPI-16), ar kuru ministrijām tika lūgts sagatavot informāciju par prognozēto līdzekļu ekonomiju 2023. gada budžeta izpildes procesā, lai nodrošinātu papildu finansējumu neatliekamu pasākumu finansēšanai veselības nozarei 2023. gadā. Lai izpildītu Ministru prezidenta rezolūcijā noteikto, tika sagatavots un 2023. gada 20. jūnija MK sēdē izskatīts informatīvais ziņojums “Par finansējuma pārdali 2023. gadā veselības nozarei”, kurā paredzēts mehānisms papildu 140 milj. </w:t>
      </w:r>
      <w:r w:rsidRPr="00307028">
        <w:rPr>
          <w:rFonts w:eastAsia="Calibri"/>
          <w:i/>
          <w:iCs/>
        </w:rPr>
        <w:t>euro</w:t>
      </w:r>
      <w:r w:rsidRPr="00307028">
        <w:rPr>
          <w:rFonts w:eastAsia="Calibri"/>
        </w:rPr>
        <w:t xml:space="preserve"> piešķiršanai veselības nozarei 2023. gada laikā. Attiecīgā papildu piešķīruma pirmā posma ietvaros VM neatliekamo pasākumu īstenošanai no nozaru ministrijām pārdalīti </w:t>
      </w:r>
      <w:r w:rsidR="00DC6891" w:rsidRPr="00307028">
        <w:rPr>
          <w:rFonts w:eastAsia="Calibri"/>
        </w:rPr>
        <w:t xml:space="preserve">jau </w:t>
      </w:r>
      <w:r w:rsidRPr="00307028">
        <w:rPr>
          <w:rFonts w:eastAsia="Calibri"/>
        </w:rPr>
        <w:t>57 milj. </w:t>
      </w:r>
      <w:r w:rsidRPr="00307028">
        <w:rPr>
          <w:rFonts w:eastAsia="Calibri"/>
          <w:i/>
          <w:iCs/>
        </w:rPr>
        <w:t>euro</w:t>
      </w:r>
      <w:r w:rsidRPr="00307028">
        <w:rPr>
          <w:rFonts w:eastAsia="Calibri"/>
        </w:rPr>
        <w:t>.</w:t>
      </w:r>
    </w:p>
    <w:p w14:paraId="12940068" w14:textId="583C0E74" w:rsidR="008176F0" w:rsidRPr="00307028" w:rsidRDefault="006C73CF" w:rsidP="00D81B81">
      <w:pPr>
        <w:spacing w:after="120" w:line="259" w:lineRule="auto"/>
        <w:ind w:firstLine="720"/>
        <w:jc w:val="both"/>
        <w:rPr>
          <w:rFonts w:eastAsiaTheme="minorHAnsi" w:cstheme="minorBidi"/>
          <w:b/>
          <w:bCs/>
          <w:kern w:val="2"/>
          <w:lang w:eastAsia="en-US"/>
          <w14:ligatures w14:val="standardContextual"/>
        </w:rPr>
      </w:pPr>
      <w:r w:rsidRPr="00307028">
        <w:rPr>
          <w:rFonts w:eastAsia="Calibri"/>
          <w:b/>
          <w:bCs/>
          <w:noProof/>
        </w:rPr>
        <mc:AlternateContent>
          <mc:Choice Requires="wps">
            <w:drawing>
              <wp:anchor distT="45720" distB="45720" distL="114300" distR="114300" simplePos="0" relativeHeight="251743232" behindDoc="0" locked="0" layoutInCell="1" allowOverlap="1" wp14:anchorId="63161EA8" wp14:editId="4512D320">
                <wp:simplePos x="0" y="0"/>
                <wp:positionH relativeFrom="margin">
                  <wp:align>right</wp:align>
                </wp:positionH>
                <wp:positionV relativeFrom="paragraph">
                  <wp:posOffset>1075055</wp:posOffset>
                </wp:positionV>
                <wp:extent cx="5742305" cy="294005"/>
                <wp:effectExtent l="0" t="0" r="10795" b="10795"/>
                <wp:wrapTopAndBottom/>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94198"/>
                        </a:xfrm>
                        <a:prstGeom prst="rect">
                          <a:avLst/>
                        </a:prstGeom>
                        <a:solidFill>
                          <a:srgbClr val="2B99AF"/>
                        </a:solidFill>
                        <a:ln w="9525">
                          <a:solidFill>
                            <a:srgbClr val="4472C4">
                              <a:lumMod val="60000"/>
                              <a:lumOff val="40000"/>
                            </a:srgbClr>
                          </a:solidFill>
                          <a:miter lim="800000"/>
                          <a:headEnd/>
                          <a:tailEnd/>
                        </a:ln>
                      </wps:spPr>
                      <wps:txbx>
                        <w:txbxContent>
                          <w:p w14:paraId="4082D588" w14:textId="77777777" w:rsidR="008246EA" w:rsidRPr="002A6AA6" w:rsidRDefault="008246EA" w:rsidP="008246EA">
                            <w:pPr>
                              <w:jc w:val="center"/>
                              <w:rPr>
                                <w:b/>
                                <w:bCs/>
                                <w:sz w:val="28"/>
                                <w:szCs w:val="28"/>
                              </w:rPr>
                            </w:pPr>
                            <w:r w:rsidRPr="002A6AA6">
                              <w:rPr>
                                <w:b/>
                                <w:bCs/>
                                <w:sz w:val="28"/>
                                <w:szCs w:val="28"/>
                              </w:rPr>
                              <w:t>TVĒRUMS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61EA8" id="_x0000_s1031" type="#_x0000_t202" style="position:absolute;left:0;text-align:left;margin-left:400.95pt;margin-top:84.65pt;width:452.15pt;height:23.1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" fillcolor="#2b99af" strokecolor="#8faadc">
                <v:textbox>
                  <w:txbxContent>
                    <w:p w14:paraId="4082D588" w14:textId="77777777" w:rsidR="008246EA" w:rsidRPr="002A6AA6" w:rsidRDefault="008246EA" w:rsidP="008246EA">
                      <w:pPr>
                        <w:jc w:val="center"/>
                        <w:rPr>
                          <w:b/>
                          <w:bCs/>
                          <w:sz w:val="28"/>
                          <w:szCs w:val="28"/>
                        </w:rPr>
                      </w:pPr>
                      <w:r w:rsidRPr="002A6AA6">
                        <w:rPr>
                          <w:b/>
                          <w:bCs/>
                          <w:sz w:val="28"/>
                          <w:szCs w:val="28"/>
                        </w:rPr>
                        <w:t>TVĒRUMS</w:t>
                      </w:r>
                    </w:p>
                  </w:txbxContent>
                </v:textbox>
                <w10:wrap type="topAndBottom" anchorx="margin"/>
              </v:shape>
            </w:pict>
          </mc:Fallback>
        </mc:AlternateContent>
      </w:r>
      <w:r w:rsidR="0040553F" w:rsidRPr="00307028">
        <w:rPr>
          <w:rFonts w:eastAsiaTheme="minorHAnsi" w:cstheme="minorBidi"/>
          <w:kern w:val="2"/>
          <w:lang w:eastAsia="en-US"/>
          <w14:ligatures w14:val="standardContextual"/>
        </w:rPr>
        <w:t>Šī gada izdevumu pārskatīšanas ietvaros uzsvars tika lik</w:t>
      </w:r>
      <w:r w:rsidR="00DC6891" w:rsidRPr="00307028">
        <w:rPr>
          <w:rFonts w:eastAsiaTheme="minorHAnsi" w:cstheme="minorBidi"/>
          <w:kern w:val="2"/>
          <w:lang w:eastAsia="en-US"/>
          <w14:ligatures w14:val="standardContextual"/>
        </w:rPr>
        <w:t>t</w:t>
      </w:r>
      <w:r w:rsidR="0040553F" w:rsidRPr="00307028">
        <w:rPr>
          <w:rFonts w:eastAsiaTheme="minorHAnsi" w:cstheme="minorBidi"/>
          <w:kern w:val="2"/>
          <w:lang w:eastAsia="en-US"/>
          <w14:ligatures w14:val="standardContextual"/>
        </w:rPr>
        <w:t>s uz procesu, funkciju un ministriju īstenoto politiku analīzi. Tika vērtēti gan tādi jautājumi, kas līdz šim vēl nav bijuši pakļauti izdevumu pārskatīšanas procesam, gan arī tādi, kuros vidējā termiņā jau ir veikta analīze, izteikti secinājumi un doti uzdevumi procesu pilnveidei, bet kuri nav devuši tūlītēju finansiālo ietekmi.</w:t>
      </w:r>
    </w:p>
    <w:p w14:paraId="053F94B6" w14:textId="3259289F" w:rsidR="008246EA" w:rsidRPr="00307028" w:rsidRDefault="008246EA" w:rsidP="00C83E7A">
      <w:pPr>
        <w:spacing w:after="120" w:line="259" w:lineRule="auto"/>
        <w:ind w:firstLine="720"/>
        <w:jc w:val="both"/>
        <w:rPr>
          <w:rFonts w:eastAsia="Calibri"/>
        </w:rPr>
      </w:pPr>
      <w:r w:rsidRPr="00307028">
        <w:rPr>
          <w:rFonts w:eastAsia="Calibri"/>
        </w:rPr>
        <w:t xml:space="preserve">Saskaņā ar </w:t>
      </w:r>
      <w:bookmarkStart w:id="46" w:name="_Hlk142051141"/>
      <w:r w:rsidR="00C66CAC" w:rsidRPr="00307028">
        <w:rPr>
          <w:rFonts w:eastAsia="Calibri"/>
        </w:rPr>
        <w:t>budžeta</w:t>
      </w:r>
      <w:r w:rsidR="00806883" w:rsidRPr="00307028">
        <w:rPr>
          <w:rFonts w:eastAsia="Calibri"/>
        </w:rPr>
        <w:t xml:space="preserve"> sagatavošanas grafik</w:t>
      </w:r>
      <w:r w:rsidR="00C66CAC" w:rsidRPr="00307028">
        <w:rPr>
          <w:rFonts w:eastAsia="Calibri"/>
        </w:rPr>
        <w:t>a</w:t>
      </w:r>
      <w:r w:rsidRPr="00307028">
        <w:rPr>
          <w:rFonts w:eastAsia="Calibri"/>
        </w:rPr>
        <w:t xml:space="preserve"> </w:t>
      </w:r>
      <w:bookmarkEnd w:id="46"/>
      <w:r w:rsidRPr="00307028">
        <w:rPr>
          <w:rFonts w:eastAsia="Calibri"/>
        </w:rPr>
        <w:t>2. punktu tika noteikts izdevumu pārskatīšanas tvērums (Attēls Nr. 1</w:t>
      </w:r>
      <w:r w:rsidR="00B018C5" w:rsidRPr="00307028">
        <w:rPr>
          <w:rFonts w:eastAsia="Calibri"/>
        </w:rPr>
        <w:t>.5.</w:t>
      </w:r>
      <w:r w:rsidRPr="00307028">
        <w:rPr>
          <w:rFonts w:eastAsia="Calibri"/>
        </w:rPr>
        <w:t>), atbilstoši kuram 202</w:t>
      </w:r>
      <w:r w:rsidR="00806883" w:rsidRPr="00307028">
        <w:rPr>
          <w:rFonts w:eastAsia="Calibri"/>
        </w:rPr>
        <w:t>3</w:t>
      </w:r>
      <w:r w:rsidRPr="00307028">
        <w:rPr>
          <w:rFonts w:eastAsia="Calibri"/>
        </w:rPr>
        <w:t>.</w:t>
      </w:r>
      <w:r w:rsidR="002F4FE8" w:rsidRPr="00307028">
        <w:rPr>
          <w:rFonts w:eastAsia="Calibri"/>
        </w:rPr>
        <w:t> </w:t>
      </w:r>
      <w:r w:rsidRPr="00307028">
        <w:rPr>
          <w:rFonts w:eastAsia="Calibri"/>
        </w:rPr>
        <w:t xml:space="preserve">gadā strukturēta un veidota izdevumu pārskatīšana, kā arī atbilstoši šī </w:t>
      </w:r>
      <w:r w:rsidR="00C66CAC" w:rsidRPr="00307028">
        <w:rPr>
          <w:rFonts w:eastAsia="Calibri"/>
        </w:rPr>
        <w:t>budžeta sagatavošanas grafika</w:t>
      </w:r>
      <w:r w:rsidRPr="00307028">
        <w:rPr>
          <w:rFonts w:eastAsia="Calibri"/>
        </w:rPr>
        <w:t xml:space="preserve"> pielikuma 11.</w:t>
      </w:r>
      <w:r w:rsidR="00B018C5" w:rsidRPr="00307028">
        <w:rPr>
          <w:rFonts w:eastAsia="Calibri"/>
        </w:rPr>
        <w:t> </w:t>
      </w:r>
      <w:r w:rsidRPr="00307028">
        <w:rPr>
          <w:rFonts w:eastAsia="Calibri"/>
        </w:rPr>
        <w:t xml:space="preserve">punktam sagatavots šis informatīvais ziņojums. </w:t>
      </w:r>
    </w:p>
    <w:p w14:paraId="1A5BCBE9" w14:textId="562A5B5B" w:rsidR="00C66CAC" w:rsidRPr="005D385C" w:rsidRDefault="005C37C0" w:rsidP="005D385C">
      <w:pPr>
        <w:spacing w:after="120" w:line="259" w:lineRule="auto"/>
        <w:ind w:firstLine="720"/>
        <w:jc w:val="both"/>
        <w:rPr>
          <w:rFonts w:eastAsia="Calibri"/>
        </w:rPr>
      </w:pPr>
      <w:r w:rsidRPr="00307028">
        <w:rPr>
          <w:rFonts w:eastAsia="Calibri"/>
        </w:rPr>
        <w:t>Līdzīgi kā citus gadus</w:t>
      </w:r>
      <w:r w:rsidR="00DC6891" w:rsidRPr="00307028">
        <w:rPr>
          <w:rFonts w:eastAsia="Calibri"/>
        </w:rPr>
        <w:t xml:space="preserve"> </w:t>
      </w:r>
      <w:r w:rsidRPr="00307028">
        <w:rPr>
          <w:rFonts w:eastAsia="Calibri"/>
        </w:rPr>
        <w:t>t</w:t>
      </w:r>
      <w:r w:rsidR="00B43D85" w:rsidRPr="00307028">
        <w:rPr>
          <w:rFonts w:eastAsia="Calibri"/>
        </w:rPr>
        <w:t>vēruma sagatavošanā un izstrādē</w:t>
      </w:r>
      <w:r w:rsidRPr="00307028">
        <w:rPr>
          <w:rFonts w:eastAsia="Calibri"/>
        </w:rPr>
        <w:t xml:space="preserve"> </w:t>
      </w:r>
      <w:r w:rsidR="00B43D85" w:rsidRPr="00307028">
        <w:rPr>
          <w:rFonts w:eastAsia="Calibri"/>
        </w:rPr>
        <w:t xml:space="preserve">ar priekšlikumiem </w:t>
      </w:r>
      <w:r w:rsidR="00B843BD" w:rsidRPr="00307028">
        <w:rPr>
          <w:rFonts w:eastAsia="Calibri"/>
        </w:rPr>
        <w:t>2023</w:t>
      </w:r>
      <w:r w:rsidR="00B43D85" w:rsidRPr="00307028">
        <w:rPr>
          <w:rFonts w:eastAsia="Calibri"/>
        </w:rPr>
        <w:t>.</w:t>
      </w:r>
      <w:r w:rsidR="002F4FE8" w:rsidRPr="00307028">
        <w:rPr>
          <w:rFonts w:eastAsia="Calibri"/>
        </w:rPr>
        <w:t> </w:t>
      </w:r>
      <w:r w:rsidR="00B43D85" w:rsidRPr="00307028">
        <w:rPr>
          <w:rFonts w:eastAsia="Calibri"/>
        </w:rPr>
        <w:t xml:space="preserve">gadam </w:t>
      </w:r>
      <w:r w:rsidRPr="00307028">
        <w:rPr>
          <w:rFonts w:eastAsia="Calibri"/>
        </w:rPr>
        <w:t xml:space="preserve">tika iesaistītas nozaru ministrijas, </w:t>
      </w:r>
      <w:r w:rsidR="00DC6891" w:rsidRPr="00307028">
        <w:rPr>
          <w:rFonts w:eastAsia="Calibri"/>
        </w:rPr>
        <w:t xml:space="preserve">FM </w:t>
      </w:r>
      <w:r w:rsidRPr="00307028">
        <w:rPr>
          <w:rFonts w:eastAsia="Calibri"/>
        </w:rPr>
        <w:t>eksperti, kā arī</w:t>
      </w:r>
      <w:r w:rsidR="00B43D85" w:rsidRPr="00307028">
        <w:rPr>
          <w:rFonts w:eastAsia="Calibri"/>
        </w:rPr>
        <w:t xml:space="preserve"> izdevumu pārskatīšanas darba grupas locekļi</w:t>
      </w:r>
      <w:r w:rsidRPr="00307028">
        <w:rPr>
          <w:rFonts w:eastAsia="Calibri"/>
        </w:rPr>
        <w:t xml:space="preserve">. Daļa no tēmām tvērumā tiek iekļautas ikgadēji, veidojot datus dinamikā, kā arī veicinot un attīstot atsevišķu aspektu ikgadēju pārskatīšanu. </w:t>
      </w:r>
    </w:p>
    <w:p w14:paraId="2A8E21F6" w14:textId="77777777" w:rsidR="005D385C" w:rsidRDefault="005D385C" w:rsidP="0044492A">
      <w:pPr>
        <w:spacing w:line="256" w:lineRule="auto"/>
        <w:jc w:val="center"/>
        <w:rPr>
          <w:rFonts w:eastAsia="Calibri"/>
          <w:b/>
          <w:i/>
          <w:iCs/>
          <w:sz w:val="22"/>
          <w:szCs w:val="28"/>
        </w:rPr>
      </w:pPr>
    </w:p>
    <w:p w14:paraId="4FB9DB2C" w14:textId="77777777" w:rsidR="005D385C" w:rsidRDefault="005D385C" w:rsidP="0044492A">
      <w:pPr>
        <w:spacing w:line="256" w:lineRule="auto"/>
        <w:jc w:val="center"/>
        <w:rPr>
          <w:rFonts w:eastAsia="Calibri"/>
          <w:b/>
          <w:i/>
          <w:iCs/>
          <w:sz w:val="22"/>
          <w:szCs w:val="28"/>
        </w:rPr>
      </w:pPr>
    </w:p>
    <w:p w14:paraId="0AD796B9" w14:textId="77777777" w:rsidR="005D385C" w:rsidRDefault="005D385C" w:rsidP="0044492A">
      <w:pPr>
        <w:spacing w:line="256" w:lineRule="auto"/>
        <w:jc w:val="center"/>
        <w:rPr>
          <w:rFonts w:eastAsia="Calibri"/>
          <w:b/>
          <w:i/>
          <w:iCs/>
          <w:sz w:val="22"/>
          <w:szCs w:val="28"/>
        </w:rPr>
      </w:pPr>
    </w:p>
    <w:p w14:paraId="0E431FDF" w14:textId="77777777" w:rsidR="005D385C" w:rsidRDefault="005D385C" w:rsidP="0044492A">
      <w:pPr>
        <w:spacing w:line="256" w:lineRule="auto"/>
        <w:jc w:val="center"/>
        <w:rPr>
          <w:rFonts w:eastAsia="Calibri"/>
          <w:b/>
          <w:i/>
          <w:iCs/>
          <w:sz w:val="22"/>
          <w:szCs w:val="28"/>
        </w:rPr>
      </w:pPr>
    </w:p>
    <w:p w14:paraId="378B6BD2" w14:textId="77777777" w:rsidR="005D385C" w:rsidRDefault="005D385C" w:rsidP="0044492A">
      <w:pPr>
        <w:spacing w:line="256" w:lineRule="auto"/>
        <w:jc w:val="center"/>
        <w:rPr>
          <w:rFonts w:eastAsia="Calibri"/>
          <w:b/>
          <w:i/>
          <w:iCs/>
          <w:sz w:val="22"/>
          <w:szCs w:val="28"/>
        </w:rPr>
      </w:pPr>
    </w:p>
    <w:p w14:paraId="6CF31A7D" w14:textId="77777777" w:rsidR="005D385C" w:rsidRDefault="005D385C" w:rsidP="0044492A">
      <w:pPr>
        <w:spacing w:line="256" w:lineRule="auto"/>
        <w:jc w:val="center"/>
        <w:rPr>
          <w:rFonts w:eastAsia="Calibri"/>
          <w:b/>
          <w:i/>
          <w:iCs/>
          <w:sz w:val="22"/>
          <w:szCs w:val="28"/>
        </w:rPr>
      </w:pPr>
    </w:p>
    <w:p w14:paraId="11A4E9A7" w14:textId="77777777" w:rsidR="005D385C" w:rsidRDefault="005D385C" w:rsidP="0044492A">
      <w:pPr>
        <w:spacing w:line="256" w:lineRule="auto"/>
        <w:jc w:val="center"/>
        <w:rPr>
          <w:rFonts w:eastAsia="Calibri"/>
          <w:b/>
          <w:i/>
          <w:iCs/>
          <w:sz w:val="22"/>
          <w:szCs w:val="28"/>
        </w:rPr>
      </w:pPr>
    </w:p>
    <w:p w14:paraId="0632D9F7" w14:textId="77777777" w:rsidR="005D385C" w:rsidRDefault="005D385C" w:rsidP="0044492A">
      <w:pPr>
        <w:spacing w:line="256" w:lineRule="auto"/>
        <w:jc w:val="center"/>
        <w:rPr>
          <w:rFonts w:eastAsia="Calibri"/>
          <w:b/>
          <w:i/>
          <w:iCs/>
          <w:sz w:val="22"/>
          <w:szCs w:val="28"/>
        </w:rPr>
      </w:pPr>
    </w:p>
    <w:p w14:paraId="2E2A4B03" w14:textId="77777777" w:rsidR="005D385C" w:rsidRDefault="005D385C" w:rsidP="0044492A">
      <w:pPr>
        <w:spacing w:line="256" w:lineRule="auto"/>
        <w:jc w:val="center"/>
        <w:rPr>
          <w:rFonts w:eastAsia="Calibri"/>
          <w:b/>
          <w:i/>
          <w:iCs/>
          <w:sz w:val="22"/>
          <w:szCs w:val="28"/>
        </w:rPr>
      </w:pPr>
    </w:p>
    <w:p w14:paraId="52B09FDC" w14:textId="77777777" w:rsidR="005D385C" w:rsidRDefault="005D385C" w:rsidP="0044492A">
      <w:pPr>
        <w:spacing w:line="256" w:lineRule="auto"/>
        <w:jc w:val="center"/>
        <w:rPr>
          <w:rFonts w:eastAsia="Calibri"/>
          <w:b/>
          <w:i/>
          <w:iCs/>
          <w:sz w:val="22"/>
          <w:szCs w:val="28"/>
        </w:rPr>
      </w:pPr>
    </w:p>
    <w:p w14:paraId="3DBEEDAA" w14:textId="77777777" w:rsidR="005D385C" w:rsidRDefault="005D385C" w:rsidP="0044492A">
      <w:pPr>
        <w:spacing w:line="256" w:lineRule="auto"/>
        <w:jc w:val="center"/>
        <w:rPr>
          <w:rFonts w:eastAsia="Calibri"/>
          <w:b/>
          <w:i/>
          <w:iCs/>
          <w:sz w:val="22"/>
          <w:szCs w:val="28"/>
        </w:rPr>
      </w:pPr>
    </w:p>
    <w:p w14:paraId="698E0EE9" w14:textId="77777777" w:rsidR="005D385C" w:rsidRDefault="005D385C" w:rsidP="0044492A">
      <w:pPr>
        <w:spacing w:line="256" w:lineRule="auto"/>
        <w:jc w:val="center"/>
        <w:rPr>
          <w:rFonts w:eastAsia="Calibri"/>
          <w:b/>
          <w:i/>
          <w:iCs/>
          <w:sz w:val="22"/>
          <w:szCs w:val="28"/>
        </w:rPr>
      </w:pPr>
    </w:p>
    <w:p w14:paraId="474243C5" w14:textId="77777777" w:rsidR="005D385C" w:rsidRDefault="005D385C" w:rsidP="0044492A">
      <w:pPr>
        <w:spacing w:line="256" w:lineRule="auto"/>
        <w:jc w:val="center"/>
        <w:rPr>
          <w:rFonts w:eastAsia="Calibri"/>
          <w:b/>
          <w:i/>
          <w:iCs/>
          <w:sz w:val="22"/>
          <w:szCs w:val="28"/>
        </w:rPr>
      </w:pPr>
    </w:p>
    <w:p w14:paraId="7338BF77" w14:textId="09DEE6A0" w:rsidR="008246EA" w:rsidRPr="00307028" w:rsidRDefault="008246EA" w:rsidP="0044492A">
      <w:pPr>
        <w:spacing w:line="256" w:lineRule="auto"/>
        <w:jc w:val="center"/>
        <w:rPr>
          <w:rFonts w:eastAsia="Calibri"/>
          <w:b/>
          <w:sz w:val="22"/>
          <w:szCs w:val="28"/>
        </w:rPr>
      </w:pPr>
      <w:r w:rsidRPr="00307028">
        <w:rPr>
          <w:rFonts w:eastAsia="Calibri"/>
          <w:b/>
          <w:i/>
          <w:iCs/>
          <w:sz w:val="22"/>
          <w:szCs w:val="28"/>
        </w:rPr>
        <w:lastRenderedPageBreak/>
        <w:t>1.</w:t>
      </w:r>
      <w:r w:rsidR="00B018C5" w:rsidRPr="00307028">
        <w:rPr>
          <w:rFonts w:eastAsia="Calibri"/>
          <w:b/>
          <w:i/>
          <w:iCs/>
          <w:sz w:val="22"/>
          <w:szCs w:val="28"/>
        </w:rPr>
        <w:t>5.</w:t>
      </w:r>
      <w:r w:rsidRPr="00307028">
        <w:rPr>
          <w:rFonts w:eastAsia="Calibri"/>
          <w:b/>
          <w:i/>
          <w:iCs/>
          <w:sz w:val="22"/>
          <w:szCs w:val="28"/>
        </w:rPr>
        <w:t> attēls</w:t>
      </w:r>
      <w:r w:rsidRPr="00307028">
        <w:rPr>
          <w:rFonts w:eastAsia="Calibri"/>
          <w:b/>
          <w:sz w:val="22"/>
          <w:szCs w:val="28"/>
        </w:rPr>
        <w:t xml:space="preserve"> Izdevumu pārskatīšanas tvērums 202</w:t>
      </w:r>
      <w:r w:rsidR="0087009E" w:rsidRPr="00307028">
        <w:rPr>
          <w:rFonts w:eastAsia="Calibri"/>
          <w:b/>
          <w:sz w:val="22"/>
          <w:szCs w:val="28"/>
        </w:rPr>
        <w:t>3</w:t>
      </w:r>
    </w:p>
    <w:p w14:paraId="2242C90C" w14:textId="3A55F4C8" w:rsidR="008246EA" w:rsidRPr="00307028" w:rsidRDefault="0087009E" w:rsidP="007917E2">
      <w:r w:rsidRPr="00307028">
        <w:rPr>
          <w:noProof/>
        </w:rPr>
        <w:drawing>
          <wp:inline distT="0" distB="0" distL="0" distR="0" wp14:anchorId="0E9C7B4B" wp14:editId="24CE6D57">
            <wp:extent cx="5718477" cy="3013544"/>
            <wp:effectExtent l="0" t="0" r="0" b="0"/>
            <wp:docPr id="12276187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18700" name="Picture 1" descr="A screenshot of a computer&#10;&#10;Description automatically generated"/>
                    <pic:cNvPicPr/>
                  </pic:nvPicPr>
                  <pic:blipFill rotWithShape="1">
                    <a:blip r:embed="rId14"/>
                    <a:srcRect l="691" t="1613" b="2394"/>
                    <a:stretch/>
                  </pic:blipFill>
                  <pic:spPr bwMode="auto">
                    <a:xfrm>
                      <a:off x="0" y="0"/>
                      <a:ext cx="5740527" cy="3025164"/>
                    </a:xfrm>
                    <a:prstGeom prst="rect">
                      <a:avLst/>
                    </a:prstGeom>
                    <a:ln>
                      <a:noFill/>
                    </a:ln>
                    <a:extLst>
                      <a:ext uri="{53640926-AAD7-44D8-BBD7-CCE9431645EC}">
                        <a14:shadowObscured xmlns:a14="http://schemas.microsoft.com/office/drawing/2010/main"/>
                      </a:ext>
                    </a:extLst>
                  </pic:spPr>
                </pic:pic>
              </a:graphicData>
            </a:graphic>
          </wp:inline>
        </w:drawing>
      </w:r>
    </w:p>
    <w:p w14:paraId="5E9F899F" w14:textId="1E81E59D" w:rsidR="00942D02" w:rsidRPr="00307028" w:rsidRDefault="00A63EE6" w:rsidP="00102E32">
      <w:pPr>
        <w:spacing w:before="120" w:after="120" w:line="257" w:lineRule="auto"/>
        <w:ind w:firstLine="720"/>
        <w:jc w:val="both"/>
        <w:rPr>
          <w:rFonts w:eastAsia="Calibri"/>
          <w:lang w:eastAsia="en-US"/>
        </w:rPr>
      </w:pPr>
      <w:r w:rsidRPr="00307028">
        <w:rPr>
          <w:rFonts w:eastAsia="Calibri"/>
          <w:lang w:eastAsia="en-US"/>
        </w:rPr>
        <w:t>Tvērumā noteikti trīs izdevumu pārskatīšanas pamatvirzieni</w:t>
      </w:r>
      <w:r w:rsidR="002F4FE8" w:rsidRPr="00307028">
        <w:rPr>
          <w:rFonts w:eastAsia="Calibri"/>
          <w:lang w:eastAsia="en-US"/>
        </w:rPr>
        <w:t>:</w:t>
      </w:r>
    </w:p>
    <w:p w14:paraId="4AD99F91" w14:textId="3E02A917" w:rsidR="00942D02" w:rsidRPr="00307028" w:rsidRDefault="00102E32" w:rsidP="00070D5F">
      <w:pPr>
        <w:pStyle w:val="ListParagraph"/>
        <w:numPr>
          <w:ilvl w:val="0"/>
          <w:numId w:val="25"/>
        </w:numPr>
        <w:spacing w:before="120" w:after="120" w:line="257" w:lineRule="auto"/>
        <w:ind w:left="142" w:hanging="357"/>
        <w:contextualSpacing w:val="0"/>
        <w:jc w:val="both"/>
        <w:rPr>
          <w:rFonts w:eastAsia="Calibri"/>
          <w:lang w:eastAsia="en-US"/>
        </w:rPr>
      </w:pPr>
      <w:r w:rsidRPr="00307028">
        <w:rPr>
          <w:rFonts w:eastAsia="Calibri"/>
          <w:b/>
          <w:bCs/>
          <w:lang w:eastAsia="en-US"/>
        </w:rPr>
        <w:t>Nozaru ministriju pārraudzībā esošo finansēšanas politiku analīze</w:t>
      </w:r>
      <w:r w:rsidRPr="00307028">
        <w:rPr>
          <w:rFonts w:eastAsia="Calibri"/>
          <w:lang w:eastAsia="en-US"/>
        </w:rPr>
        <w:t xml:space="preserve"> </w:t>
      </w:r>
      <w:r w:rsidR="002F4FE8" w:rsidRPr="00307028">
        <w:rPr>
          <w:rFonts w:eastAsia="Calibri"/>
          <w:lang w:eastAsia="en-US"/>
        </w:rPr>
        <w:t>–</w:t>
      </w:r>
      <w:r w:rsidRPr="00307028">
        <w:rPr>
          <w:rFonts w:eastAsia="Calibri"/>
          <w:lang w:eastAsia="en-US"/>
        </w:rPr>
        <w:t xml:space="preserve"> tajā ietverot VM budžeta izdevumu visaptverošu analīzi, snie</w:t>
      </w:r>
      <w:r w:rsidR="00DC6891" w:rsidRPr="00307028">
        <w:rPr>
          <w:rFonts w:eastAsia="Calibri"/>
          <w:lang w:eastAsia="en-US"/>
        </w:rPr>
        <w:t>dzot</w:t>
      </w:r>
      <w:r w:rsidRPr="00307028">
        <w:rPr>
          <w:rFonts w:eastAsia="Calibri"/>
          <w:lang w:eastAsia="en-US"/>
        </w:rPr>
        <w:t xml:space="preserve"> izvērtējumu par sagatavoto augstākās izglītības analīzi, kā arī vei</w:t>
      </w:r>
      <w:r w:rsidR="00DC6891" w:rsidRPr="00307028">
        <w:rPr>
          <w:rFonts w:eastAsia="Calibri"/>
          <w:lang w:eastAsia="en-US"/>
        </w:rPr>
        <w:t>cot</w:t>
      </w:r>
      <w:r w:rsidRPr="00307028">
        <w:rPr>
          <w:rFonts w:eastAsia="Calibri"/>
          <w:lang w:eastAsia="en-US"/>
        </w:rPr>
        <w:t xml:space="preserve"> valsts pētījumu programmām un to projektiem piešķirtā un izlietotā finansējuma, un sasniegto rezultātu analīzi, snie</w:t>
      </w:r>
      <w:r w:rsidR="00DC6891" w:rsidRPr="00307028">
        <w:rPr>
          <w:rFonts w:eastAsia="Calibri"/>
          <w:lang w:eastAsia="en-US"/>
        </w:rPr>
        <w:t>dzot</w:t>
      </w:r>
      <w:r w:rsidRPr="00307028">
        <w:rPr>
          <w:rFonts w:eastAsia="Calibri"/>
          <w:lang w:eastAsia="en-US"/>
        </w:rPr>
        <w:t xml:space="preserve"> izvērtējumu un priekšlikumus valsts budžeta iestāžu informācijas un komunikāciju tehnoloģiju jomas pārvaldībai, kā arī </w:t>
      </w:r>
      <w:r w:rsidR="00942D02" w:rsidRPr="00307028">
        <w:rPr>
          <w:rFonts w:eastAsia="Calibri"/>
          <w:lang w:eastAsia="en-US"/>
        </w:rPr>
        <w:t>no IZM puses</w:t>
      </w:r>
      <w:r w:rsidR="00DC6891" w:rsidRPr="00307028">
        <w:rPr>
          <w:rFonts w:eastAsia="Calibri"/>
          <w:lang w:eastAsia="en-US"/>
        </w:rPr>
        <w:t xml:space="preserve"> papildinot tvērumu</w:t>
      </w:r>
      <w:r w:rsidRPr="00307028">
        <w:rPr>
          <w:rFonts w:eastAsia="Calibri"/>
          <w:lang w:eastAsia="en-US"/>
        </w:rPr>
        <w:t xml:space="preserve"> ar uzdevumu sniegt izvērtējumu un priekšlikumus par interešu un profesionālās ievirzes izglītības programmām piešķirto finansējumu un veikt sasniegto rezultātu analīzi. </w:t>
      </w:r>
    </w:p>
    <w:p w14:paraId="35380C2A" w14:textId="6F1C1DF1" w:rsidR="00942D02" w:rsidRPr="00307028" w:rsidRDefault="00102E32" w:rsidP="00070D5F">
      <w:pPr>
        <w:pStyle w:val="ListParagraph"/>
        <w:numPr>
          <w:ilvl w:val="0"/>
          <w:numId w:val="25"/>
        </w:numPr>
        <w:spacing w:before="120" w:after="120" w:line="257" w:lineRule="auto"/>
        <w:ind w:left="142" w:hanging="357"/>
        <w:contextualSpacing w:val="0"/>
        <w:jc w:val="both"/>
        <w:rPr>
          <w:rFonts w:eastAsia="Calibri"/>
          <w:lang w:eastAsia="en-US"/>
        </w:rPr>
      </w:pPr>
      <w:r w:rsidRPr="00307028">
        <w:rPr>
          <w:rFonts w:eastAsia="Calibri"/>
          <w:lang w:eastAsia="en-US"/>
        </w:rPr>
        <w:t xml:space="preserve">Otrajā blokā jau tradicionāli ir ietverta </w:t>
      </w:r>
      <w:r w:rsidRPr="00307028">
        <w:rPr>
          <w:rFonts w:eastAsia="Calibri"/>
          <w:b/>
          <w:bCs/>
          <w:lang w:eastAsia="en-US"/>
        </w:rPr>
        <w:t>valsts budžeta programmu horizontāla pārskatīšana</w:t>
      </w:r>
      <w:r w:rsidRPr="00307028">
        <w:rPr>
          <w:rFonts w:eastAsia="Calibri"/>
          <w:lang w:eastAsia="en-US"/>
        </w:rPr>
        <w:t xml:space="preserve">, t.sk. līdz šim piešķirtais finansējums </w:t>
      </w:r>
      <w:r w:rsidR="00447EC2" w:rsidRPr="00307028">
        <w:rPr>
          <w:rFonts w:eastAsia="Calibri"/>
          <w:lang w:eastAsia="en-US"/>
        </w:rPr>
        <w:t>PP</w:t>
      </w:r>
      <w:r w:rsidRPr="00307028">
        <w:rPr>
          <w:rFonts w:eastAsia="Calibri"/>
          <w:lang w:eastAsia="en-US"/>
        </w:rPr>
        <w:t>, valsts budžeta bāzes izdevumu pārskatīšana, izveidoto un uzturēto mobilo lietotņu izmaksas, tulkojumu izmaksas.</w:t>
      </w:r>
    </w:p>
    <w:p w14:paraId="74AFAC9E" w14:textId="2786C299" w:rsidR="00A63EE6" w:rsidRPr="00307028" w:rsidRDefault="00942D02" w:rsidP="00070D5F">
      <w:pPr>
        <w:pStyle w:val="ListParagraph"/>
        <w:numPr>
          <w:ilvl w:val="0"/>
          <w:numId w:val="25"/>
        </w:numPr>
        <w:spacing w:before="120" w:after="120" w:line="257" w:lineRule="auto"/>
        <w:ind w:left="142" w:hanging="357"/>
        <w:contextualSpacing w:val="0"/>
        <w:jc w:val="both"/>
        <w:rPr>
          <w:rFonts w:eastAsia="Calibri"/>
          <w:lang w:eastAsia="en-US"/>
        </w:rPr>
      </w:pPr>
      <w:r w:rsidRPr="00307028">
        <w:rPr>
          <w:rFonts w:eastAsia="Calibri"/>
          <w:b/>
          <w:bCs/>
          <w:noProof/>
          <w:lang w:eastAsia="en-US"/>
        </w:rPr>
        <mc:AlternateContent>
          <mc:Choice Requires="wps">
            <w:drawing>
              <wp:anchor distT="45720" distB="45720" distL="114300" distR="114300" simplePos="0" relativeHeight="251749376" behindDoc="0" locked="0" layoutInCell="1" allowOverlap="1" wp14:anchorId="3AC392F2" wp14:editId="28100194">
                <wp:simplePos x="0" y="0"/>
                <wp:positionH relativeFrom="margin">
                  <wp:align>right</wp:align>
                </wp:positionH>
                <wp:positionV relativeFrom="paragraph">
                  <wp:posOffset>608330</wp:posOffset>
                </wp:positionV>
                <wp:extent cx="5742305" cy="309880"/>
                <wp:effectExtent l="0" t="0" r="10795" b="13970"/>
                <wp:wrapTopAndBottom/>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310100"/>
                        </a:xfrm>
                        <a:prstGeom prst="rect">
                          <a:avLst/>
                        </a:prstGeom>
                        <a:solidFill>
                          <a:srgbClr val="2B99AF"/>
                        </a:solidFill>
                        <a:ln w="9525">
                          <a:solidFill>
                            <a:srgbClr val="4472C4">
                              <a:lumMod val="60000"/>
                              <a:lumOff val="40000"/>
                            </a:srgbClr>
                          </a:solidFill>
                          <a:miter lim="800000"/>
                          <a:headEnd/>
                          <a:tailEnd/>
                        </a:ln>
                      </wps:spPr>
                      <wps:txbx>
                        <w:txbxContent>
                          <w:p w14:paraId="0267BEFD" w14:textId="77777777" w:rsidR="00942D02" w:rsidRPr="002A6AA6" w:rsidRDefault="00942D02" w:rsidP="00942D02">
                            <w:pPr>
                              <w:jc w:val="center"/>
                              <w:rPr>
                                <w:b/>
                                <w:bCs/>
                                <w:sz w:val="28"/>
                                <w:szCs w:val="28"/>
                              </w:rPr>
                            </w:pPr>
                            <w:r w:rsidRPr="002A6AA6">
                              <w:rPr>
                                <w:b/>
                                <w:bCs/>
                                <w:sz w:val="28"/>
                                <w:szCs w:val="28"/>
                              </w:rPr>
                              <w:t>IZDEVUMU PĀRSKATĪŠANAS REZULTĀTI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392F2" id="_x0000_s1032" type="#_x0000_t202" style="position:absolute;left:0;text-align:left;margin-left:400.95pt;margin-top:47.9pt;width:452.15pt;height:24.4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" fillcolor="#2b99af" strokecolor="#8faadc">
                <v:textbox>
                  <w:txbxContent>
                    <w:p w14:paraId="0267BEFD" w14:textId="77777777" w:rsidR="00942D02" w:rsidRPr="002A6AA6" w:rsidRDefault="00942D02" w:rsidP="00942D02">
                      <w:pPr>
                        <w:jc w:val="center"/>
                        <w:rPr>
                          <w:b/>
                          <w:bCs/>
                          <w:sz w:val="28"/>
                          <w:szCs w:val="28"/>
                        </w:rPr>
                      </w:pPr>
                      <w:r w:rsidRPr="002A6AA6">
                        <w:rPr>
                          <w:b/>
                          <w:bCs/>
                          <w:sz w:val="28"/>
                          <w:szCs w:val="28"/>
                        </w:rPr>
                        <w:t>IZDEVUMU PĀRSKATĪŠANAS REZULTĀTI</w:t>
                      </w:r>
                    </w:p>
                  </w:txbxContent>
                </v:textbox>
                <w10:wrap type="topAndBottom" anchorx="margin"/>
              </v:shape>
            </w:pict>
          </mc:Fallback>
        </mc:AlternateContent>
      </w:r>
      <w:r w:rsidR="00102E32" w:rsidRPr="00307028">
        <w:rPr>
          <w:rFonts w:eastAsia="Calibri"/>
          <w:lang w:eastAsia="en-US"/>
        </w:rPr>
        <w:t xml:space="preserve">Trešajā blokā </w:t>
      </w:r>
      <w:r w:rsidR="00DC6891" w:rsidRPr="00307028">
        <w:rPr>
          <w:rFonts w:eastAsia="Calibri"/>
          <w:lang w:eastAsia="en-US"/>
        </w:rPr>
        <w:t>tiek turpināta</w:t>
      </w:r>
      <w:r w:rsidR="00102E32" w:rsidRPr="00307028">
        <w:rPr>
          <w:rFonts w:eastAsia="Calibri"/>
          <w:lang w:eastAsia="en-US"/>
        </w:rPr>
        <w:t xml:space="preserve"> </w:t>
      </w:r>
      <w:r w:rsidR="00740429" w:rsidRPr="00307028">
        <w:rPr>
          <w:rFonts w:eastAsia="Calibri"/>
          <w:b/>
          <w:bCs/>
          <w:lang w:eastAsia="en-US"/>
        </w:rPr>
        <w:t>vidēja termiņa valsts budžeta izdevumu pārskatīšan</w:t>
      </w:r>
      <w:r w:rsidR="00DC6891" w:rsidRPr="00307028">
        <w:rPr>
          <w:rFonts w:eastAsia="Calibri"/>
          <w:b/>
          <w:bCs/>
          <w:lang w:eastAsia="en-US"/>
        </w:rPr>
        <w:t>a</w:t>
      </w:r>
      <w:r w:rsidR="00426E8C" w:rsidRPr="00307028">
        <w:rPr>
          <w:rFonts w:eastAsia="Calibri"/>
          <w:b/>
          <w:bCs/>
          <w:lang w:eastAsia="en-US"/>
        </w:rPr>
        <w:t>,</w:t>
      </w:r>
      <w:r w:rsidR="00DC6891" w:rsidRPr="00307028">
        <w:rPr>
          <w:rFonts w:eastAsia="Calibri"/>
          <w:b/>
          <w:bCs/>
          <w:lang w:eastAsia="en-US"/>
        </w:rPr>
        <w:t xml:space="preserve"> </w:t>
      </w:r>
      <w:r w:rsidR="00DC6891" w:rsidRPr="00307028">
        <w:rPr>
          <w:rFonts w:eastAsia="Calibri"/>
          <w:lang w:eastAsia="en-US"/>
        </w:rPr>
        <w:t>vērtējot</w:t>
      </w:r>
      <w:r w:rsidR="00740429" w:rsidRPr="00307028">
        <w:rPr>
          <w:rFonts w:eastAsia="Calibri"/>
          <w:lang w:eastAsia="en-US"/>
        </w:rPr>
        <w:t xml:space="preserve"> </w:t>
      </w:r>
      <w:r w:rsidR="00102E32" w:rsidRPr="00307028">
        <w:rPr>
          <w:rFonts w:eastAsia="Calibri"/>
          <w:lang w:eastAsia="en-US"/>
        </w:rPr>
        <w:t>ar nekustamo īpašumu nomu un uzturēšanu reģionos saistīt</w:t>
      </w:r>
      <w:r w:rsidR="00426E8C" w:rsidRPr="00307028">
        <w:rPr>
          <w:rFonts w:eastAsia="Calibri"/>
          <w:lang w:eastAsia="en-US"/>
        </w:rPr>
        <w:t>os</w:t>
      </w:r>
      <w:r w:rsidR="00102E32" w:rsidRPr="00307028">
        <w:rPr>
          <w:rFonts w:eastAsia="Calibri"/>
          <w:lang w:eastAsia="en-US"/>
        </w:rPr>
        <w:t xml:space="preserve"> izdevum</w:t>
      </w:r>
      <w:r w:rsidR="00426E8C" w:rsidRPr="00307028">
        <w:rPr>
          <w:rFonts w:eastAsia="Calibri"/>
          <w:lang w:eastAsia="en-US"/>
        </w:rPr>
        <w:t>us, kā arī</w:t>
      </w:r>
      <w:r w:rsidR="00102E32" w:rsidRPr="00307028">
        <w:rPr>
          <w:rFonts w:eastAsia="Calibri"/>
          <w:lang w:eastAsia="en-US"/>
        </w:rPr>
        <w:t xml:space="preserve"> nodrošinot informācijas un datu apstrādi un analīzi.</w:t>
      </w:r>
    </w:p>
    <w:p w14:paraId="5DE5BF7B" w14:textId="7E6B1F94" w:rsidR="006E5047" w:rsidRDefault="00102E32" w:rsidP="00102E32">
      <w:pPr>
        <w:spacing w:before="240" w:after="120" w:line="257" w:lineRule="auto"/>
        <w:ind w:firstLine="720"/>
        <w:jc w:val="both"/>
        <w:rPr>
          <w:rFonts w:eastAsia="Calibri"/>
          <w:lang w:eastAsia="en-US"/>
        </w:rPr>
      </w:pPr>
      <w:r w:rsidRPr="00307028">
        <w:rPr>
          <w:rFonts w:eastAsia="Calibri"/>
          <w:lang w:eastAsia="en-US"/>
        </w:rPr>
        <w:t xml:space="preserve">Apkopojot nozaru ministriju </w:t>
      </w:r>
      <w:r w:rsidR="00A939DB" w:rsidRPr="00307028">
        <w:rPr>
          <w:rFonts w:eastAsia="Calibri"/>
          <w:lang w:eastAsia="en-US"/>
        </w:rPr>
        <w:t xml:space="preserve">un FM </w:t>
      </w:r>
      <w:r w:rsidRPr="00307028">
        <w:rPr>
          <w:rFonts w:eastAsia="Calibri"/>
          <w:lang w:eastAsia="en-US"/>
        </w:rPr>
        <w:t>veikto izdevumu pārskatīšanas finansiālo novērtējumu, 202</w:t>
      </w:r>
      <w:r w:rsidR="00390160" w:rsidRPr="00307028">
        <w:rPr>
          <w:rFonts w:eastAsia="Calibri"/>
          <w:lang w:eastAsia="en-US"/>
        </w:rPr>
        <w:t>3</w:t>
      </w:r>
      <w:r w:rsidRPr="00307028">
        <w:rPr>
          <w:rFonts w:eastAsia="Calibri"/>
          <w:lang w:eastAsia="en-US"/>
        </w:rPr>
        <w:t>. gada izdevumu pārskatīšanas rezultāti (p</w:t>
      </w:r>
      <w:r w:rsidRPr="00307028">
        <w:rPr>
          <w:rFonts w:eastAsia="Times New Roman"/>
          <w:szCs w:val="22"/>
          <w:lang w:eastAsia="en-US"/>
        </w:rPr>
        <w:t xml:space="preserve">ielikums Nr. </w:t>
      </w:r>
      <w:r w:rsidR="009869FA" w:rsidRPr="00307028">
        <w:rPr>
          <w:rFonts w:eastAsia="Times New Roman"/>
          <w:szCs w:val="22"/>
          <w:lang w:eastAsia="en-US"/>
        </w:rPr>
        <w:t>6</w:t>
      </w:r>
      <w:r w:rsidRPr="00307028">
        <w:rPr>
          <w:rFonts w:eastAsia="Calibri"/>
          <w:lang w:eastAsia="en-US"/>
        </w:rPr>
        <w:t>) veido 202</w:t>
      </w:r>
      <w:r w:rsidR="00390160" w:rsidRPr="00307028">
        <w:rPr>
          <w:rFonts w:eastAsia="Calibri"/>
          <w:lang w:eastAsia="en-US"/>
        </w:rPr>
        <w:t>4</w:t>
      </w:r>
      <w:r w:rsidRPr="00307028">
        <w:rPr>
          <w:rFonts w:eastAsia="Calibri"/>
          <w:lang w:eastAsia="en-US"/>
        </w:rPr>
        <w:t xml:space="preserve">. gada budžetā </w:t>
      </w:r>
      <w:r w:rsidR="00151A0B" w:rsidRPr="00307028">
        <w:rPr>
          <w:rFonts w:eastAsia="Calibri"/>
          <w:b/>
          <w:lang w:eastAsia="en-US"/>
        </w:rPr>
        <w:t xml:space="preserve">112,0 </w:t>
      </w:r>
      <w:r w:rsidRPr="00307028">
        <w:rPr>
          <w:rFonts w:eastAsia="Calibri"/>
          <w:b/>
          <w:lang w:eastAsia="en-US"/>
        </w:rPr>
        <w:t xml:space="preserve">milj. </w:t>
      </w:r>
      <w:r w:rsidRPr="00307028">
        <w:rPr>
          <w:rFonts w:eastAsia="Calibri"/>
          <w:b/>
          <w:i/>
          <w:lang w:eastAsia="en-US"/>
        </w:rPr>
        <w:t>euro</w:t>
      </w:r>
      <w:r w:rsidRPr="00307028">
        <w:rPr>
          <w:rFonts w:eastAsia="Calibri"/>
          <w:lang w:eastAsia="en-US"/>
        </w:rPr>
        <w:t>, 202</w:t>
      </w:r>
      <w:r w:rsidR="00390160" w:rsidRPr="00307028">
        <w:rPr>
          <w:rFonts w:eastAsia="Calibri"/>
          <w:lang w:eastAsia="en-US"/>
        </w:rPr>
        <w:t>5</w:t>
      </w:r>
      <w:r w:rsidRPr="00307028">
        <w:rPr>
          <w:rFonts w:eastAsia="Calibri"/>
          <w:lang w:eastAsia="en-US"/>
        </w:rPr>
        <w:t xml:space="preserve">. gadā </w:t>
      </w:r>
      <w:r w:rsidR="00A939DB" w:rsidRPr="00307028">
        <w:rPr>
          <w:rFonts w:eastAsia="Calibri"/>
          <w:b/>
          <w:lang w:eastAsia="en-US"/>
        </w:rPr>
        <w:t>65,0</w:t>
      </w:r>
      <w:r w:rsidRPr="00307028">
        <w:rPr>
          <w:rFonts w:eastAsia="Calibri"/>
          <w:b/>
          <w:lang w:eastAsia="en-US"/>
        </w:rPr>
        <w:t xml:space="preserve"> milj. </w:t>
      </w:r>
      <w:r w:rsidRPr="00307028">
        <w:rPr>
          <w:rFonts w:eastAsia="Calibri"/>
          <w:b/>
          <w:i/>
          <w:lang w:eastAsia="en-US"/>
        </w:rPr>
        <w:t>euro</w:t>
      </w:r>
      <w:r w:rsidRPr="00307028">
        <w:rPr>
          <w:rFonts w:eastAsia="Calibri"/>
          <w:i/>
          <w:lang w:eastAsia="en-US"/>
        </w:rPr>
        <w:t xml:space="preserve">, </w:t>
      </w:r>
      <w:r w:rsidRPr="00307028">
        <w:rPr>
          <w:rFonts w:eastAsia="Calibri"/>
          <w:lang w:eastAsia="en-US"/>
        </w:rPr>
        <w:t>202</w:t>
      </w:r>
      <w:r w:rsidR="00390160" w:rsidRPr="00307028">
        <w:rPr>
          <w:rFonts w:eastAsia="Calibri"/>
          <w:lang w:eastAsia="en-US"/>
        </w:rPr>
        <w:t>6</w:t>
      </w:r>
      <w:r w:rsidRPr="00307028">
        <w:rPr>
          <w:rFonts w:eastAsia="Calibri"/>
          <w:lang w:eastAsia="en-US"/>
        </w:rPr>
        <w:t xml:space="preserve">. gadā </w:t>
      </w:r>
      <w:r w:rsidR="00A939DB" w:rsidRPr="00307028">
        <w:rPr>
          <w:rFonts w:eastAsia="Calibri"/>
          <w:b/>
          <w:bCs/>
          <w:lang w:eastAsia="en-US"/>
        </w:rPr>
        <w:t>64,</w:t>
      </w:r>
      <w:r w:rsidR="003C6EC8" w:rsidRPr="00307028">
        <w:rPr>
          <w:rFonts w:eastAsia="Calibri"/>
          <w:b/>
          <w:bCs/>
          <w:lang w:eastAsia="en-US"/>
        </w:rPr>
        <w:t xml:space="preserve">2 </w:t>
      </w:r>
      <w:r w:rsidR="00A939DB" w:rsidRPr="00307028">
        <w:rPr>
          <w:rFonts w:eastAsia="Calibri"/>
          <w:b/>
          <w:bCs/>
          <w:lang w:eastAsia="en-US"/>
        </w:rPr>
        <w:t>milj.</w:t>
      </w:r>
      <w:r w:rsidR="00A939DB" w:rsidRPr="00307028">
        <w:rPr>
          <w:rFonts w:eastAsia="Calibri"/>
          <w:lang w:eastAsia="en-US"/>
        </w:rPr>
        <w:t xml:space="preserve"> </w:t>
      </w:r>
      <w:r w:rsidRPr="00307028">
        <w:rPr>
          <w:rFonts w:eastAsia="Calibri"/>
          <w:b/>
          <w:i/>
          <w:lang w:eastAsia="en-US"/>
        </w:rPr>
        <w:t>euro</w:t>
      </w:r>
      <w:r w:rsidRPr="00307028">
        <w:rPr>
          <w:rFonts w:eastAsia="Calibri"/>
          <w:lang w:eastAsia="en-US"/>
        </w:rPr>
        <w:t>. No tiem 202</w:t>
      </w:r>
      <w:r w:rsidR="00390160" w:rsidRPr="00307028">
        <w:rPr>
          <w:rFonts w:eastAsia="Calibri"/>
          <w:lang w:eastAsia="en-US"/>
        </w:rPr>
        <w:t>4</w:t>
      </w:r>
      <w:r w:rsidRPr="00307028">
        <w:rPr>
          <w:rFonts w:eastAsia="Calibri"/>
          <w:lang w:eastAsia="en-US"/>
        </w:rPr>
        <w:t xml:space="preserve">. gadā </w:t>
      </w:r>
      <w:r w:rsidR="00A939DB" w:rsidRPr="00307028">
        <w:rPr>
          <w:rFonts w:eastAsia="Calibri"/>
          <w:b/>
          <w:lang w:eastAsia="en-US"/>
        </w:rPr>
        <w:t>110,</w:t>
      </w:r>
      <w:r w:rsidR="00903FC1" w:rsidRPr="00307028">
        <w:rPr>
          <w:rFonts w:eastAsia="Calibri"/>
          <w:b/>
          <w:lang w:eastAsia="en-US"/>
        </w:rPr>
        <w:t>7</w:t>
      </w:r>
      <w:r w:rsidR="003C6EC8" w:rsidRPr="00307028">
        <w:rPr>
          <w:rFonts w:eastAsia="Calibri"/>
          <w:b/>
          <w:lang w:eastAsia="en-US"/>
        </w:rPr>
        <w:t xml:space="preserve"> </w:t>
      </w:r>
      <w:r w:rsidRPr="00307028">
        <w:rPr>
          <w:rFonts w:eastAsia="Calibri"/>
          <w:b/>
          <w:lang w:eastAsia="en-US"/>
        </w:rPr>
        <w:t xml:space="preserve">milj. </w:t>
      </w:r>
      <w:r w:rsidRPr="00307028">
        <w:rPr>
          <w:rFonts w:eastAsia="Calibri"/>
          <w:b/>
          <w:i/>
          <w:lang w:eastAsia="en-US"/>
        </w:rPr>
        <w:t>euro</w:t>
      </w:r>
      <w:r w:rsidRPr="00307028">
        <w:rPr>
          <w:rFonts w:eastAsia="Calibri"/>
          <w:lang w:eastAsia="en-US"/>
        </w:rPr>
        <w:t xml:space="preserve"> </w:t>
      </w:r>
      <w:r w:rsidR="00A939DB" w:rsidRPr="00307028">
        <w:rPr>
          <w:rFonts w:eastAsia="Calibri"/>
          <w:lang w:eastAsia="en-US"/>
        </w:rPr>
        <w:t xml:space="preserve">novirzāmi nozares ministriju aktuālo prioritāšu finansēšanai, savukārt </w:t>
      </w:r>
      <w:r w:rsidR="00A939DB" w:rsidRPr="00307028">
        <w:rPr>
          <w:rFonts w:eastAsia="Calibri"/>
          <w:b/>
          <w:lang w:eastAsia="en-US"/>
        </w:rPr>
        <w:t>1</w:t>
      </w:r>
      <w:r w:rsidR="00151A0B" w:rsidRPr="00307028">
        <w:rPr>
          <w:rFonts w:eastAsia="Calibri"/>
          <w:b/>
          <w:lang w:eastAsia="en-US"/>
        </w:rPr>
        <w:t>,</w:t>
      </w:r>
      <w:r w:rsidR="00903FC1" w:rsidRPr="00307028">
        <w:rPr>
          <w:rFonts w:eastAsia="Calibri"/>
          <w:b/>
          <w:lang w:eastAsia="en-US"/>
        </w:rPr>
        <w:t>3</w:t>
      </w:r>
      <w:r w:rsidR="00151A0B" w:rsidRPr="00307028">
        <w:rPr>
          <w:rFonts w:eastAsia="Calibri"/>
          <w:b/>
          <w:lang w:eastAsia="en-US"/>
        </w:rPr>
        <w:t xml:space="preserve"> milj. </w:t>
      </w:r>
      <w:r w:rsidR="00A939DB" w:rsidRPr="00307028">
        <w:rPr>
          <w:rFonts w:eastAsia="Calibri"/>
          <w:b/>
          <w:i/>
          <w:lang w:eastAsia="en-US"/>
        </w:rPr>
        <w:t>euro</w:t>
      </w:r>
      <w:r w:rsidR="00A939DB" w:rsidRPr="00307028">
        <w:rPr>
          <w:rFonts w:eastAsia="Calibri"/>
          <w:lang w:eastAsia="en-US"/>
        </w:rPr>
        <w:t xml:space="preserve"> </w:t>
      </w:r>
      <w:r w:rsidRPr="00307028">
        <w:rPr>
          <w:rFonts w:eastAsia="Calibri"/>
          <w:lang w:eastAsia="en-US"/>
        </w:rPr>
        <w:t xml:space="preserve">novirzāmi citām kopējām prioritātēm. </w:t>
      </w:r>
      <w:r w:rsidR="006E5047">
        <w:rPr>
          <w:rFonts w:eastAsia="Calibri"/>
          <w:lang w:eastAsia="en-US"/>
        </w:rPr>
        <w:t xml:space="preserve">Vislielākais resurss konstatēts nozaru </w:t>
      </w:r>
      <w:r w:rsidR="006E5047" w:rsidRPr="006E5047">
        <w:rPr>
          <w:rFonts w:eastAsia="Calibri"/>
          <w:lang w:eastAsia="en-US"/>
        </w:rPr>
        <w:t>ministrij</w:t>
      </w:r>
      <w:r w:rsidR="006E5047">
        <w:rPr>
          <w:rFonts w:eastAsia="Calibri"/>
          <w:lang w:eastAsia="en-US"/>
        </w:rPr>
        <w:t>ām</w:t>
      </w:r>
      <w:r w:rsidR="006E5047" w:rsidRPr="006E5047">
        <w:rPr>
          <w:rFonts w:eastAsia="Calibri"/>
          <w:lang w:eastAsia="en-US"/>
        </w:rPr>
        <w:t xml:space="preserve"> caurskat</w:t>
      </w:r>
      <w:r w:rsidR="006E5047">
        <w:rPr>
          <w:rFonts w:eastAsia="Calibri"/>
          <w:lang w:eastAsia="en-US"/>
        </w:rPr>
        <w:t>ot</w:t>
      </w:r>
      <w:r w:rsidR="006E5047" w:rsidRPr="006E5047">
        <w:rPr>
          <w:rFonts w:eastAsia="Calibri"/>
          <w:lang w:eastAsia="en-US"/>
        </w:rPr>
        <w:t xml:space="preserve"> izdevumu pozīcijas savās budžeta programmās/apakšprogrammās </w:t>
      </w:r>
      <w:r w:rsidR="006E5047">
        <w:rPr>
          <w:rFonts w:eastAsia="Calibri"/>
          <w:lang w:eastAsia="en-US"/>
        </w:rPr>
        <w:t>(</w:t>
      </w:r>
      <w:r w:rsidR="006E5047" w:rsidRPr="006E5047">
        <w:rPr>
          <w:rFonts w:eastAsia="Calibri"/>
          <w:lang w:eastAsia="en-US"/>
        </w:rPr>
        <w:t>potenciāl</w:t>
      </w:r>
      <w:r w:rsidR="006E5047">
        <w:rPr>
          <w:rFonts w:eastAsia="Calibri"/>
          <w:lang w:eastAsia="en-US"/>
        </w:rPr>
        <w:t>ais</w:t>
      </w:r>
      <w:r w:rsidR="006E5047" w:rsidRPr="006E5047">
        <w:rPr>
          <w:rFonts w:eastAsia="Calibri"/>
          <w:lang w:eastAsia="en-US"/>
        </w:rPr>
        <w:t xml:space="preserve"> iekšēj</w:t>
      </w:r>
      <w:r w:rsidR="006E5047">
        <w:rPr>
          <w:rFonts w:eastAsia="Calibri"/>
          <w:lang w:eastAsia="en-US"/>
        </w:rPr>
        <w:t>ais</w:t>
      </w:r>
      <w:r w:rsidR="006E5047" w:rsidRPr="006E5047">
        <w:rPr>
          <w:rFonts w:eastAsia="Calibri"/>
          <w:lang w:eastAsia="en-US"/>
        </w:rPr>
        <w:t xml:space="preserve"> resurs</w:t>
      </w:r>
      <w:r w:rsidR="006E5047">
        <w:rPr>
          <w:rFonts w:eastAsia="Calibri"/>
          <w:lang w:eastAsia="en-US"/>
        </w:rPr>
        <w:t>s</w:t>
      </w:r>
      <w:r w:rsidR="006E5047" w:rsidRPr="006E5047">
        <w:rPr>
          <w:rFonts w:eastAsia="Calibri"/>
          <w:lang w:eastAsia="en-US"/>
        </w:rPr>
        <w:t xml:space="preserve"> 202</w:t>
      </w:r>
      <w:r w:rsidR="006E5047">
        <w:rPr>
          <w:rFonts w:eastAsia="Calibri"/>
          <w:lang w:eastAsia="en-US"/>
        </w:rPr>
        <w:t>4</w:t>
      </w:r>
      <w:r w:rsidR="006E5047" w:rsidRPr="006E5047">
        <w:rPr>
          <w:rFonts w:eastAsia="Calibri"/>
          <w:lang w:eastAsia="en-US"/>
        </w:rPr>
        <w:t>. gadam</w:t>
      </w:r>
      <w:r w:rsidR="006E5047">
        <w:rPr>
          <w:rFonts w:eastAsia="Calibri"/>
          <w:lang w:eastAsia="en-US"/>
        </w:rPr>
        <w:t xml:space="preserve"> –</w:t>
      </w:r>
      <w:r w:rsidR="006E5047" w:rsidRPr="006E5047">
        <w:rPr>
          <w:rFonts w:eastAsia="Calibri"/>
          <w:lang w:eastAsia="en-US"/>
        </w:rPr>
        <w:t xml:space="preserve"> </w:t>
      </w:r>
      <w:r w:rsidR="006E5047" w:rsidRPr="006E5047">
        <w:rPr>
          <w:rFonts w:eastAsia="Calibri"/>
          <w:b/>
          <w:bCs/>
          <w:lang w:eastAsia="en-US"/>
        </w:rPr>
        <w:t xml:space="preserve">101,5 milj. </w:t>
      </w:r>
      <w:r w:rsidR="006E5047" w:rsidRPr="006E5047">
        <w:rPr>
          <w:rFonts w:eastAsia="Calibri"/>
          <w:b/>
          <w:bCs/>
          <w:i/>
          <w:iCs/>
          <w:lang w:eastAsia="en-US"/>
        </w:rPr>
        <w:t>euro</w:t>
      </w:r>
      <w:r w:rsidR="006E5047">
        <w:rPr>
          <w:rFonts w:eastAsia="Calibri"/>
          <w:lang w:eastAsia="en-US"/>
        </w:rPr>
        <w:t xml:space="preserve">). </w:t>
      </w:r>
      <w:r w:rsidR="006E5047" w:rsidRPr="006E5047">
        <w:rPr>
          <w:rFonts w:eastAsia="Calibri"/>
          <w:lang w:eastAsia="en-US"/>
        </w:rPr>
        <w:t>Kā ik gadu izdevumu pārskatīšanas procesā tika p</w:t>
      </w:r>
      <w:r w:rsidR="006E5047">
        <w:rPr>
          <w:rFonts w:eastAsia="Calibri"/>
          <w:lang w:eastAsia="en-US"/>
        </w:rPr>
        <w:t>ārskatīts</w:t>
      </w:r>
      <w:r w:rsidR="006E5047" w:rsidRPr="006E5047">
        <w:rPr>
          <w:rFonts w:eastAsia="Calibri"/>
          <w:lang w:eastAsia="en-US"/>
        </w:rPr>
        <w:t xml:space="preserve"> iepriekš piešķirt</w:t>
      </w:r>
      <w:r w:rsidR="006E5047">
        <w:rPr>
          <w:rFonts w:eastAsia="Calibri"/>
          <w:lang w:eastAsia="en-US"/>
        </w:rPr>
        <w:t>ais</w:t>
      </w:r>
      <w:r w:rsidR="006E5047" w:rsidRPr="006E5047">
        <w:rPr>
          <w:rFonts w:eastAsia="Calibri"/>
          <w:lang w:eastAsia="en-US"/>
        </w:rPr>
        <w:t xml:space="preserve"> finansējum</w:t>
      </w:r>
      <w:r w:rsidR="006E5047">
        <w:rPr>
          <w:rFonts w:eastAsia="Calibri"/>
          <w:lang w:eastAsia="en-US"/>
        </w:rPr>
        <w:t>s</w:t>
      </w:r>
      <w:r w:rsidR="006E5047" w:rsidRPr="006E5047">
        <w:rPr>
          <w:rFonts w:eastAsia="Calibri"/>
          <w:lang w:eastAsia="en-US"/>
        </w:rPr>
        <w:t xml:space="preserve"> </w:t>
      </w:r>
      <w:r w:rsidR="005B4C18">
        <w:rPr>
          <w:rFonts w:eastAsia="Calibri"/>
          <w:lang w:eastAsia="en-US"/>
        </w:rPr>
        <w:t>PP</w:t>
      </w:r>
      <w:r w:rsidR="006E5047">
        <w:rPr>
          <w:rFonts w:eastAsia="Calibri"/>
          <w:lang w:eastAsia="en-US"/>
        </w:rPr>
        <w:t>,</w:t>
      </w:r>
      <w:r w:rsidR="006E5047" w:rsidRPr="006E5047">
        <w:rPr>
          <w:rFonts w:eastAsia="Calibri"/>
          <w:lang w:eastAsia="en-US"/>
        </w:rPr>
        <w:t xml:space="preserve"> konstatējot potenciālo iekšējo resursu novirzīšanai citām prioritātēm </w:t>
      </w:r>
      <w:r w:rsidR="006E5047">
        <w:rPr>
          <w:rFonts w:eastAsia="Calibri"/>
          <w:lang w:eastAsia="en-US"/>
        </w:rPr>
        <w:t>(</w:t>
      </w:r>
      <w:r w:rsidR="006E5047" w:rsidRPr="006E5047">
        <w:rPr>
          <w:rFonts w:eastAsia="Calibri"/>
          <w:lang w:eastAsia="en-US"/>
        </w:rPr>
        <w:t>202</w:t>
      </w:r>
      <w:r w:rsidR="006E5047">
        <w:rPr>
          <w:rFonts w:eastAsia="Calibri"/>
          <w:lang w:eastAsia="en-US"/>
        </w:rPr>
        <w:t>4</w:t>
      </w:r>
      <w:r w:rsidR="006E5047" w:rsidRPr="006E5047">
        <w:rPr>
          <w:rFonts w:eastAsia="Calibri"/>
          <w:lang w:eastAsia="en-US"/>
        </w:rPr>
        <w:t xml:space="preserve">. gadam </w:t>
      </w:r>
      <w:r w:rsidR="006E5047">
        <w:rPr>
          <w:rFonts w:eastAsia="Calibri"/>
          <w:lang w:eastAsia="en-US"/>
        </w:rPr>
        <w:t xml:space="preserve"> </w:t>
      </w:r>
      <w:r w:rsidR="005B4C18">
        <w:rPr>
          <w:rFonts w:eastAsia="Calibri"/>
          <w:lang w:eastAsia="en-US"/>
        </w:rPr>
        <w:t>– </w:t>
      </w:r>
      <w:r w:rsidR="006E5047">
        <w:rPr>
          <w:rFonts w:eastAsia="Calibri"/>
          <w:lang w:eastAsia="en-US"/>
        </w:rPr>
        <w:t xml:space="preserve"> </w:t>
      </w:r>
      <w:r w:rsidR="006E5047" w:rsidRPr="006E5047">
        <w:rPr>
          <w:rFonts w:eastAsia="Calibri"/>
          <w:b/>
          <w:bCs/>
          <w:lang w:eastAsia="en-US"/>
        </w:rPr>
        <w:t>10,3</w:t>
      </w:r>
      <w:r w:rsidR="005B4C18">
        <w:rPr>
          <w:rFonts w:eastAsia="Calibri"/>
          <w:b/>
          <w:bCs/>
          <w:lang w:eastAsia="en-US"/>
        </w:rPr>
        <w:t> </w:t>
      </w:r>
      <w:r w:rsidR="006E5047" w:rsidRPr="006E5047">
        <w:rPr>
          <w:rFonts w:eastAsia="Calibri"/>
          <w:b/>
          <w:bCs/>
          <w:lang w:eastAsia="en-US"/>
        </w:rPr>
        <w:t>milj.</w:t>
      </w:r>
      <w:r w:rsidR="005B4C18">
        <w:rPr>
          <w:rFonts w:eastAsia="Calibri"/>
          <w:b/>
          <w:bCs/>
          <w:lang w:eastAsia="en-US"/>
        </w:rPr>
        <w:t> </w:t>
      </w:r>
      <w:r w:rsidR="006E5047" w:rsidRPr="006E5047">
        <w:rPr>
          <w:rFonts w:eastAsia="Calibri"/>
          <w:b/>
          <w:bCs/>
          <w:i/>
          <w:iCs/>
          <w:lang w:eastAsia="en-US"/>
        </w:rPr>
        <w:t>euro</w:t>
      </w:r>
      <w:r w:rsidR="006E5047">
        <w:rPr>
          <w:rFonts w:eastAsia="Calibri"/>
          <w:lang w:eastAsia="en-US"/>
        </w:rPr>
        <w:t>)</w:t>
      </w:r>
      <w:r w:rsidR="006E5047" w:rsidRPr="006E5047">
        <w:rPr>
          <w:rFonts w:eastAsia="Calibri"/>
          <w:lang w:eastAsia="en-US"/>
        </w:rPr>
        <w:t>.</w:t>
      </w:r>
      <w:r w:rsidR="005B4C18">
        <w:rPr>
          <w:rFonts w:eastAsia="Calibri"/>
          <w:lang w:eastAsia="en-US"/>
        </w:rPr>
        <w:t xml:space="preserve"> Savukārt analizējot atsevišķu funkciju horizontālu pārskatīšanu konstatēts resurss 2024. gadam un turpmāk </w:t>
      </w:r>
      <w:r w:rsidR="005B4C18" w:rsidRPr="005B4C18">
        <w:rPr>
          <w:rFonts w:eastAsia="Calibri"/>
          <w:b/>
          <w:bCs/>
          <w:lang w:eastAsia="en-US"/>
        </w:rPr>
        <w:t xml:space="preserve">0,2 milj. </w:t>
      </w:r>
      <w:r w:rsidR="005B4C18" w:rsidRPr="005B4C18">
        <w:rPr>
          <w:rFonts w:eastAsia="Calibri"/>
          <w:b/>
          <w:bCs/>
          <w:i/>
          <w:iCs/>
          <w:lang w:eastAsia="en-US"/>
        </w:rPr>
        <w:t>euro</w:t>
      </w:r>
      <w:r w:rsidR="005B4C18">
        <w:rPr>
          <w:rFonts w:eastAsia="Calibri"/>
          <w:lang w:eastAsia="en-US"/>
        </w:rPr>
        <w:t xml:space="preserve"> apmērā.</w:t>
      </w:r>
    </w:p>
    <w:p w14:paraId="18330373" w14:textId="560F269F" w:rsidR="00102E32" w:rsidRPr="00307028" w:rsidRDefault="002A6AA6" w:rsidP="00102E32">
      <w:pPr>
        <w:spacing w:before="240" w:after="120" w:line="257" w:lineRule="auto"/>
        <w:ind w:firstLine="720"/>
        <w:jc w:val="both"/>
        <w:rPr>
          <w:rFonts w:eastAsia="Calibri"/>
          <w:lang w:eastAsia="en-US"/>
        </w:rPr>
      </w:pPr>
      <w:r w:rsidRPr="00307028">
        <w:rPr>
          <w:rFonts w:eastAsia="Calibri"/>
          <w:b/>
          <w:bCs/>
          <w:noProof/>
          <w:lang w:eastAsia="en-US"/>
        </w:rPr>
        <w:lastRenderedPageBreak/>
        <mc:AlternateContent>
          <mc:Choice Requires="wps">
            <w:drawing>
              <wp:anchor distT="45720" distB="45720" distL="114300" distR="114300" simplePos="0" relativeHeight="251747328" behindDoc="0" locked="0" layoutInCell="1" allowOverlap="1" wp14:anchorId="4E1BF499" wp14:editId="71738A38">
                <wp:simplePos x="0" y="0"/>
                <wp:positionH relativeFrom="margin">
                  <wp:posOffset>8890</wp:posOffset>
                </wp:positionH>
                <wp:positionV relativeFrom="paragraph">
                  <wp:posOffset>829945</wp:posOffset>
                </wp:positionV>
                <wp:extent cx="5742305" cy="317500"/>
                <wp:effectExtent l="0" t="0" r="10795" b="25400"/>
                <wp:wrapTopAndBottom/>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317500"/>
                        </a:xfrm>
                        <a:prstGeom prst="rect">
                          <a:avLst/>
                        </a:prstGeom>
                        <a:solidFill>
                          <a:srgbClr val="2B99AF"/>
                        </a:solidFill>
                        <a:ln w="9525">
                          <a:solidFill>
                            <a:srgbClr val="4472C4">
                              <a:lumMod val="60000"/>
                              <a:lumOff val="40000"/>
                            </a:srgbClr>
                          </a:solidFill>
                          <a:miter lim="800000"/>
                          <a:headEnd/>
                          <a:tailEnd/>
                        </a:ln>
                      </wps:spPr>
                      <wps:txbx>
                        <w:txbxContent>
                          <w:p w14:paraId="653A1B0A" w14:textId="229D64EB" w:rsidR="00102E32" w:rsidRPr="002A6AA6" w:rsidRDefault="00102E32" w:rsidP="00102E32">
                            <w:pPr>
                              <w:jc w:val="center"/>
                              <w:rPr>
                                <w:b/>
                                <w:bCs/>
                                <w:sz w:val="28"/>
                                <w:szCs w:val="28"/>
                              </w:rPr>
                            </w:pPr>
                            <w:r w:rsidRPr="002A6AA6">
                              <w:rPr>
                                <w:b/>
                                <w:bCs/>
                                <w:sz w:val="28"/>
                                <w:szCs w:val="28"/>
                              </w:rPr>
                              <w:t xml:space="preserve">IZDEVUMU PĀRSKATĪŠANAS </w:t>
                            </w:r>
                            <w:r w:rsidR="00FD6AE2" w:rsidRPr="002A6AA6">
                              <w:rPr>
                                <w:b/>
                                <w:bCs/>
                                <w:sz w:val="28"/>
                                <w:szCs w:val="28"/>
                              </w:rPr>
                              <w:t>DARBA GRUPA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BF499" id="_x0000_s1033" type="#_x0000_t202" style="position:absolute;left:0;text-align:left;margin-left:.7pt;margin-top:65.35pt;width:452.15pt;height:2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" fillcolor="#2b99af" strokecolor="#8faadc">
                <v:textbox>
                  <w:txbxContent>
                    <w:p w14:paraId="653A1B0A" w14:textId="229D64EB" w:rsidR="00102E32" w:rsidRPr="002A6AA6" w:rsidRDefault="00102E32" w:rsidP="00102E32">
                      <w:pPr>
                        <w:jc w:val="center"/>
                        <w:rPr>
                          <w:b/>
                          <w:bCs/>
                          <w:sz w:val="28"/>
                          <w:szCs w:val="28"/>
                        </w:rPr>
                      </w:pPr>
                      <w:r w:rsidRPr="002A6AA6">
                        <w:rPr>
                          <w:b/>
                          <w:bCs/>
                          <w:sz w:val="28"/>
                          <w:szCs w:val="28"/>
                        </w:rPr>
                        <w:t xml:space="preserve">IZDEVUMU PĀRSKATĪŠANAS </w:t>
                      </w:r>
                      <w:r w:rsidR="00FD6AE2" w:rsidRPr="002A6AA6">
                        <w:rPr>
                          <w:b/>
                          <w:bCs/>
                          <w:sz w:val="28"/>
                          <w:szCs w:val="28"/>
                        </w:rPr>
                        <w:t>DARBA GRUPA</w:t>
                      </w:r>
                    </w:p>
                  </w:txbxContent>
                </v:textbox>
                <w10:wrap type="topAndBottom" anchorx="margin"/>
              </v:shape>
            </w:pict>
          </mc:Fallback>
        </mc:AlternateContent>
      </w:r>
      <w:r w:rsidR="00102E32" w:rsidRPr="00307028">
        <w:rPr>
          <w:rFonts w:eastAsia="Calibri"/>
          <w:lang w:eastAsia="en-US"/>
        </w:rPr>
        <w:t xml:space="preserve">Vienlaikus jāņem vērā, ka ne tikai kārtējā gadā veiktā izdevumu pārskatīšana sniedz rezultātu uz nākamo gadu, bet arī iepriekš veiktās izdevumu pārskatīšanas atstāj ietekmi uz vidēja termiņa budžetu. </w:t>
      </w:r>
      <w:r w:rsidR="00FD6AE2" w:rsidRPr="00307028">
        <w:rPr>
          <w:rFonts w:eastAsia="Calibri"/>
          <w:lang w:eastAsia="en-US"/>
        </w:rPr>
        <w:t>V</w:t>
      </w:r>
      <w:r w:rsidR="00102E32" w:rsidRPr="00307028">
        <w:rPr>
          <w:rFonts w:eastAsia="Calibri"/>
          <w:lang w:eastAsia="en-US"/>
        </w:rPr>
        <w:t>eicot 202</w:t>
      </w:r>
      <w:r w:rsidR="00FD6AE2" w:rsidRPr="00307028">
        <w:rPr>
          <w:rFonts w:eastAsia="Calibri"/>
          <w:lang w:eastAsia="en-US"/>
        </w:rPr>
        <w:t>1</w:t>
      </w:r>
      <w:r w:rsidR="00102E32" w:rsidRPr="00307028">
        <w:rPr>
          <w:rFonts w:eastAsia="Calibri"/>
          <w:lang w:eastAsia="en-US"/>
        </w:rPr>
        <w:t>. </w:t>
      </w:r>
      <w:r w:rsidR="00FD6AE2" w:rsidRPr="00307028">
        <w:rPr>
          <w:rFonts w:eastAsia="Calibri"/>
          <w:lang w:eastAsia="en-US"/>
        </w:rPr>
        <w:t>un 2022.</w:t>
      </w:r>
      <w:r w:rsidR="002F4FE8" w:rsidRPr="00307028">
        <w:rPr>
          <w:rFonts w:eastAsia="Calibri"/>
          <w:lang w:eastAsia="en-US"/>
        </w:rPr>
        <w:t> </w:t>
      </w:r>
      <w:r w:rsidR="00102E32" w:rsidRPr="00307028">
        <w:rPr>
          <w:rFonts w:eastAsia="Calibri"/>
          <w:lang w:eastAsia="en-US"/>
        </w:rPr>
        <w:t>gada izdevumu pārskatīšan</w:t>
      </w:r>
      <w:bookmarkStart w:id="47" w:name="_Hlk115431385"/>
      <w:r w:rsidR="002F4FE8" w:rsidRPr="00307028">
        <w:rPr>
          <w:rFonts w:eastAsia="Calibri"/>
          <w:lang w:eastAsia="en-US"/>
        </w:rPr>
        <w:t>u</w:t>
      </w:r>
      <w:r w:rsidR="00FD6AE2" w:rsidRPr="00307028">
        <w:rPr>
          <w:rFonts w:eastAsia="Calibri"/>
          <w:lang w:eastAsia="en-US"/>
        </w:rPr>
        <w:t xml:space="preserve"> 2024. gadam</w:t>
      </w:r>
      <w:r w:rsidR="002F4FE8" w:rsidRPr="00307028">
        <w:rPr>
          <w:rFonts w:eastAsia="Calibri"/>
          <w:lang w:eastAsia="en-US"/>
        </w:rPr>
        <w:t>,</w:t>
      </w:r>
      <w:r w:rsidR="00FD6AE2" w:rsidRPr="00307028">
        <w:rPr>
          <w:rFonts w:eastAsia="Calibri"/>
          <w:lang w:eastAsia="en-US"/>
        </w:rPr>
        <w:t xml:space="preserve"> konstatēts potenciālais resurss nozares ministriju prioritātēm </w:t>
      </w:r>
      <w:r w:rsidR="00FD6AE2" w:rsidRPr="00307028">
        <w:rPr>
          <w:rFonts w:eastAsia="Calibri"/>
          <w:b/>
          <w:lang w:eastAsia="en-US"/>
        </w:rPr>
        <w:t>106,4</w:t>
      </w:r>
      <w:r w:rsidR="00102E32" w:rsidRPr="00307028">
        <w:rPr>
          <w:rFonts w:eastAsia="Calibri"/>
          <w:b/>
          <w:lang w:eastAsia="en-US"/>
        </w:rPr>
        <w:t xml:space="preserve"> milj. </w:t>
      </w:r>
      <w:r w:rsidR="00102E32" w:rsidRPr="00307028">
        <w:rPr>
          <w:rFonts w:eastAsia="Calibri"/>
          <w:b/>
          <w:i/>
          <w:lang w:eastAsia="en-US"/>
        </w:rPr>
        <w:t>euro</w:t>
      </w:r>
      <w:r w:rsidR="00FD6AE2" w:rsidRPr="00307028">
        <w:rPr>
          <w:rFonts w:eastAsia="Calibri"/>
          <w:b/>
          <w:i/>
          <w:lang w:eastAsia="en-US"/>
        </w:rPr>
        <w:t xml:space="preserve"> </w:t>
      </w:r>
      <w:r w:rsidR="00FD6AE2" w:rsidRPr="00307028">
        <w:rPr>
          <w:rFonts w:eastAsia="Calibri"/>
          <w:bCs/>
          <w:iCs/>
          <w:lang w:eastAsia="en-US"/>
        </w:rPr>
        <w:t>apmērā</w:t>
      </w:r>
      <w:r w:rsidR="00102E32" w:rsidRPr="00307028">
        <w:rPr>
          <w:rFonts w:eastAsia="Calibri"/>
          <w:lang w:eastAsia="en-US"/>
        </w:rPr>
        <w:t xml:space="preserve">. </w:t>
      </w:r>
      <w:bookmarkEnd w:id="47"/>
    </w:p>
    <w:p w14:paraId="6116979F" w14:textId="71C2B7B9" w:rsidR="00942D02" w:rsidRPr="00307028" w:rsidRDefault="00942D02" w:rsidP="00942D02">
      <w:pPr>
        <w:spacing w:after="120" w:line="256" w:lineRule="auto"/>
        <w:ind w:firstLine="720"/>
        <w:jc w:val="both"/>
        <w:rPr>
          <w:rFonts w:eastAsia="Calibri"/>
          <w:lang w:eastAsia="en-US"/>
        </w:rPr>
      </w:pPr>
      <w:r w:rsidRPr="00307028">
        <w:rPr>
          <w:rFonts w:eastAsia="Calibri"/>
          <w:lang w:eastAsia="en-US"/>
        </w:rPr>
        <w:t xml:space="preserve">Arī šogad tika turpināta sadarbība ar starpinstitucionālās darba grupas partneriem. Starpinstitucionālā darba grupa ir izveidota, lai sagatavotu priekšlikumus valsts budžeta izdevumu pārskatīšanai, diskutētu par izvērtējumu rezultātiem un labākajiem risinājuma variantiem, iesniegtu finanšu ministram izdevumu pārskatīšanas rezultātus un priekšlikumus par šo rezultātu izmantošanu budžeta izstrādes procesā. </w:t>
      </w:r>
      <w:r w:rsidRPr="00307028">
        <w:rPr>
          <w:rFonts w:eastAsia="Calibri"/>
          <w:b/>
          <w:bCs/>
          <w:lang w:eastAsia="en-US"/>
        </w:rPr>
        <w:t>Darba grupas locekļi pārstāv šādas institūcijas: FM, LB, VK, kā arī novērotāja statusā piedalās VKo pārstāvis.</w:t>
      </w:r>
    </w:p>
    <w:p w14:paraId="7818026E" w14:textId="0EA63220" w:rsidR="00102E32" w:rsidRPr="00307028" w:rsidRDefault="00102E32" w:rsidP="00942D02">
      <w:pPr>
        <w:spacing w:after="120" w:line="259" w:lineRule="auto"/>
        <w:ind w:firstLine="709"/>
        <w:jc w:val="both"/>
        <w:rPr>
          <w:rFonts w:eastAsia="Calibri"/>
          <w:lang w:eastAsia="en-US"/>
        </w:rPr>
      </w:pPr>
      <w:r w:rsidRPr="00307028">
        <w:rPr>
          <w:rFonts w:eastAsia="Calibri"/>
          <w:lang w:eastAsia="en-US"/>
        </w:rPr>
        <w:t xml:space="preserve">Kopumā notika 19 darba grupas sanāksmes, kurās diskutēts par šādām tēmām: </w:t>
      </w:r>
    </w:p>
    <w:p w14:paraId="28F442BF" w14:textId="367FAEDD" w:rsidR="001253F0" w:rsidRPr="00307028" w:rsidRDefault="001253F0" w:rsidP="00183D1A">
      <w:pPr>
        <w:numPr>
          <w:ilvl w:val="3"/>
          <w:numId w:val="22"/>
        </w:numPr>
        <w:spacing w:after="120" w:line="259" w:lineRule="auto"/>
        <w:ind w:left="709"/>
        <w:jc w:val="both"/>
        <w:rPr>
          <w:rFonts w:eastAsia="Calibri"/>
          <w:lang w:eastAsia="en-US"/>
        </w:rPr>
      </w:pPr>
      <w:r w:rsidRPr="00307028">
        <w:rPr>
          <w:rFonts w:eastAsia="Calibri"/>
          <w:lang w:eastAsia="en-US"/>
        </w:rPr>
        <w:t xml:space="preserve">Tikšanās ar iestāžu finansistiem, informējot par ikgadējo izdevumu pārskatīšanu, tās nozīmi un ieguvumiem, laika grafiku, līdz šim sasniegtajiem rezultātiem, tēmām, kas tiek skatītas ikgadēji, sadarbības iespējām (FM prezentācija); </w:t>
      </w:r>
    </w:p>
    <w:p w14:paraId="568096BF" w14:textId="6E6FB9C6" w:rsidR="00102E32" w:rsidRPr="00307028" w:rsidRDefault="00102E32" w:rsidP="00183D1A">
      <w:pPr>
        <w:numPr>
          <w:ilvl w:val="3"/>
          <w:numId w:val="22"/>
        </w:numPr>
        <w:spacing w:after="120" w:line="259" w:lineRule="auto"/>
        <w:ind w:left="709"/>
        <w:jc w:val="both"/>
        <w:rPr>
          <w:rFonts w:eastAsia="Calibri"/>
          <w:lang w:eastAsia="en-US"/>
        </w:rPr>
      </w:pPr>
      <w:r w:rsidRPr="00307028">
        <w:rPr>
          <w:rFonts w:eastAsia="Calibri"/>
          <w:lang w:eastAsia="en-US"/>
        </w:rPr>
        <w:t>Izdevumu pārskatīšanas tvērums 202</w:t>
      </w:r>
      <w:r w:rsidR="001253F0" w:rsidRPr="00307028">
        <w:rPr>
          <w:rFonts w:eastAsia="Calibri"/>
          <w:lang w:eastAsia="en-US"/>
        </w:rPr>
        <w:t>3</w:t>
      </w:r>
      <w:r w:rsidRPr="00307028">
        <w:rPr>
          <w:rFonts w:eastAsia="Calibri"/>
          <w:lang w:eastAsia="en-US"/>
        </w:rPr>
        <w:t>. gadam (rīkojum</w:t>
      </w:r>
      <w:r w:rsidR="001253F0" w:rsidRPr="00307028">
        <w:rPr>
          <w:rFonts w:eastAsia="Calibri"/>
          <w:lang w:eastAsia="en-US"/>
        </w:rPr>
        <w:t xml:space="preserve">s, </w:t>
      </w:r>
      <w:r w:rsidR="00EF09E8" w:rsidRPr="00307028">
        <w:rPr>
          <w:rFonts w:eastAsia="Calibri"/>
          <w:lang w:eastAsia="en-US"/>
        </w:rPr>
        <w:t xml:space="preserve">detalizēts tēmu izklāsts, </w:t>
      </w:r>
      <w:r w:rsidRPr="00307028">
        <w:rPr>
          <w:rFonts w:eastAsia="Calibri"/>
          <w:lang w:eastAsia="en-US"/>
        </w:rPr>
        <w:t>darba grupas provizoriskais sēžu grafiks</w:t>
      </w:r>
      <w:r w:rsidR="00EF09E8" w:rsidRPr="00307028">
        <w:rPr>
          <w:rFonts w:eastAsia="Calibri"/>
          <w:lang w:eastAsia="en-US"/>
        </w:rPr>
        <w:t>, t.sk. tikšanās ar nozaru ministrijām)</w:t>
      </w:r>
      <w:r w:rsidR="000C4368" w:rsidRPr="00307028">
        <w:rPr>
          <w:rFonts w:eastAsia="Calibri"/>
          <w:lang w:eastAsia="en-US"/>
        </w:rPr>
        <w:t xml:space="preserve"> (FM prezentācija)</w:t>
      </w:r>
      <w:r w:rsidR="00EF09E8" w:rsidRPr="00307028">
        <w:rPr>
          <w:rFonts w:eastAsia="Calibri"/>
          <w:lang w:eastAsia="en-US"/>
        </w:rPr>
        <w:t>;</w:t>
      </w:r>
    </w:p>
    <w:p w14:paraId="1E23F68E" w14:textId="1D18B9E0" w:rsidR="00102E32" w:rsidRPr="00307028" w:rsidRDefault="000C4368" w:rsidP="00183D1A">
      <w:pPr>
        <w:numPr>
          <w:ilvl w:val="3"/>
          <w:numId w:val="22"/>
        </w:numPr>
        <w:spacing w:after="120" w:line="259" w:lineRule="auto"/>
        <w:ind w:left="709"/>
        <w:jc w:val="both"/>
        <w:rPr>
          <w:rFonts w:eastAsia="Calibri"/>
          <w:lang w:eastAsia="en-US"/>
        </w:rPr>
      </w:pPr>
      <w:r w:rsidRPr="00307028">
        <w:rPr>
          <w:rFonts w:eastAsia="Calibri"/>
          <w:lang w:eastAsia="en-US"/>
        </w:rPr>
        <w:t>Valsts pārvaldē veikto tulkojumu analīze</w:t>
      </w:r>
      <w:r w:rsidR="00102E32" w:rsidRPr="00307028">
        <w:rPr>
          <w:rFonts w:eastAsia="Calibri"/>
          <w:lang w:eastAsia="en-US"/>
        </w:rPr>
        <w:t xml:space="preserve"> (FM prezentācija), </w:t>
      </w:r>
      <w:r w:rsidRPr="00307028">
        <w:rPr>
          <w:rFonts w:eastAsia="Calibri"/>
          <w:lang w:eastAsia="en-US"/>
        </w:rPr>
        <w:t>valsts pārvaldē nodarbināto apmācību nodrošināšanas pakalpojuma pieejamo resursu efektīva un racionāla izmantošana (tostarp administratīvā sloga mazināšana iestādēs, funkciju nepārklāšanās, centralizācija), kā arī iespējamo turpmāko rīcību šī pakalpojuma pilnveidē (VAS prezentācija)</w:t>
      </w:r>
      <w:r w:rsidR="00102E32" w:rsidRPr="00307028">
        <w:rPr>
          <w:rFonts w:eastAsia="Calibri"/>
          <w:lang w:eastAsia="en-US"/>
        </w:rPr>
        <w:t xml:space="preserve">; </w:t>
      </w:r>
    </w:p>
    <w:p w14:paraId="4596BA86" w14:textId="7518F290" w:rsidR="00656D6A" w:rsidRPr="00307028" w:rsidRDefault="00656D6A" w:rsidP="00183D1A">
      <w:pPr>
        <w:numPr>
          <w:ilvl w:val="3"/>
          <w:numId w:val="22"/>
        </w:numPr>
        <w:spacing w:after="120" w:line="259" w:lineRule="auto"/>
        <w:ind w:left="709"/>
        <w:jc w:val="both"/>
        <w:rPr>
          <w:rFonts w:eastAsia="Calibri"/>
          <w:lang w:eastAsia="en-US"/>
        </w:rPr>
      </w:pPr>
      <w:r w:rsidRPr="00307028">
        <w:rPr>
          <w:rFonts w:eastAsia="Calibri"/>
          <w:lang w:eastAsia="en-US"/>
        </w:rPr>
        <w:t>Augstākās izglītības un zinātnes finansēšana, programm</w:t>
      </w:r>
      <w:r w:rsidR="00426E8C" w:rsidRPr="00307028">
        <w:rPr>
          <w:rFonts w:eastAsia="Calibri"/>
          <w:lang w:eastAsia="en-US"/>
        </w:rPr>
        <w:t>atūras</w:t>
      </w:r>
      <w:r w:rsidRPr="00307028">
        <w:rPr>
          <w:rFonts w:eastAsia="Calibri"/>
          <w:lang w:eastAsia="en-US"/>
        </w:rPr>
        <w:t xml:space="preserve"> iegāde izglītības iestādēm, centralizēto eksāmenu vērtēšanas pakalpojum</w:t>
      </w:r>
      <w:r w:rsidR="00426E8C" w:rsidRPr="00307028">
        <w:rPr>
          <w:rFonts w:eastAsia="Calibri"/>
          <w:lang w:eastAsia="en-US"/>
        </w:rPr>
        <w:t>s</w:t>
      </w:r>
      <w:r w:rsidRPr="00307028">
        <w:rPr>
          <w:rFonts w:eastAsia="Calibri"/>
          <w:lang w:eastAsia="en-US"/>
        </w:rPr>
        <w:t xml:space="preserve"> (IZM prezentācijas)</w:t>
      </w:r>
      <w:r w:rsidR="00426E8C" w:rsidRPr="00307028">
        <w:rPr>
          <w:rFonts w:eastAsia="Calibri"/>
          <w:lang w:eastAsia="en-US"/>
        </w:rPr>
        <w:t>;</w:t>
      </w:r>
      <w:r w:rsidRPr="00307028">
        <w:rPr>
          <w:rFonts w:eastAsia="Calibri"/>
          <w:lang w:eastAsia="en-US"/>
        </w:rPr>
        <w:t xml:space="preserve"> </w:t>
      </w:r>
    </w:p>
    <w:p w14:paraId="4363C266" w14:textId="637B4FCA" w:rsidR="00102E32" w:rsidRPr="00307028" w:rsidRDefault="00102E32" w:rsidP="00183D1A">
      <w:pPr>
        <w:numPr>
          <w:ilvl w:val="3"/>
          <w:numId w:val="22"/>
        </w:numPr>
        <w:spacing w:after="120" w:line="259" w:lineRule="auto"/>
        <w:ind w:left="709"/>
        <w:jc w:val="both"/>
        <w:rPr>
          <w:rFonts w:eastAsia="Calibri"/>
          <w:lang w:eastAsia="en-US"/>
        </w:rPr>
      </w:pPr>
      <w:r w:rsidRPr="00307028">
        <w:rPr>
          <w:rFonts w:eastAsia="Calibri"/>
          <w:lang w:eastAsia="en-US"/>
        </w:rPr>
        <w:t>– 1</w:t>
      </w:r>
      <w:r w:rsidR="00656D6A" w:rsidRPr="00307028">
        <w:rPr>
          <w:rFonts w:eastAsia="Calibri"/>
          <w:lang w:eastAsia="en-US"/>
        </w:rPr>
        <w:t>8</w:t>
      </w:r>
      <w:r w:rsidR="004E09C4" w:rsidRPr="00307028">
        <w:rPr>
          <w:rFonts w:eastAsia="Calibri"/>
          <w:lang w:eastAsia="en-US"/>
        </w:rPr>
        <w:t>.</w:t>
      </w:r>
      <w:r w:rsidRPr="00307028">
        <w:rPr>
          <w:rFonts w:eastAsia="Calibri"/>
          <w:lang w:eastAsia="en-US"/>
        </w:rPr>
        <w:t xml:space="preserve"> izdevumu pārskatīšanas darba grupas tikšanās ar katru ministriju, darba grupas sanāksmes strukturējot trīs galvenajos blokos: </w:t>
      </w:r>
    </w:p>
    <w:p w14:paraId="65258DE8" w14:textId="77777777" w:rsidR="00102E32" w:rsidRPr="00307028" w:rsidRDefault="00102E32" w:rsidP="00183D1A">
      <w:pPr>
        <w:numPr>
          <w:ilvl w:val="3"/>
          <w:numId w:val="23"/>
        </w:numPr>
        <w:spacing w:after="120" w:line="259" w:lineRule="auto"/>
        <w:ind w:left="1418" w:hanging="284"/>
        <w:jc w:val="both"/>
        <w:rPr>
          <w:rFonts w:eastAsia="Calibri"/>
          <w:lang w:eastAsia="en-US"/>
        </w:rPr>
      </w:pPr>
      <w:r w:rsidRPr="00307028">
        <w:rPr>
          <w:rFonts w:eastAsia="Calibri"/>
          <w:lang w:eastAsia="en-US"/>
        </w:rPr>
        <w:t>FM prezentācija par veikto ministrijas izdevumu analīzi;</w:t>
      </w:r>
    </w:p>
    <w:p w14:paraId="16EB0A6C" w14:textId="7CA70170" w:rsidR="00656D6A" w:rsidRPr="00307028" w:rsidRDefault="00656D6A" w:rsidP="00183D1A">
      <w:pPr>
        <w:numPr>
          <w:ilvl w:val="3"/>
          <w:numId w:val="23"/>
        </w:numPr>
        <w:spacing w:after="120" w:line="259" w:lineRule="auto"/>
        <w:ind w:left="1418" w:hanging="284"/>
        <w:jc w:val="both"/>
        <w:rPr>
          <w:rFonts w:eastAsia="Calibri"/>
          <w:lang w:eastAsia="en-US"/>
        </w:rPr>
      </w:pPr>
      <w:r w:rsidRPr="00307028">
        <w:rPr>
          <w:rFonts w:eastAsia="Calibri"/>
          <w:lang w:eastAsia="en-US"/>
        </w:rPr>
        <w:t>VK prezentācija par amata vietām un vakancēm</w:t>
      </w:r>
      <w:r w:rsidR="000E1043" w:rsidRPr="00307028">
        <w:rPr>
          <w:rFonts w:eastAsia="Calibri"/>
          <w:lang w:eastAsia="en-US"/>
        </w:rPr>
        <w:t xml:space="preserve"> tai skaitā ilgstošām vakancēm (6 līdz 12 mēneši)</w:t>
      </w:r>
      <w:r w:rsidRPr="00307028">
        <w:rPr>
          <w:rFonts w:eastAsia="Calibri"/>
          <w:lang w:eastAsia="en-US"/>
        </w:rPr>
        <w:t>;</w:t>
      </w:r>
    </w:p>
    <w:p w14:paraId="6CC1E8BA" w14:textId="77777777" w:rsidR="00102E32" w:rsidRPr="00307028" w:rsidRDefault="00102E32" w:rsidP="00183D1A">
      <w:pPr>
        <w:numPr>
          <w:ilvl w:val="3"/>
          <w:numId w:val="23"/>
        </w:numPr>
        <w:spacing w:after="120" w:line="259" w:lineRule="auto"/>
        <w:ind w:left="1418" w:hanging="284"/>
        <w:jc w:val="both"/>
        <w:rPr>
          <w:rFonts w:eastAsia="Calibri"/>
          <w:lang w:eastAsia="en-US"/>
        </w:rPr>
      </w:pPr>
      <w:r w:rsidRPr="00307028">
        <w:rPr>
          <w:rFonts w:eastAsia="Calibri"/>
          <w:lang w:eastAsia="en-US"/>
        </w:rPr>
        <w:t>Ministrijas sagatavota prezentācija, sniedzot informāciju par:</w:t>
      </w:r>
    </w:p>
    <w:p w14:paraId="660A138A" w14:textId="77777777" w:rsidR="00102E32" w:rsidRPr="00307028" w:rsidRDefault="00102E32" w:rsidP="005B4C18">
      <w:pPr>
        <w:numPr>
          <w:ilvl w:val="0"/>
          <w:numId w:val="24"/>
        </w:numPr>
        <w:spacing w:after="60" w:line="259" w:lineRule="auto"/>
        <w:ind w:left="2154" w:hanging="357"/>
        <w:jc w:val="both"/>
        <w:rPr>
          <w:rFonts w:eastAsia="Calibri"/>
          <w:lang w:eastAsia="en-US"/>
        </w:rPr>
      </w:pPr>
      <w:r w:rsidRPr="00307028">
        <w:rPr>
          <w:rFonts w:eastAsia="Calibri"/>
          <w:lang w:eastAsia="en-US"/>
        </w:rPr>
        <w:t xml:space="preserve">iepriekšējo izdevumu pārskatīšanas rezultātā MK doto uzdevumu izpildi; </w:t>
      </w:r>
    </w:p>
    <w:p w14:paraId="259B0337" w14:textId="7E2FBD2A" w:rsidR="00656D6A" w:rsidRPr="00307028" w:rsidRDefault="00656D6A" w:rsidP="005B4C18">
      <w:pPr>
        <w:numPr>
          <w:ilvl w:val="0"/>
          <w:numId w:val="24"/>
        </w:numPr>
        <w:spacing w:after="60" w:line="259" w:lineRule="auto"/>
        <w:ind w:left="2154" w:hanging="357"/>
        <w:jc w:val="both"/>
        <w:rPr>
          <w:rFonts w:eastAsia="Calibri"/>
          <w:lang w:eastAsia="en-US"/>
        </w:rPr>
      </w:pPr>
      <w:r w:rsidRPr="00307028">
        <w:rPr>
          <w:rFonts w:eastAsia="Calibri"/>
          <w:lang w:eastAsia="en-US"/>
        </w:rPr>
        <w:t>nozares ministrijas priekšlikumiem pamatbudžeta bāzes izdevumu precizēšanai;</w:t>
      </w:r>
    </w:p>
    <w:p w14:paraId="355FBBE6" w14:textId="223DAF84" w:rsidR="00656D6A" w:rsidRPr="00307028" w:rsidRDefault="00656D6A" w:rsidP="005B4C18">
      <w:pPr>
        <w:numPr>
          <w:ilvl w:val="0"/>
          <w:numId w:val="24"/>
        </w:numPr>
        <w:spacing w:after="60" w:line="259" w:lineRule="auto"/>
        <w:ind w:left="2154" w:hanging="357"/>
        <w:jc w:val="both"/>
        <w:rPr>
          <w:rFonts w:eastAsia="Calibri"/>
          <w:lang w:eastAsia="en-US"/>
        </w:rPr>
      </w:pPr>
      <w:r w:rsidRPr="00307028">
        <w:rPr>
          <w:rFonts w:eastAsia="Calibri"/>
          <w:lang w:eastAsia="en-US"/>
        </w:rPr>
        <w:t>iekšēji veikto procesu un resursu pārskatīšanu resorā un to ietekmi uz 2024. gada budžetu (optimizējot funkcijas, veicot strukturālās reformas u.tml.);</w:t>
      </w:r>
    </w:p>
    <w:p w14:paraId="2FA426BA" w14:textId="2F4E118D" w:rsidR="00102E32" w:rsidRPr="00307028" w:rsidRDefault="00102E32" w:rsidP="005B4C18">
      <w:pPr>
        <w:numPr>
          <w:ilvl w:val="0"/>
          <w:numId w:val="24"/>
        </w:numPr>
        <w:spacing w:after="60" w:line="259" w:lineRule="auto"/>
        <w:ind w:left="2154" w:hanging="357"/>
        <w:jc w:val="both"/>
        <w:rPr>
          <w:rFonts w:eastAsia="Calibri"/>
          <w:lang w:eastAsia="en-US"/>
        </w:rPr>
      </w:pPr>
      <w:r w:rsidRPr="00307028">
        <w:rPr>
          <w:rFonts w:eastAsia="Calibri"/>
          <w:lang w:eastAsia="en-US"/>
        </w:rPr>
        <w:t xml:space="preserve">līdzšinēji piešķirtā finansējuma </w:t>
      </w:r>
      <w:r w:rsidR="00447EC2" w:rsidRPr="00307028">
        <w:rPr>
          <w:rFonts w:eastAsia="Calibri"/>
          <w:lang w:eastAsia="en-US"/>
        </w:rPr>
        <w:t>PP</w:t>
      </w:r>
      <w:r w:rsidRPr="00307028">
        <w:rPr>
          <w:rFonts w:eastAsia="Calibri"/>
          <w:lang w:eastAsia="en-US"/>
        </w:rPr>
        <w:t xml:space="preserve"> novirzīšanu aktuālākām prioritātēm;</w:t>
      </w:r>
    </w:p>
    <w:p w14:paraId="449AC96F" w14:textId="24C9C7E3" w:rsidR="00102E32" w:rsidRPr="00307028" w:rsidRDefault="00102E32" w:rsidP="00070D5F">
      <w:pPr>
        <w:pStyle w:val="ListParagraph"/>
        <w:numPr>
          <w:ilvl w:val="0"/>
          <w:numId w:val="47"/>
        </w:numPr>
        <w:spacing w:after="120" w:line="259" w:lineRule="auto"/>
        <w:jc w:val="both"/>
        <w:rPr>
          <w:rFonts w:eastAsia="Calibri"/>
          <w:lang w:eastAsia="en-US"/>
        </w:rPr>
      </w:pPr>
      <w:r w:rsidRPr="00307028">
        <w:rPr>
          <w:rFonts w:eastAsia="Calibri"/>
          <w:lang w:eastAsia="en-US"/>
        </w:rPr>
        <w:t>Izdevumu pārskatīšanas ziņojuma apspriede</w:t>
      </w:r>
      <w:r w:rsidR="00942D02" w:rsidRPr="00307028">
        <w:rPr>
          <w:rFonts w:eastAsia="Calibri"/>
          <w:lang w:eastAsia="en-US"/>
        </w:rPr>
        <w:t xml:space="preserve"> (FM prezentācija)</w:t>
      </w:r>
      <w:r w:rsidRPr="00307028">
        <w:rPr>
          <w:rFonts w:eastAsia="Calibri"/>
          <w:lang w:eastAsia="en-US"/>
        </w:rPr>
        <w:t>.</w:t>
      </w:r>
    </w:p>
    <w:p w14:paraId="3D411A8E" w14:textId="72C42996" w:rsidR="000006F7" w:rsidRPr="005B4C18" w:rsidRDefault="00102E32" w:rsidP="005B4C18">
      <w:pPr>
        <w:spacing w:after="120" w:line="259" w:lineRule="auto"/>
        <w:ind w:firstLine="720"/>
        <w:jc w:val="both"/>
        <w:rPr>
          <w:rFonts w:eastAsia="Calibri"/>
          <w:b/>
          <w:bCs/>
          <w:lang w:eastAsia="en-US"/>
        </w:rPr>
      </w:pPr>
      <w:r w:rsidRPr="00307028">
        <w:rPr>
          <w:rFonts w:eastAsia="Calibri"/>
          <w:b/>
          <w:bCs/>
          <w:lang w:eastAsia="en-US"/>
        </w:rPr>
        <w:t>Izdevumu pārskatīšanas ietvaros darba grupa apstiprinājusi galvenos secinājumus</w:t>
      </w:r>
      <w:r w:rsidR="00942D02" w:rsidRPr="00307028">
        <w:rPr>
          <w:rFonts w:eastAsia="Calibri"/>
          <w:b/>
          <w:bCs/>
          <w:lang w:eastAsia="en-US"/>
        </w:rPr>
        <w:t>, ar kuriem var iepazīties katras ziņojuma nodaļas un apakšnodaļas beigās.</w:t>
      </w:r>
    </w:p>
    <w:bookmarkStart w:id="48" w:name="_Toc142492923"/>
    <w:p w14:paraId="02B040A3" w14:textId="11296C03" w:rsidR="000006F7" w:rsidRPr="000006F7" w:rsidRDefault="000006F7" w:rsidP="000006F7">
      <w:pPr>
        <w:pStyle w:val="Heading2"/>
        <w:numPr>
          <w:ilvl w:val="0"/>
          <w:numId w:val="1"/>
        </w:numPr>
        <w:ind w:left="-709" w:firstLine="0"/>
        <w:rPr>
          <w:sz w:val="32"/>
          <w:szCs w:val="32"/>
        </w:rPr>
      </w:pPr>
      <w:r w:rsidRPr="000006F7">
        <w:rPr>
          <w:noProof/>
          <w:sz w:val="32"/>
          <w:szCs w:val="32"/>
          <w14:ligatures w14:val="standardContextual"/>
        </w:rPr>
        <w:lastRenderedPageBreak/>
        <mc:AlternateContent>
          <mc:Choice Requires="wps">
            <w:drawing>
              <wp:anchor distT="0" distB="0" distL="114300" distR="114300" simplePos="0" relativeHeight="251767808" behindDoc="1" locked="0" layoutInCell="1" allowOverlap="1" wp14:anchorId="7D217764" wp14:editId="5226F103">
                <wp:simplePos x="0" y="0"/>
                <wp:positionH relativeFrom="page">
                  <wp:align>right</wp:align>
                </wp:positionH>
                <wp:positionV relativeFrom="paragraph">
                  <wp:posOffset>-75565</wp:posOffset>
                </wp:positionV>
                <wp:extent cx="7120338" cy="413467"/>
                <wp:effectExtent l="0" t="0" r="23495" b="24765"/>
                <wp:wrapNone/>
                <wp:docPr id="1706457995" name="Rectangle 6"/>
                <wp:cNvGraphicFramePr/>
                <a:graphic xmlns:a="http://schemas.openxmlformats.org/drawingml/2006/main">
                  <a:graphicData uri="http://schemas.microsoft.com/office/word/2010/wordprocessingShape">
                    <wps:wsp>
                      <wps:cNvSpPr/>
                      <wps:spPr>
                        <a:xfrm>
                          <a:off x="0" y="0"/>
                          <a:ext cx="7120338" cy="413467"/>
                        </a:xfrm>
                        <a:prstGeom prst="rect">
                          <a:avLst/>
                        </a:prstGeom>
                        <a:solidFill>
                          <a:srgbClr val="85C2E0"/>
                        </a:solidFill>
                        <a:ln>
                          <a:solidFill>
                            <a:srgbClr val="85C2E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397303" id="Rectangle 6" o:spid="_x0000_s1026" style="position:absolute;margin-left:509.45pt;margin-top:-5.95pt;width:560.65pt;height:32.55pt;z-index:-25154867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" fillcolor="#85c2e0" strokecolor="#85c2e0" strokeweight="1pt">
                <w10:wrap anchorx="page"/>
              </v:rect>
            </w:pict>
          </mc:Fallback>
        </mc:AlternateContent>
      </w:r>
      <w:r w:rsidRPr="000006F7">
        <w:rPr>
          <w:sz w:val="32"/>
          <w:szCs w:val="32"/>
        </w:rPr>
        <w:t>Iepriekšējās izdevumu pārskatīšanas rezultātu ieviešana</w:t>
      </w:r>
      <w:bookmarkEnd w:id="48"/>
    </w:p>
    <w:p w14:paraId="7FE00E54" w14:textId="505E5F2E" w:rsidR="005A1F81" w:rsidRPr="00307028" w:rsidRDefault="005A1F81" w:rsidP="005A1F81">
      <w:pPr>
        <w:spacing w:before="240" w:after="120" w:line="259" w:lineRule="auto"/>
        <w:ind w:firstLine="720"/>
        <w:jc w:val="both"/>
        <w:rPr>
          <w:rFonts w:eastAsiaTheme="minorEastAsia"/>
          <w:lang w:eastAsia="en-US"/>
        </w:rPr>
      </w:pPr>
      <w:r w:rsidRPr="00307028">
        <w:rPr>
          <w:rFonts w:eastAsiaTheme="minorEastAsia"/>
          <w:lang w:eastAsia="en-US"/>
        </w:rPr>
        <w:t>Atbilstoši MK 2022. gada 11. oktobra sēdes protokolā Nr. 52 5. §</w:t>
      </w:r>
      <w:r w:rsidRPr="00307028">
        <w:rPr>
          <w:rStyle w:val="FootnoteReference"/>
          <w:rFonts w:eastAsiaTheme="minorEastAsia"/>
          <w:lang w:eastAsia="en-US"/>
        </w:rPr>
        <w:footnoteReference w:id="2"/>
      </w:r>
      <w:r w:rsidRPr="00307028">
        <w:rPr>
          <w:rFonts w:eastAsiaTheme="minorEastAsia"/>
          <w:lang w:eastAsia="en-US"/>
        </w:rPr>
        <w:t xml:space="preserve"> nolemtajam, izdevumu pārskatīšanas rezultātā identificēti pieejamie resursi 2023. gadam 168,4 milj. </w:t>
      </w:r>
      <w:r w:rsidRPr="00307028">
        <w:rPr>
          <w:rFonts w:eastAsiaTheme="minorEastAsia"/>
          <w:i/>
          <w:iCs/>
          <w:lang w:eastAsia="en-US"/>
        </w:rPr>
        <w:t>euro</w:t>
      </w:r>
      <w:r w:rsidRPr="00307028">
        <w:rPr>
          <w:rFonts w:eastAsiaTheme="minorEastAsia"/>
          <w:lang w:eastAsia="en-US"/>
        </w:rPr>
        <w:t xml:space="preserve"> un 2024. gadam 84,8 milj. </w:t>
      </w:r>
      <w:r w:rsidRPr="00307028">
        <w:rPr>
          <w:rFonts w:eastAsiaTheme="minorEastAsia"/>
          <w:i/>
          <w:iCs/>
          <w:lang w:eastAsia="en-US"/>
        </w:rPr>
        <w:t>euro</w:t>
      </w:r>
      <w:r w:rsidRPr="00307028">
        <w:rPr>
          <w:rFonts w:eastAsiaTheme="minorEastAsia"/>
          <w:lang w:eastAsia="en-US"/>
        </w:rPr>
        <w:t xml:space="preserve"> apmērā (Attēls Nr. 1.</w:t>
      </w:r>
      <w:r w:rsidR="00680513" w:rsidRPr="00307028">
        <w:rPr>
          <w:rFonts w:eastAsiaTheme="minorEastAsia"/>
          <w:lang w:eastAsia="en-US"/>
        </w:rPr>
        <w:t>6</w:t>
      </w:r>
      <w:r w:rsidRPr="00307028">
        <w:rPr>
          <w:rFonts w:eastAsiaTheme="minorEastAsia"/>
          <w:lang w:eastAsia="en-US"/>
        </w:rPr>
        <w:t>.).</w:t>
      </w:r>
    </w:p>
    <w:p w14:paraId="5192ABE5" w14:textId="0F088374" w:rsidR="005A1F81" w:rsidRPr="00307028" w:rsidRDefault="005A1F81" w:rsidP="005A1F81">
      <w:pPr>
        <w:spacing w:after="120"/>
        <w:jc w:val="center"/>
        <w:rPr>
          <w:rFonts w:eastAsiaTheme="minorHAnsi"/>
          <w:b/>
          <w:i/>
          <w:sz w:val="22"/>
          <w:szCs w:val="22"/>
          <w:lang w:eastAsia="lv-LV"/>
        </w:rPr>
      </w:pPr>
      <w:r w:rsidRPr="00307028">
        <w:rPr>
          <w:rFonts w:ascii="Calibri" w:eastAsiaTheme="minorHAnsi" w:hAnsi="Calibri" w:cs="Calibri"/>
          <w:noProof/>
          <w:sz w:val="22"/>
          <w:szCs w:val="22"/>
          <w:lang w:eastAsia="lv-LV"/>
        </w:rPr>
        <w:drawing>
          <wp:anchor distT="0" distB="0" distL="114300" distR="114300" simplePos="0" relativeHeight="251751424" behindDoc="0" locked="0" layoutInCell="1" allowOverlap="1" wp14:anchorId="389758AC" wp14:editId="1FC0ECE3">
            <wp:simplePos x="0" y="0"/>
            <wp:positionH relativeFrom="margin">
              <wp:align>right</wp:align>
            </wp:positionH>
            <wp:positionV relativeFrom="paragraph">
              <wp:posOffset>405765</wp:posOffset>
            </wp:positionV>
            <wp:extent cx="5760085" cy="2781300"/>
            <wp:effectExtent l="0" t="0" r="0" b="0"/>
            <wp:wrapThrough wrapText="bothSides">
              <wp:wrapPolygon edited="0">
                <wp:start x="0" y="0"/>
                <wp:lineTo x="0" y="21452"/>
                <wp:lineTo x="21502" y="21452"/>
                <wp:lineTo x="21502" y="0"/>
                <wp:lineTo x="0" y="0"/>
              </wp:wrapPolygon>
            </wp:wrapThrough>
            <wp:docPr id="97882873" name="Chart 1">
              <a:extLst xmlns:a="http://schemas.openxmlformats.org/drawingml/2006/main">
                <a:ext uri="{FF2B5EF4-FFF2-40B4-BE49-F238E27FC236}">
                  <a16:creationId xmlns:a16="http://schemas.microsoft.com/office/drawing/2014/main" id="{901A77E3-8C55-5121-EAF5-50F2F7EA6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Pr="00307028">
        <w:rPr>
          <w:rFonts w:eastAsiaTheme="minorHAnsi"/>
          <w:b/>
          <w:i/>
          <w:iCs/>
          <w:sz w:val="22"/>
          <w:szCs w:val="22"/>
          <w:lang w:eastAsia="lv-LV"/>
        </w:rPr>
        <w:t>1.</w:t>
      </w:r>
      <w:r w:rsidR="00680513" w:rsidRPr="00307028">
        <w:rPr>
          <w:rFonts w:eastAsiaTheme="minorHAnsi"/>
          <w:b/>
          <w:i/>
          <w:iCs/>
          <w:sz w:val="22"/>
          <w:szCs w:val="22"/>
          <w:lang w:eastAsia="lv-LV"/>
        </w:rPr>
        <w:t>6</w:t>
      </w:r>
      <w:r w:rsidRPr="00307028">
        <w:rPr>
          <w:rFonts w:eastAsiaTheme="minorHAnsi"/>
          <w:b/>
          <w:i/>
          <w:iCs/>
          <w:sz w:val="22"/>
          <w:szCs w:val="22"/>
          <w:lang w:eastAsia="lv-LV"/>
        </w:rPr>
        <w:t>. attēls</w:t>
      </w:r>
      <w:r w:rsidRPr="00307028">
        <w:rPr>
          <w:rFonts w:eastAsiaTheme="minorHAnsi"/>
          <w:b/>
          <w:sz w:val="22"/>
          <w:szCs w:val="22"/>
          <w:lang w:eastAsia="lv-LV"/>
        </w:rPr>
        <w:t xml:space="preserve"> Iepriekšējā gadā izdevumu pārskatīšanas rezultātā identificētie pieejamie resursi un ministriju ieviestais, milj. </w:t>
      </w:r>
      <w:r w:rsidRPr="00307028">
        <w:rPr>
          <w:rFonts w:eastAsiaTheme="minorHAnsi"/>
          <w:b/>
          <w:i/>
          <w:sz w:val="22"/>
          <w:szCs w:val="22"/>
          <w:lang w:eastAsia="lv-LV"/>
        </w:rPr>
        <w:t>euro</w:t>
      </w:r>
    </w:p>
    <w:p w14:paraId="02D941F1" w14:textId="55DAFE66" w:rsidR="005A1F81" w:rsidRPr="00307028" w:rsidRDefault="005A1F81" w:rsidP="005A1F81">
      <w:pPr>
        <w:spacing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Kā redzams attēlā Nr. 1.</w:t>
      </w:r>
      <w:r w:rsidR="0034757D" w:rsidRPr="00307028">
        <w:rPr>
          <w:rFonts w:eastAsiaTheme="minorEastAsia" w:cstheme="minorBidi"/>
          <w:szCs w:val="22"/>
          <w:lang w:eastAsia="en-US"/>
        </w:rPr>
        <w:t>6</w:t>
      </w:r>
      <w:r w:rsidRPr="00307028">
        <w:rPr>
          <w:rFonts w:eastAsiaTheme="minorEastAsia" w:cstheme="minorBidi"/>
          <w:szCs w:val="22"/>
          <w:lang w:eastAsia="en-US"/>
        </w:rPr>
        <w:t>. iepriekšējās izdevumu pārskatīšanas rezultātu ieviešana ir bijusi veiksmīga, jo ieviesta lielākā daļa no konstatētā. 2023. gadā tika pārskatīti un citām prioritātēm novirzīti 162,3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jeb </w:t>
      </w:r>
      <w:r w:rsidRPr="00307028">
        <w:rPr>
          <w:rFonts w:eastAsiaTheme="minorEastAsia" w:cstheme="minorBidi"/>
          <w:b/>
          <w:bCs/>
          <w:szCs w:val="22"/>
          <w:lang w:eastAsia="en-US"/>
        </w:rPr>
        <w:t>96,3% no konstatētā</w:t>
      </w:r>
      <w:r w:rsidRPr="00307028">
        <w:rPr>
          <w:rFonts w:eastAsiaTheme="minorEastAsia" w:cstheme="minorBidi"/>
          <w:szCs w:val="22"/>
          <w:lang w:eastAsia="en-US"/>
        </w:rPr>
        <w:t>, savukārt 2024. gadam pārskatīto un citām prioritātēm novirzīto resursu summa sasniedz 82,5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jeb </w:t>
      </w:r>
      <w:r w:rsidRPr="00307028">
        <w:rPr>
          <w:rFonts w:eastAsiaTheme="minorEastAsia" w:cstheme="minorBidi"/>
          <w:b/>
          <w:bCs/>
          <w:szCs w:val="22"/>
          <w:lang w:eastAsia="en-US"/>
        </w:rPr>
        <w:t xml:space="preserve">97,3% no </w:t>
      </w:r>
      <w:r w:rsidR="000859A1" w:rsidRPr="00307028">
        <w:rPr>
          <w:rFonts w:eastAsiaTheme="minorEastAsia" w:cstheme="minorBidi"/>
          <w:b/>
          <w:bCs/>
          <w:szCs w:val="22"/>
          <w:lang w:eastAsia="en-US"/>
        </w:rPr>
        <w:t>konstatētā</w:t>
      </w:r>
      <w:r w:rsidRPr="00307028">
        <w:rPr>
          <w:rFonts w:eastAsiaTheme="minorEastAsia" w:cstheme="minorBidi"/>
          <w:szCs w:val="22"/>
          <w:lang w:eastAsia="en-US"/>
        </w:rPr>
        <w:t xml:space="preserve">. </w:t>
      </w:r>
    </w:p>
    <w:p w14:paraId="63C3748B" w14:textId="77777777" w:rsidR="005A1F81" w:rsidRPr="00307028" w:rsidRDefault="005A1F81" w:rsidP="005A1F81">
      <w:pPr>
        <w:spacing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Detalizētāk aplūkojot ieviestos rezultātus, secināms, ka vislielākais finansiālais apjoms, ko novirzīt aktuālāku prioritāšu īstenošanai, konstatēts nozares ministrijām patstāvīgi veicot bāzes izdevumu pārskatīšanu – 2023. gadam konstatēti 154,9 milj. </w:t>
      </w:r>
      <w:r w:rsidRPr="00307028">
        <w:rPr>
          <w:rFonts w:eastAsiaTheme="minorEastAsia" w:cstheme="minorBidi"/>
          <w:i/>
          <w:iCs/>
          <w:szCs w:val="22"/>
          <w:lang w:eastAsia="en-US"/>
        </w:rPr>
        <w:t>euro</w:t>
      </w:r>
      <w:r w:rsidRPr="00307028">
        <w:rPr>
          <w:rFonts w:eastAsiaTheme="minorEastAsia" w:cstheme="minorBidi"/>
          <w:szCs w:val="22"/>
          <w:lang w:eastAsia="en-US"/>
        </w:rPr>
        <w:t>, kuri ieviesti 100% apmērā, un 2024. gadam konstatēti 76,8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kuri arī ieviesti 100% apmērā. </w:t>
      </w:r>
    </w:p>
    <w:p w14:paraId="5C5AE8F7" w14:textId="77777777" w:rsidR="005A1F81" w:rsidRPr="00307028" w:rsidRDefault="005A1F81" w:rsidP="005A1F81">
      <w:pPr>
        <w:spacing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Veiktās ieņēmumu atlikumu analīzes rezultātā konstatēti potenciālie iekšējie resursi 2023. gadam 9,7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no kuriem ieviesti 4,2 milj. </w:t>
      </w:r>
      <w:r w:rsidRPr="00307028">
        <w:rPr>
          <w:rFonts w:eastAsiaTheme="minorEastAsia" w:cstheme="minorBidi"/>
          <w:i/>
          <w:iCs/>
          <w:szCs w:val="22"/>
          <w:lang w:eastAsia="en-US"/>
        </w:rPr>
        <w:t xml:space="preserve">euro </w:t>
      </w:r>
      <w:r w:rsidRPr="00307028">
        <w:rPr>
          <w:rFonts w:eastAsiaTheme="minorEastAsia" w:cstheme="minorBidi"/>
          <w:szCs w:val="22"/>
          <w:lang w:eastAsia="en-US"/>
        </w:rPr>
        <w:t>jeb 43,4%, 2024. gadam konstatēti 4,1 milj. </w:t>
      </w:r>
      <w:r w:rsidRPr="00307028">
        <w:rPr>
          <w:rFonts w:eastAsiaTheme="minorEastAsia" w:cstheme="minorBidi"/>
          <w:i/>
          <w:iCs/>
          <w:szCs w:val="22"/>
          <w:lang w:eastAsia="en-US"/>
        </w:rPr>
        <w:t>euro</w:t>
      </w:r>
      <w:r w:rsidRPr="00307028">
        <w:rPr>
          <w:rFonts w:eastAsiaTheme="minorEastAsia" w:cstheme="minorBidi"/>
          <w:szCs w:val="22"/>
          <w:lang w:eastAsia="en-US"/>
        </w:rPr>
        <w:t>, no kuriem ieviesti 2,6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jeb 64,5%.</w:t>
      </w:r>
    </w:p>
    <w:p w14:paraId="26A82EDD" w14:textId="77777777" w:rsidR="005A1F81" w:rsidRPr="00307028" w:rsidRDefault="005A1F81" w:rsidP="005A1F81">
      <w:pPr>
        <w:spacing w:after="120" w:line="259" w:lineRule="auto"/>
        <w:ind w:firstLine="720"/>
        <w:jc w:val="both"/>
        <w:rPr>
          <w:rFonts w:eastAsiaTheme="minorEastAsia" w:cstheme="minorBidi"/>
          <w:szCs w:val="22"/>
          <w:highlight w:val="yellow"/>
          <w:lang w:eastAsia="en-US"/>
        </w:rPr>
      </w:pPr>
      <w:r w:rsidRPr="00307028">
        <w:rPr>
          <w:rFonts w:eastAsiaTheme="minorEastAsia" w:cstheme="minorBidi"/>
          <w:szCs w:val="22"/>
          <w:lang w:eastAsia="en-US"/>
        </w:rPr>
        <w:t>Veicot kārtējā budžeta gadā un iepriekšējos gados piešķirtā finansējuma attīstības izdevumiem pārskatīšanu, konstatēti potenciālie iekšējie resursi 2023. un 2024. gadam 2,0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apmērā, kuri ieviesti 100% apmērā.</w:t>
      </w:r>
    </w:p>
    <w:p w14:paraId="7759A655" w14:textId="77777777" w:rsidR="000859A1" w:rsidRPr="00307028" w:rsidRDefault="005A1F81" w:rsidP="000859A1">
      <w:pPr>
        <w:spacing w:before="120" w:after="120" w:line="259" w:lineRule="auto"/>
        <w:ind w:firstLine="720"/>
        <w:jc w:val="both"/>
        <w:rPr>
          <w:rFonts w:eastAsiaTheme="minorEastAsia" w:cstheme="minorBidi"/>
          <w:lang w:eastAsia="en-US"/>
        </w:rPr>
      </w:pPr>
      <w:r w:rsidRPr="00307028">
        <w:rPr>
          <w:rFonts w:eastAsiaTheme="minorEastAsia" w:cstheme="minorBidi"/>
          <w:lang w:eastAsia="en-US"/>
        </w:rPr>
        <w:t xml:space="preserve">Savukārt veicot izdevumu, kas saistīti ar nekustamo īpašumu nomu un uzturēšanu analīzi, konstatēti potenciālie iekšējie resursi 2023. un 2024. gadam 1,8 milj. </w:t>
      </w:r>
      <w:r w:rsidRPr="00307028">
        <w:rPr>
          <w:rFonts w:eastAsiaTheme="minorEastAsia" w:cstheme="minorBidi"/>
          <w:i/>
          <w:iCs/>
          <w:lang w:eastAsia="en-US"/>
        </w:rPr>
        <w:t xml:space="preserve">euro, </w:t>
      </w:r>
      <w:r w:rsidRPr="00307028">
        <w:rPr>
          <w:rFonts w:eastAsiaTheme="minorEastAsia" w:cstheme="minorBidi"/>
          <w:lang w:eastAsia="en-US"/>
        </w:rPr>
        <w:t>no kuriem 2023. gadā ieviesti 1,2 milj.</w:t>
      </w:r>
      <w:r w:rsidRPr="00307028">
        <w:rPr>
          <w:rFonts w:eastAsiaTheme="minorEastAsia" w:cstheme="minorBidi"/>
          <w:i/>
          <w:iCs/>
          <w:lang w:eastAsia="en-US"/>
        </w:rPr>
        <w:t xml:space="preserve"> euro </w:t>
      </w:r>
      <w:r w:rsidRPr="00307028">
        <w:rPr>
          <w:rFonts w:eastAsiaTheme="minorEastAsia" w:cstheme="minorBidi"/>
          <w:lang w:eastAsia="en-US"/>
        </w:rPr>
        <w:t>jeb 62,5%,</w:t>
      </w:r>
      <w:r w:rsidRPr="00307028">
        <w:rPr>
          <w:rFonts w:eastAsiaTheme="minorEastAsia" w:cstheme="minorBidi"/>
          <w:i/>
          <w:iCs/>
          <w:lang w:eastAsia="en-US"/>
        </w:rPr>
        <w:t xml:space="preserve"> </w:t>
      </w:r>
      <w:r w:rsidRPr="00307028">
        <w:rPr>
          <w:rFonts w:eastAsiaTheme="minorEastAsia" w:cstheme="minorBidi"/>
          <w:lang w:eastAsia="en-US"/>
        </w:rPr>
        <w:t>2024. gadā 1,0 milj. </w:t>
      </w:r>
      <w:r w:rsidRPr="00307028">
        <w:rPr>
          <w:rFonts w:eastAsiaTheme="minorEastAsia" w:cstheme="minorBidi"/>
          <w:i/>
          <w:iCs/>
          <w:lang w:eastAsia="en-US"/>
        </w:rPr>
        <w:t>euro</w:t>
      </w:r>
      <w:r w:rsidRPr="00307028">
        <w:rPr>
          <w:rFonts w:eastAsiaTheme="minorEastAsia" w:cstheme="minorBidi"/>
          <w:lang w:eastAsia="en-US"/>
        </w:rPr>
        <w:t xml:space="preserve"> jeb 54,3%. </w:t>
      </w:r>
    </w:p>
    <w:p w14:paraId="18C3ABEB" w14:textId="6D8D18DF" w:rsidR="000859A1" w:rsidRPr="00307028" w:rsidRDefault="000859A1" w:rsidP="000859A1">
      <w:pPr>
        <w:spacing w:before="120"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 xml:space="preserve">Vienlaikus jāņem vērā, ka ne tikai kārtējā gadā veiktā izdevumu pārskatīšana sniedz rezultātus nākamajam gadam, bet arī iepriekš veiktās izdevumu pārskatīšanas atstāj ietekmi uz vidēja termiņa budžetu. Tā piemēram, 2024. gadam potenciālais resurss ir konstatēts gan, veicot </w:t>
      </w:r>
      <w:r w:rsidRPr="00307028">
        <w:rPr>
          <w:rFonts w:eastAsiaTheme="minorEastAsia" w:cstheme="minorBidi"/>
          <w:szCs w:val="22"/>
          <w:lang w:eastAsia="en-US"/>
        </w:rPr>
        <w:lastRenderedPageBreak/>
        <w:t>2021.</w:t>
      </w:r>
      <w:r w:rsidR="007B6E39">
        <w:rPr>
          <w:rFonts w:eastAsiaTheme="minorEastAsia" w:cstheme="minorBidi"/>
          <w:szCs w:val="22"/>
          <w:lang w:eastAsia="en-US"/>
        </w:rPr>
        <w:t> </w:t>
      </w:r>
      <w:r w:rsidRPr="00307028">
        <w:rPr>
          <w:rFonts w:eastAsiaTheme="minorEastAsia" w:cstheme="minorBidi"/>
          <w:szCs w:val="22"/>
          <w:lang w:eastAsia="en-US"/>
        </w:rPr>
        <w:t>gada izdevumu pārskatīšanu (ieviesti 23,9</w:t>
      </w:r>
      <w:r w:rsidR="007B6E39">
        <w:rPr>
          <w:rFonts w:eastAsiaTheme="minorEastAsia" w:cstheme="minorBidi"/>
          <w:szCs w:val="22"/>
          <w:lang w:eastAsia="en-US"/>
        </w:rPr>
        <w:t> </w:t>
      </w:r>
      <w:r w:rsidRPr="00307028">
        <w:rPr>
          <w:rFonts w:eastAsiaTheme="minorEastAsia" w:cstheme="minorBidi"/>
          <w:szCs w:val="22"/>
          <w:lang w:eastAsia="en-US"/>
        </w:rPr>
        <w:t>milj.</w:t>
      </w:r>
      <w:r w:rsidR="007B6E39">
        <w:rPr>
          <w:rFonts w:eastAsiaTheme="minorEastAsia" w:cstheme="minorBidi"/>
          <w:szCs w:val="22"/>
          <w:lang w:eastAsia="en-US"/>
        </w:rPr>
        <w:t> </w:t>
      </w:r>
      <w:r w:rsidRPr="00307028">
        <w:rPr>
          <w:rFonts w:eastAsiaTheme="minorEastAsia" w:cstheme="minorBidi"/>
          <w:i/>
          <w:iCs/>
          <w:szCs w:val="22"/>
          <w:lang w:eastAsia="en-US"/>
        </w:rPr>
        <w:t>euro</w:t>
      </w:r>
      <w:r w:rsidRPr="00307028">
        <w:rPr>
          <w:rFonts w:eastAsiaTheme="minorEastAsia" w:cstheme="minorBidi"/>
          <w:szCs w:val="22"/>
          <w:lang w:eastAsia="en-US"/>
        </w:rPr>
        <w:t>), gan</w:t>
      </w:r>
      <w:r w:rsidR="00426E8C" w:rsidRPr="00307028">
        <w:rPr>
          <w:rFonts w:eastAsiaTheme="minorEastAsia" w:cstheme="minorBidi"/>
          <w:szCs w:val="22"/>
          <w:lang w:eastAsia="en-US"/>
        </w:rPr>
        <w:t>,</w:t>
      </w:r>
      <w:r w:rsidRPr="00307028">
        <w:rPr>
          <w:rFonts w:eastAsiaTheme="minorEastAsia" w:cstheme="minorBidi"/>
          <w:szCs w:val="22"/>
          <w:lang w:eastAsia="en-US"/>
        </w:rPr>
        <w:t xml:space="preserve"> veicot </w:t>
      </w:r>
      <w:r w:rsidRPr="00307028">
        <w:rPr>
          <w:rFonts w:eastAsiaTheme="minorEastAsia" w:cstheme="minorBidi"/>
          <w:szCs w:val="22"/>
          <w:lang w:eastAsia="en-US"/>
        </w:rPr>
        <w:br/>
        <w:t>2022.</w:t>
      </w:r>
      <w:r w:rsidR="007B6E39">
        <w:rPr>
          <w:rFonts w:eastAsiaTheme="minorEastAsia" w:cstheme="minorBidi"/>
          <w:szCs w:val="22"/>
          <w:lang w:eastAsia="en-US"/>
        </w:rPr>
        <w:t> </w:t>
      </w:r>
      <w:r w:rsidRPr="00307028">
        <w:rPr>
          <w:rFonts w:eastAsiaTheme="minorEastAsia" w:cstheme="minorBidi"/>
          <w:szCs w:val="22"/>
          <w:lang w:eastAsia="en-US"/>
        </w:rPr>
        <w:t>gada</w:t>
      </w:r>
      <w:r w:rsidR="007B6E39">
        <w:rPr>
          <w:rFonts w:eastAsiaTheme="minorEastAsia" w:cstheme="minorBidi"/>
          <w:szCs w:val="22"/>
          <w:lang w:eastAsia="en-US"/>
        </w:rPr>
        <w:t xml:space="preserve"> </w:t>
      </w:r>
      <w:r w:rsidRPr="00307028">
        <w:rPr>
          <w:rFonts w:eastAsiaTheme="minorEastAsia" w:cstheme="minorBidi"/>
          <w:szCs w:val="22"/>
          <w:lang w:eastAsia="en-US"/>
        </w:rPr>
        <w:t>izdevumu pārskatīšanu (ieviesti 82,5 milj. </w:t>
      </w:r>
      <w:r w:rsidRPr="00307028">
        <w:rPr>
          <w:rFonts w:eastAsiaTheme="minorEastAsia" w:cstheme="minorBidi"/>
          <w:i/>
          <w:iCs/>
          <w:szCs w:val="22"/>
          <w:lang w:eastAsia="en-US"/>
        </w:rPr>
        <w:t>euro</w:t>
      </w:r>
      <w:r w:rsidRPr="00307028">
        <w:rPr>
          <w:rFonts w:eastAsiaTheme="minorEastAsia" w:cstheme="minorBidi"/>
          <w:szCs w:val="22"/>
          <w:lang w:eastAsia="en-US"/>
        </w:rPr>
        <w:t xml:space="preserve">), līdz ar to </w:t>
      </w:r>
      <w:r w:rsidRPr="00307028">
        <w:rPr>
          <w:rFonts w:eastAsiaTheme="minorEastAsia" w:cstheme="minorBidi"/>
          <w:b/>
          <w:bCs/>
          <w:szCs w:val="22"/>
          <w:lang w:eastAsia="en-US"/>
        </w:rPr>
        <w:t xml:space="preserve">2024. gada budžetam no iepriekš veiktajām izdevumu pārskatīšanām ir </w:t>
      </w:r>
      <w:r w:rsidR="005A5D32" w:rsidRPr="00307028">
        <w:rPr>
          <w:rFonts w:eastAsiaTheme="minorEastAsia" w:cstheme="minorBidi"/>
          <w:b/>
          <w:bCs/>
          <w:szCs w:val="22"/>
          <w:lang w:eastAsia="en-US"/>
        </w:rPr>
        <w:t xml:space="preserve">jau ieviesti </w:t>
      </w:r>
      <w:r w:rsidRPr="00307028">
        <w:rPr>
          <w:rFonts w:eastAsiaTheme="minorEastAsia" w:cstheme="minorBidi"/>
          <w:b/>
          <w:bCs/>
          <w:szCs w:val="22"/>
          <w:lang w:eastAsia="en-US"/>
        </w:rPr>
        <w:t>106,4 milj. </w:t>
      </w:r>
      <w:r w:rsidRPr="00307028">
        <w:rPr>
          <w:rFonts w:eastAsiaTheme="minorEastAsia" w:cstheme="minorBidi"/>
          <w:b/>
          <w:bCs/>
          <w:i/>
          <w:iCs/>
          <w:szCs w:val="22"/>
          <w:lang w:eastAsia="en-US"/>
        </w:rPr>
        <w:t>euro</w:t>
      </w:r>
      <w:r w:rsidRPr="00307028">
        <w:rPr>
          <w:rFonts w:eastAsiaTheme="minorEastAsia" w:cstheme="minorBidi"/>
          <w:i/>
          <w:iCs/>
          <w:szCs w:val="22"/>
          <w:lang w:eastAsia="en-US"/>
        </w:rPr>
        <w:t xml:space="preserve"> </w:t>
      </w:r>
      <w:r w:rsidRPr="00307028">
        <w:rPr>
          <w:rFonts w:eastAsiaTheme="minorEastAsia" w:cstheme="minorBidi"/>
          <w:szCs w:val="22"/>
          <w:lang w:eastAsia="en-US"/>
        </w:rPr>
        <w:t>(Tabula Nr.</w:t>
      </w:r>
      <w:r w:rsidR="00426E8C" w:rsidRPr="00307028">
        <w:rPr>
          <w:rFonts w:eastAsiaTheme="minorEastAsia" w:cstheme="minorBidi"/>
          <w:szCs w:val="22"/>
          <w:lang w:eastAsia="en-US"/>
        </w:rPr>
        <w:t> </w:t>
      </w:r>
      <w:r w:rsidRPr="00307028">
        <w:rPr>
          <w:rFonts w:eastAsiaTheme="minorEastAsia" w:cstheme="minorBidi"/>
          <w:szCs w:val="22"/>
          <w:lang w:eastAsia="en-US"/>
        </w:rPr>
        <w:t xml:space="preserve">1.1.). </w:t>
      </w:r>
    </w:p>
    <w:p w14:paraId="1FA020F3" w14:textId="53A415CA" w:rsidR="005A1F81" w:rsidRPr="00307028" w:rsidRDefault="005A1F81" w:rsidP="005A1F81">
      <w:pPr>
        <w:spacing w:after="120"/>
        <w:ind w:left="357"/>
        <w:jc w:val="center"/>
        <w:rPr>
          <w:rFonts w:eastAsiaTheme="minorHAnsi"/>
          <w:b/>
          <w:i/>
          <w:sz w:val="22"/>
          <w:szCs w:val="20"/>
          <w:lang w:eastAsia="lv-LV"/>
        </w:rPr>
      </w:pPr>
      <w:r w:rsidRPr="00307028">
        <w:rPr>
          <w:rFonts w:eastAsiaTheme="minorHAnsi"/>
          <w:b/>
          <w:i/>
          <w:sz w:val="22"/>
          <w:szCs w:val="20"/>
          <w:lang w:eastAsia="lv-LV"/>
        </w:rPr>
        <w:t xml:space="preserve">1.1. tabula </w:t>
      </w:r>
      <w:r w:rsidR="000859A1" w:rsidRPr="00307028">
        <w:rPr>
          <w:rFonts w:eastAsiaTheme="minorHAnsi"/>
          <w:b/>
          <w:iCs/>
          <w:sz w:val="22"/>
          <w:szCs w:val="20"/>
          <w:lang w:eastAsia="lv-LV"/>
        </w:rPr>
        <w:t>Iepriekšējo i</w:t>
      </w:r>
      <w:r w:rsidRPr="00307028">
        <w:rPr>
          <w:rFonts w:eastAsiaTheme="minorHAnsi"/>
          <w:b/>
          <w:iCs/>
          <w:sz w:val="22"/>
          <w:szCs w:val="20"/>
          <w:lang w:eastAsia="lv-LV"/>
        </w:rPr>
        <w:t>zdevumu</w:t>
      </w:r>
      <w:r w:rsidRPr="00307028">
        <w:rPr>
          <w:rFonts w:eastAsiaTheme="minorHAnsi"/>
          <w:b/>
          <w:sz w:val="22"/>
          <w:szCs w:val="20"/>
          <w:lang w:eastAsia="lv-LV"/>
        </w:rPr>
        <w:t xml:space="preserve"> pārskatīšanu rezultātu ietekme uz 2024. gadu, </w:t>
      </w:r>
      <w:r w:rsidRPr="00307028">
        <w:rPr>
          <w:rFonts w:eastAsiaTheme="minorHAnsi"/>
          <w:b/>
          <w:i/>
          <w:sz w:val="22"/>
          <w:szCs w:val="20"/>
          <w:lang w:eastAsia="lv-LV"/>
        </w:rPr>
        <w:t>euro</w:t>
      </w:r>
    </w:p>
    <w:tbl>
      <w:tblPr>
        <w:tblStyle w:val="TableGrid1"/>
        <w:tblW w:w="4854" w:type="pct"/>
        <w:tblInd w:w="175" w:type="dxa"/>
        <w:tblLook w:val="04A0" w:firstRow="1" w:lastRow="0" w:firstColumn="1" w:lastColumn="0" w:noHBand="0" w:noVBand="1"/>
      </w:tblPr>
      <w:tblGrid>
        <w:gridCol w:w="3066"/>
        <w:gridCol w:w="1434"/>
        <w:gridCol w:w="1432"/>
        <w:gridCol w:w="1432"/>
        <w:gridCol w:w="1432"/>
      </w:tblGrid>
      <w:tr w:rsidR="005A1F81" w:rsidRPr="00307028" w14:paraId="283EE42D" w14:textId="77777777" w:rsidTr="008C7D85">
        <w:trPr>
          <w:trHeight w:val="567"/>
        </w:trPr>
        <w:tc>
          <w:tcPr>
            <w:tcW w:w="1743" w:type="pct"/>
            <w:shd w:val="clear" w:color="auto" w:fill="FFFFFF" w:themeFill="background1"/>
            <w:vAlign w:val="center"/>
          </w:tcPr>
          <w:p w14:paraId="5D1CE098" w14:textId="77777777" w:rsidR="005A1F81" w:rsidRPr="00307028" w:rsidRDefault="005A1F81" w:rsidP="005A1F81">
            <w:pPr>
              <w:jc w:val="center"/>
              <w:rPr>
                <w:rFonts w:eastAsiaTheme="minorHAnsi"/>
                <w:b/>
                <w:lang w:eastAsia="lv-LV"/>
              </w:rPr>
            </w:pPr>
            <w:r w:rsidRPr="00307028">
              <w:rPr>
                <w:rFonts w:eastAsiaTheme="minorHAnsi"/>
                <w:b/>
                <w:lang w:eastAsia="lv-LV"/>
              </w:rPr>
              <w:t>Izdevumu pārskatīšanas gads</w:t>
            </w:r>
          </w:p>
        </w:tc>
        <w:tc>
          <w:tcPr>
            <w:tcW w:w="815" w:type="pct"/>
            <w:shd w:val="clear" w:color="auto" w:fill="FFFFFF" w:themeFill="background1"/>
            <w:vAlign w:val="center"/>
          </w:tcPr>
          <w:p w14:paraId="37E10AA6" w14:textId="77777777" w:rsidR="005A1F81" w:rsidRPr="00307028" w:rsidRDefault="005A1F81" w:rsidP="005A1F81">
            <w:pPr>
              <w:jc w:val="center"/>
              <w:rPr>
                <w:rFonts w:eastAsiaTheme="minorHAnsi"/>
                <w:b/>
                <w:lang w:eastAsia="lv-LV"/>
              </w:rPr>
            </w:pPr>
            <w:r w:rsidRPr="00307028">
              <w:rPr>
                <w:rFonts w:eastAsiaTheme="minorHAnsi"/>
                <w:b/>
                <w:lang w:eastAsia="lv-LV"/>
              </w:rPr>
              <w:t>2022</w:t>
            </w:r>
          </w:p>
        </w:tc>
        <w:tc>
          <w:tcPr>
            <w:tcW w:w="814" w:type="pct"/>
            <w:shd w:val="clear" w:color="auto" w:fill="FFFFFF" w:themeFill="background1"/>
            <w:vAlign w:val="center"/>
          </w:tcPr>
          <w:p w14:paraId="4F625D91" w14:textId="77777777" w:rsidR="005A1F81" w:rsidRPr="00307028" w:rsidRDefault="005A1F81" w:rsidP="005A1F81">
            <w:pPr>
              <w:jc w:val="center"/>
              <w:rPr>
                <w:rFonts w:eastAsiaTheme="minorHAnsi"/>
                <w:b/>
                <w:lang w:eastAsia="lv-LV"/>
              </w:rPr>
            </w:pPr>
            <w:r w:rsidRPr="00307028">
              <w:rPr>
                <w:rFonts w:eastAsiaTheme="minorHAnsi"/>
                <w:b/>
                <w:lang w:eastAsia="lv-LV"/>
              </w:rPr>
              <w:t>2023</w:t>
            </w:r>
          </w:p>
        </w:tc>
        <w:tc>
          <w:tcPr>
            <w:tcW w:w="814" w:type="pct"/>
            <w:shd w:val="clear" w:color="auto" w:fill="85C2E0"/>
            <w:vAlign w:val="center"/>
          </w:tcPr>
          <w:p w14:paraId="0BAC66A9" w14:textId="77777777" w:rsidR="005A1F81" w:rsidRPr="00307028" w:rsidRDefault="005A1F81" w:rsidP="005A1F81">
            <w:pPr>
              <w:jc w:val="center"/>
              <w:rPr>
                <w:rFonts w:eastAsiaTheme="minorHAnsi"/>
                <w:b/>
                <w:lang w:eastAsia="lv-LV"/>
              </w:rPr>
            </w:pPr>
            <w:r w:rsidRPr="00307028">
              <w:rPr>
                <w:rFonts w:eastAsiaTheme="minorHAnsi"/>
                <w:b/>
                <w:bCs/>
                <w:lang w:eastAsia="lv-LV"/>
              </w:rPr>
              <w:t>2024</w:t>
            </w:r>
          </w:p>
        </w:tc>
        <w:tc>
          <w:tcPr>
            <w:tcW w:w="814" w:type="pct"/>
            <w:shd w:val="clear" w:color="auto" w:fill="FFFFFF" w:themeFill="background1"/>
            <w:vAlign w:val="center"/>
          </w:tcPr>
          <w:p w14:paraId="6FEB12D8" w14:textId="77777777" w:rsidR="005A1F81" w:rsidRPr="00307028" w:rsidRDefault="005A1F81" w:rsidP="005A1F81">
            <w:pPr>
              <w:jc w:val="center"/>
              <w:rPr>
                <w:rFonts w:eastAsiaTheme="minorHAnsi"/>
                <w:b/>
                <w:lang w:eastAsia="lv-LV"/>
              </w:rPr>
            </w:pPr>
            <w:r w:rsidRPr="00307028">
              <w:rPr>
                <w:rFonts w:eastAsiaTheme="minorHAnsi"/>
                <w:b/>
                <w:bCs/>
                <w:lang w:eastAsia="lv-LV"/>
              </w:rPr>
              <w:t>2025</w:t>
            </w:r>
          </w:p>
        </w:tc>
      </w:tr>
      <w:tr w:rsidR="005A1F81" w:rsidRPr="00307028" w14:paraId="062F2493" w14:textId="77777777" w:rsidTr="008C7D85">
        <w:trPr>
          <w:trHeight w:val="255"/>
        </w:trPr>
        <w:tc>
          <w:tcPr>
            <w:tcW w:w="1743" w:type="pct"/>
          </w:tcPr>
          <w:p w14:paraId="0FC467FE" w14:textId="2AAAFF78" w:rsidR="005A1F81" w:rsidRPr="00307028" w:rsidRDefault="005A1F81" w:rsidP="005A1F81">
            <w:pPr>
              <w:jc w:val="center"/>
              <w:rPr>
                <w:rFonts w:eastAsiaTheme="minorHAnsi"/>
                <w:lang w:eastAsia="lv-LV"/>
              </w:rPr>
            </w:pPr>
            <w:r w:rsidRPr="00307028">
              <w:rPr>
                <w:rFonts w:eastAsiaTheme="minorHAnsi"/>
                <w:lang w:eastAsia="lv-LV"/>
              </w:rPr>
              <w:t>2021</w:t>
            </w:r>
            <w:r w:rsidR="003B7DFF" w:rsidRPr="00307028">
              <w:rPr>
                <w:rFonts w:eastAsiaTheme="minorHAnsi" w:cstheme="minorBidi"/>
                <w:iCs/>
                <w:szCs w:val="18"/>
                <w:lang w:eastAsia="en-US"/>
              </w:rPr>
              <w:t>–</w:t>
            </w:r>
            <w:r w:rsidRPr="00307028">
              <w:rPr>
                <w:rFonts w:eastAsiaTheme="minorHAnsi"/>
                <w:lang w:eastAsia="lv-LV"/>
              </w:rPr>
              <w:t>2023</w:t>
            </w:r>
          </w:p>
        </w:tc>
        <w:tc>
          <w:tcPr>
            <w:tcW w:w="815" w:type="pct"/>
          </w:tcPr>
          <w:p w14:paraId="7CD64659" w14:textId="77777777" w:rsidR="005A1F81" w:rsidRPr="00307028" w:rsidRDefault="005A1F81" w:rsidP="005A1F81">
            <w:pPr>
              <w:jc w:val="center"/>
              <w:rPr>
                <w:rFonts w:eastAsiaTheme="minorHAnsi"/>
                <w:lang w:eastAsia="lv-LV"/>
              </w:rPr>
            </w:pPr>
            <w:r w:rsidRPr="00307028">
              <w:rPr>
                <w:rFonts w:eastAsiaTheme="minorHAnsi"/>
                <w:lang w:eastAsia="lv-LV"/>
              </w:rPr>
              <w:t>149 194 212</w:t>
            </w:r>
          </w:p>
        </w:tc>
        <w:tc>
          <w:tcPr>
            <w:tcW w:w="814" w:type="pct"/>
          </w:tcPr>
          <w:p w14:paraId="4355C4AF" w14:textId="77777777" w:rsidR="005A1F81" w:rsidRPr="00307028" w:rsidRDefault="005A1F81" w:rsidP="005A1F81">
            <w:pPr>
              <w:jc w:val="center"/>
              <w:rPr>
                <w:rFonts w:eastAsiaTheme="minorHAnsi"/>
                <w:lang w:eastAsia="lv-LV"/>
              </w:rPr>
            </w:pPr>
            <w:r w:rsidRPr="00307028">
              <w:rPr>
                <w:rFonts w:eastAsiaTheme="minorHAnsi"/>
                <w:lang w:eastAsia="lv-LV"/>
              </w:rPr>
              <w:t>30 697 470</w:t>
            </w:r>
          </w:p>
        </w:tc>
        <w:tc>
          <w:tcPr>
            <w:tcW w:w="814" w:type="pct"/>
            <w:shd w:val="clear" w:color="auto" w:fill="85C2E0"/>
          </w:tcPr>
          <w:p w14:paraId="4C674D42" w14:textId="77777777" w:rsidR="005A1F81" w:rsidRPr="00307028" w:rsidRDefault="005A1F81" w:rsidP="005A1F81">
            <w:pPr>
              <w:jc w:val="center"/>
              <w:rPr>
                <w:rFonts w:eastAsiaTheme="minorHAnsi"/>
                <w:lang w:eastAsia="lv-LV"/>
              </w:rPr>
            </w:pPr>
            <w:r w:rsidRPr="00307028">
              <w:rPr>
                <w:rFonts w:eastAsiaTheme="minorHAnsi"/>
                <w:lang w:eastAsia="lv-LV"/>
              </w:rPr>
              <w:t>23 896 609</w:t>
            </w:r>
          </w:p>
        </w:tc>
        <w:tc>
          <w:tcPr>
            <w:tcW w:w="814" w:type="pct"/>
          </w:tcPr>
          <w:p w14:paraId="320BB518" w14:textId="32CC6E65" w:rsidR="005A1F81" w:rsidRPr="00307028" w:rsidRDefault="003B7DFF" w:rsidP="005A1F81">
            <w:pPr>
              <w:jc w:val="center"/>
              <w:rPr>
                <w:rFonts w:eastAsiaTheme="minorHAnsi"/>
                <w:lang w:eastAsia="lv-LV"/>
              </w:rPr>
            </w:pPr>
            <w:r w:rsidRPr="00307028">
              <w:rPr>
                <w:rFonts w:eastAsiaTheme="minorHAnsi" w:cstheme="minorBidi"/>
                <w:iCs/>
                <w:szCs w:val="18"/>
                <w:lang w:eastAsia="en-US"/>
              </w:rPr>
              <w:t>–</w:t>
            </w:r>
          </w:p>
        </w:tc>
      </w:tr>
      <w:tr w:rsidR="005A1F81" w:rsidRPr="00307028" w14:paraId="356B0231" w14:textId="77777777" w:rsidTr="008C7D85">
        <w:trPr>
          <w:trHeight w:val="177"/>
        </w:trPr>
        <w:tc>
          <w:tcPr>
            <w:tcW w:w="1743" w:type="pct"/>
          </w:tcPr>
          <w:p w14:paraId="599AE07C" w14:textId="05E1C99E" w:rsidR="005A1F81" w:rsidRPr="00307028" w:rsidRDefault="005A1F81" w:rsidP="005A1F81">
            <w:pPr>
              <w:jc w:val="center"/>
              <w:rPr>
                <w:rFonts w:eastAsiaTheme="minorHAnsi"/>
                <w:lang w:eastAsia="lv-LV"/>
              </w:rPr>
            </w:pPr>
            <w:r w:rsidRPr="00307028">
              <w:rPr>
                <w:rFonts w:eastAsiaTheme="minorHAnsi"/>
                <w:lang w:eastAsia="lv-LV"/>
              </w:rPr>
              <w:t>2022</w:t>
            </w:r>
            <w:r w:rsidR="003B7DFF" w:rsidRPr="00307028">
              <w:rPr>
                <w:rFonts w:eastAsiaTheme="minorHAnsi" w:cstheme="minorBidi"/>
                <w:iCs/>
                <w:szCs w:val="18"/>
                <w:lang w:eastAsia="en-US"/>
              </w:rPr>
              <w:t>–</w:t>
            </w:r>
            <w:r w:rsidRPr="00307028">
              <w:rPr>
                <w:rFonts w:eastAsiaTheme="minorHAnsi"/>
                <w:lang w:eastAsia="lv-LV"/>
              </w:rPr>
              <w:t>2024</w:t>
            </w:r>
          </w:p>
        </w:tc>
        <w:tc>
          <w:tcPr>
            <w:tcW w:w="815" w:type="pct"/>
          </w:tcPr>
          <w:p w14:paraId="25A2E105" w14:textId="21F56F35" w:rsidR="005A1F81" w:rsidRPr="00307028" w:rsidRDefault="003B7DFF" w:rsidP="005A1F81">
            <w:pPr>
              <w:jc w:val="center"/>
              <w:rPr>
                <w:rFonts w:eastAsiaTheme="minorHAnsi"/>
                <w:lang w:eastAsia="lv-LV"/>
              </w:rPr>
            </w:pPr>
            <w:r w:rsidRPr="00307028">
              <w:rPr>
                <w:rFonts w:eastAsiaTheme="minorHAnsi" w:cstheme="minorBidi"/>
                <w:iCs/>
                <w:szCs w:val="18"/>
                <w:lang w:eastAsia="en-US"/>
              </w:rPr>
              <w:t>–</w:t>
            </w:r>
          </w:p>
        </w:tc>
        <w:tc>
          <w:tcPr>
            <w:tcW w:w="814" w:type="pct"/>
          </w:tcPr>
          <w:p w14:paraId="749F4CD6" w14:textId="77777777" w:rsidR="005A1F81" w:rsidRPr="00307028" w:rsidRDefault="005A1F81" w:rsidP="005A1F81">
            <w:pPr>
              <w:jc w:val="center"/>
              <w:rPr>
                <w:rFonts w:eastAsiaTheme="minorHAnsi"/>
                <w:lang w:eastAsia="lv-LV"/>
              </w:rPr>
            </w:pPr>
            <w:r w:rsidRPr="00307028">
              <w:rPr>
                <w:rFonts w:eastAsiaTheme="minorHAnsi"/>
                <w:lang w:eastAsia="lv-LV"/>
              </w:rPr>
              <w:t>162 258 793</w:t>
            </w:r>
          </w:p>
        </w:tc>
        <w:tc>
          <w:tcPr>
            <w:tcW w:w="814" w:type="pct"/>
            <w:shd w:val="clear" w:color="auto" w:fill="85C2E0"/>
          </w:tcPr>
          <w:p w14:paraId="1E53ADA6" w14:textId="77777777" w:rsidR="005A1F81" w:rsidRPr="00307028" w:rsidRDefault="005A1F81" w:rsidP="005A1F81">
            <w:pPr>
              <w:jc w:val="center"/>
              <w:rPr>
                <w:rFonts w:eastAsiaTheme="minorHAnsi"/>
                <w:lang w:eastAsia="lv-LV"/>
              </w:rPr>
            </w:pPr>
            <w:r w:rsidRPr="00307028">
              <w:rPr>
                <w:rFonts w:eastAsiaTheme="minorHAnsi"/>
                <w:lang w:eastAsia="lv-LV"/>
              </w:rPr>
              <w:t>82 468 304</w:t>
            </w:r>
          </w:p>
        </w:tc>
        <w:tc>
          <w:tcPr>
            <w:tcW w:w="814" w:type="pct"/>
          </w:tcPr>
          <w:p w14:paraId="0B396F2F" w14:textId="77777777" w:rsidR="005A1F81" w:rsidRPr="00307028" w:rsidRDefault="005A1F81" w:rsidP="005A1F81">
            <w:pPr>
              <w:jc w:val="center"/>
              <w:rPr>
                <w:rFonts w:eastAsiaTheme="minorHAnsi"/>
                <w:lang w:eastAsia="lv-LV"/>
              </w:rPr>
            </w:pPr>
            <w:r w:rsidRPr="00307028">
              <w:rPr>
                <w:rFonts w:eastAsiaTheme="minorHAnsi"/>
                <w:lang w:eastAsia="lv-LV"/>
              </w:rPr>
              <w:t>69 545 135</w:t>
            </w:r>
          </w:p>
        </w:tc>
      </w:tr>
      <w:tr w:rsidR="005A1F81" w:rsidRPr="00307028" w14:paraId="4C332F18" w14:textId="77777777" w:rsidTr="008C7D85">
        <w:trPr>
          <w:trHeight w:val="177"/>
        </w:trPr>
        <w:tc>
          <w:tcPr>
            <w:tcW w:w="1743" w:type="pct"/>
          </w:tcPr>
          <w:p w14:paraId="653FDA68" w14:textId="77777777" w:rsidR="005A1F81" w:rsidRPr="00307028" w:rsidRDefault="005A1F81" w:rsidP="005A1F81">
            <w:pPr>
              <w:jc w:val="center"/>
              <w:rPr>
                <w:rFonts w:eastAsiaTheme="minorHAnsi"/>
                <w:b/>
                <w:highlight w:val="yellow"/>
                <w:lang w:eastAsia="lv-LV"/>
              </w:rPr>
            </w:pPr>
            <w:r w:rsidRPr="00307028">
              <w:rPr>
                <w:rFonts w:eastAsiaTheme="minorHAnsi"/>
                <w:b/>
                <w:lang w:eastAsia="lv-LV"/>
              </w:rPr>
              <w:t>KOPĀ:</w:t>
            </w:r>
          </w:p>
        </w:tc>
        <w:tc>
          <w:tcPr>
            <w:tcW w:w="815" w:type="pct"/>
            <w:vAlign w:val="bottom"/>
          </w:tcPr>
          <w:p w14:paraId="5DAAA1FE" w14:textId="77777777" w:rsidR="005A1F81" w:rsidRPr="00307028" w:rsidRDefault="005A1F81" w:rsidP="005A1F81">
            <w:pPr>
              <w:jc w:val="center"/>
              <w:rPr>
                <w:rFonts w:eastAsiaTheme="minorHAnsi"/>
                <w:b/>
                <w:highlight w:val="yellow"/>
                <w:lang w:eastAsia="lv-LV"/>
              </w:rPr>
            </w:pPr>
            <w:r w:rsidRPr="00307028">
              <w:rPr>
                <w:rFonts w:eastAsiaTheme="minorHAnsi"/>
                <w:b/>
                <w:lang w:eastAsia="lv-LV"/>
              </w:rPr>
              <w:t>149 194 212</w:t>
            </w:r>
          </w:p>
        </w:tc>
        <w:tc>
          <w:tcPr>
            <w:tcW w:w="814" w:type="pct"/>
            <w:vAlign w:val="bottom"/>
          </w:tcPr>
          <w:p w14:paraId="761581C9" w14:textId="77777777" w:rsidR="005A1F81" w:rsidRPr="00307028" w:rsidRDefault="005A1F81" w:rsidP="005A1F81">
            <w:pPr>
              <w:jc w:val="center"/>
              <w:rPr>
                <w:rFonts w:eastAsiaTheme="minorHAnsi"/>
                <w:b/>
                <w:lang w:eastAsia="lv-LV"/>
              </w:rPr>
            </w:pPr>
            <w:r w:rsidRPr="00307028">
              <w:rPr>
                <w:rFonts w:eastAsiaTheme="minorHAnsi"/>
                <w:b/>
                <w:lang w:eastAsia="lv-LV"/>
              </w:rPr>
              <w:t>192 956 263</w:t>
            </w:r>
          </w:p>
        </w:tc>
        <w:tc>
          <w:tcPr>
            <w:tcW w:w="814" w:type="pct"/>
            <w:shd w:val="clear" w:color="auto" w:fill="85C2E0"/>
          </w:tcPr>
          <w:p w14:paraId="3220E72B" w14:textId="77777777" w:rsidR="005A1F81" w:rsidRPr="00307028" w:rsidRDefault="005A1F81" w:rsidP="005A1F81">
            <w:pPr>
              <w:jc w:val="center"/>
              <w:rPr>
                <w:rFonts w:eastAsiaTheme="minorHAnsi"/>
                <w:b/>
                <w:lang w:eastAsia="lv-LV"/>
              </w:rPr>
            </w:pPr>
            <w:r w:rsidRPr="00307028">
              <w:rPr>
                <w:rFonts w:eastAsiaTheme="minorHAnsi"/>
                <w:b/>
                <w:lang w:eastAsia="lv-LV"/>
              </w:rPr>
              <w:t>106 364 913</w:t>
            </w:r>
          </w:p>
        </w:tc>
        <w:tc>
          <w:tcPr>
            <w:tcW w:w="814" w:type="pct"/>
          </w:tcPr>
          <w:p w14:paraId="33512CDF" w14:textId="77777777" w:rsidR="005A1F81" w:rsidRPr="00307028" w:rsidRDefault="005A1F81" w:rsidP="005A1F81">
            <w:pPr>
              <w:jc w:val="center"/>
              <w:rPr>
                <w:rFonts w:eastAsiaTheme="minorHAnsi"/>
                <w:b/>
                <w:lang w:eastAsia="lv-LV"/>
              </w:rPr>
            </w:pPr>
            <w:r w:rsidRPr="00307028">
              <w:rPr>
                <w:rFonts w:eastAsiaTheme="minorHAnsi"/>
                <w:b/>
                <w:lang w:eastAsia="lv-LV"/>
              </w:rPr>
              <w:t>69 545 135</w:t>
            </w:r>
          </w:p>
        </w:tc>
      </w:tr>
    </w:tbl>
    <w:p w14:paraId="0E6961F4" w14:textId="50BECB47" w:rsidR="005A1F81" w:rsidRPr="00307028" w:rsidRDefault="005A1F81" w:rsidP="005A1F81">
      <w:pPr>
        <w:spacing w:before="120" w:after="120"/>
        <w:ind w:firstLine="720"/>
        <w:jc w:val="both"/>
        <w:rPr>
          <w:rFonts w:eastAsiaTheme="minorHAnsi" w:cstheme="minorBidi"/>
          <w:iCs/>
          <w:szCs w:val="18"/>
          <w:lang w:eastAsia="en-US"/>
        </w:rPr>
      </w:pPr>
      <w:bookmarkStart w:id="49" w:name="_Hlk141257648"/>
      <w:r w:rsidRPr="00307028">
        <w:rPr>
          <w:rFonts w:eastAsiaTheme="minorHAnsi" w:cstheme="minorBidi"/>
          <w:iCs/>
          <w:szCs w:val="18"/>
          <w:lang w:eastAsia="en-US"/>
        </w:rPr>
        <w:t>Ar MK 2022. gada 11. oktobra sēdes protokolu Nr. 52 5. § ministrijām tika uzdoti 162</w:t>
      </w:r>
      <w:r w:rsidR="00426E8C" w:rsidRPr="00307028">
        <w:rPr>
          <w:rFonts w:eastAsiaTheme="minorHAnsi" w:cstheme="minorBidi"/>
          <w:iCs/>
          <w:szCs w:val="18"/>
          <w:lang w:eastAsia="en-US"/>
        </w:rPr>
        <w:t> </w:t>
      </w:r>
      <w:r w:rsidRPr="00307028">
        <w:rPr>
          <w:rFonts w:eastAsiaTheme="minorHAnsi" w:cstheme="minorBidi"/>
          <w:iCs/>
          <w:szCs w:val="18"/>
          <w:lang w:eastAsia="en-US"/>
        </w:rPr>
        <w:t xml:space="preserve">uzdevumi. Lielākoties uzdevumu izpildes statuss ir izpildīts – </w:t>
      </w:r>
      <w:r w:rsidR="00EE043A" w:rsidRPr="00307028">
        <w:rPr>
          <w:rFonts w:eastAsiaTheme="minorHAnsi" w:cstheme="minorBidi"/>
          <w:iCs/>
          <w:szCs w:val="18"/>
          <w:lang w:eastAsia="en-US"/>
        </w:rPr>
        <w:t>91,4</w:t>
      </w:r>
      <w:r w:rsidRPr="00307028">
        <w:rPr>
          <w:rFonts w:eastAsiaTheme="minorHAnsi" w:cstheme="minorBidi"/>
          <w:iCs/>
          <w:szCs w:val="18"/>
          <w:lang w:eastAsia="en-US"/>
        </w:rPr>
        <w:t xml:space="preserve">%, savukārt uzsākti ir </w:t>
      </w:r>
      <w:r w:rsidR="00EE043A" w:rsidRPr="00307028">
        <w:rPr>
          <w:rFonts w:eastAsiaTheme="minorHAnsi" w:cstheme="minorBidi"/>
          <w:iCs/>
          <w:szCs w:val="18"/>
          <w:lang w:eastAsia="en-US"/>
        </w:rPr>
        <w:t>8,0</w:t>
      </w:r>
      <w:r w:rsidRPr="00307028">
        <w:rPr>
          <w:rFonts w:eastAsiaTheme="minorHAnsi" w:cstheme="minorBidi"/>
          <w:iCs/>
          <w:szCs w:val="18"/>
          <w:lang w:eastAsia="en-US"/>
        </w:rPr>
        <w:t xml:space="preserve">% </w:t>
      </w:r>
      <w:r w:rsidR="00426E8C" w:rsidRPr="00307028">
        <w:rPr>
          <w:rFonts w:eastAsiaTheme="minorHAnsi" w:cstheme="minorBidi"/>
          <w:iCs/>
          <w:szCs w:val="18"/>
          <w:lang w:eastAsia="en-US"/>
        </w:rPr>
        <w:t xml:space="preserve">no </w:t>
      </w:r>
      <w:r w:rsidRPr="00307028">
        <w:rPr>
          <w:rFonts w:eastAsiaTheme="minorHAnsi" w:cstheme="minorBidi"/>
          <w:iCs/>
          <w:szCs w:val="18"/>
          <w:lang w:eastAsia="en-US"/>
        </w:rPr>
        <w:t>uzdevum</w:t>
      </w:r>
      <w:r w:rsidR="00426E8C" w:rsidRPr="00307028">
        <w:rPr>
          <w:rFonts w:eastAsiaTheme="minorHAnsi" w:cstheme="minorBidi"/>
          <w:iCs/>
          <w:szCs w:val="18"/>
          <w:lang w:eastAsia="en-US"/>
        </w:rPr>
        <w:t>iem</w:t>
      </w:r>
      <w:r w:rsidR="00EE043A" w:rsidRPr="00307028">
        <w:rPr>
          <w:rFonts w:eastAsiaTheme="minorHAnsi" w:cstheme="minorBidi"/>
          <w:iCs/>
          <w:szCs w:val="18"/>
          <w:lang w:eastAsia="en-US"/>
        </w:rPr>
        <w:t xml:space="preserve"> (t.sk. uzdevumi, kuriem izpildes termiņi vēl nav iestājušies</w:t>
      </w:r>
      <w:r w:rsidR="005A5D32" w:rsidRPr="00307028">
        <w:rPr>
          <w:rFonts w:eastAsiaTheme="minorHAnsi" w:cstheme="minorBidi"/>
          <w:iCs/>
          <w:szCs w:val="18"/>
          <w:lang w:eastAsia="en-US"/>
        </w:rPr>
        <w:t>)</w:t>
      </w:r>
      <w:r w:rsidRPr="00307028">
        <w:rPr>
          <w:rFonts w:eastAsiaTheme="minorHAnsi" w:cstheme="minorBidi"/>
          <w:iCs/>
          <w:szCs w:val="18"/>
          <w:lang w:eastAsia="en-US"/>
        </w:rPr>
        <w:t xml:space="preserve">, bet aktualitāti zaudējis viens uzdevums </w:t>
      </w:r>
      <w:bookmarkEnd w:id="49"/>
      <w:r w:rsidRPr="00307028">
        <w:rPr>
          <w:rFonts w:eastAsiaTheme="minorHAnsi" w:cstheme="minorBidi"/>
          <w:iCs/>
          <w:szCs w:val="18"/>
          <w:lang w:eastAsia="en-US"/>
        </w:rPr>
        <w:t>(Attēls Nr. 1.</w:t>
      </w:r>
      <w:r w:rsidR="00680513" w:rsidRPr="00307028">
        <w:rPr>
          <w:rFonts w:eastAsiaTheme="minorHAnsi" w:cstheme="minorBidi"/>
          <w:iCs/>
          <w:szCs w:val="18"/>
          <w:lang w:eastAsia="en-US"/>
        </w:rPr>
        <w:t>7</w:t>
      </w:r>
      <w:r w:rsidRPr="00307028">
        <w:rPr>
          <w:rFonts w:eastAsiaTheme="minorHAnsi" w:cstheme="minorBidi"/>
          <w:iCs/>
          <w:szCs w:val="18"/>
          <w:lang w:eastAsia="en-US"/>
        </w:rPr>
        <w:t>.). Tālāk tekstā detalizēta sniegta informācija uzdevumu izpildes progresu.</w:t>
      </w:r>
      <w:bookmarkStart w:id="50" w:name="_Ref46844618"/>
    </w:p>
    <w:bookmarkEnd w:id="50"/>
    <w:p w14:paraId="7BDF8FCD" w14:textId="2A890AB0" w:rsidR="005A1F81" w:rsidRPr="00307028" w:rsidRDefault="005A1F81" w:rsidP="005A1F81">
      <w:pPr>
        <w:spacing w:after="120"/>
        <w:jc w:val="center"/>
        <w:rPr>
          <w:rFonts w:eastAsiaTheme="minorHAnsi" w:cstheme="minorBidi"/>
          <w:b/>
          <w:sz w:val="22"/>
          <w:szCs w:val="22"/>
          <w:lang w:eastAsia="en-US"/>
        </w:rPr>
      </w:pPr>
      <w:r w:rsidRPr="00307028">
        <w:rPr>
          <w:rFonts w:eastAsiaTheme="minorHAnsi" w:cstheme="minorBidi"/>
          <w:b/>
          <w:i/>
          <w:iCs/>
          <w:sz w:val="22"/>
          <w:szCs w:val="22"/>
          <w:lang w:eastAsia="en-US"/>
        </w:rPr>
        <w:t>1.</w:t>
      </w:r>
      <w:r w:rsidR="00680513" w:rsidRPr="00307028">
        <w:rPr>
          <w:rFonts w:eastAsiaTheme="minorHAnsi" w:cstheme="minorBidi"/>
          <w:b/>
          <w:i/>
          <w:iCs/>
          <w:sz w:val="22"/>
          <w:szCs w:val="22"/>
          <w:lang w:eastAsia="en-US"/>
        </w:rPr>
        <w:t>7</w:t>
      </w:r>
      <w:r w:rsidRPr="00307028">
        <w:rPr>
          <w:rFonts w:eastAsiaTheme="minorHAnsi" w:cstheme="minorBidi"/>
          <w:b/>
          <w:i/>
          <w:iCs/>
          <w:sz w:val="22"/>
          <w:szCs w:val="22"/>
          <w:lang w:eastAsia="en-US"/>
        </w:rPr>
        <w:t>. attēls</w:t>
      </w:r>
      <w:r w:rsidRPr="00307028">
        <w:rPr>
          <w:rFonts w:eastAsiaTheme="minorHAnsi" w:cstheme="minorBidi"/>
          <w:b/>
          <w:sz w:val="22"/>
          <w:szCs w:val="22"/>
          <w:lang w:eastAsia="en-US"/>
        </w:rPr>
        <w:t xml:space="preserve"> Ar MK 2022. gada 11. oktobra sēdes protokola Nr. 52 5. </w:t>
      </w:r>
      <w:r w:rsidRPr="00307028">
        <w:rPr>
          <w:rFonts w:eastAsiaTheme="minorHAnsi"/>
          <w:b/>
          <w:sz w:val="22"/>
          <w:szCs w:val="22"/>
          <w:lang w:eastAsia="en-US"/>
        </w:rPr>
        <w:t>§</w:t>
      </w:r>
      <w:r w:rsidRPr="00307028">
        <w:rPr>
          <w:rFonts w:eastAsiaTheme="minorHAnsi" w:cstheme="minorBidi"/>
          <w:b/>
          <w:sz w:val="22"/>
          <w:szCs w:val="22"/>
          <w:lang w:eastAsia="en-US"/>
        </w:rPr>
        <w:t xml:space="preserve"> uzdoto uzdevumu statuss</w:t>
      </w:r>
    </w:p>
    <w:p w14:paraId="4A9C9439" w14:textId="77777777" w:rsidR="005A1F81" w:rsidRPr="00307028" w:rsidRDefault="005A1F81" w:rsidP="005A1F81">
      <w:pPr>
        <w:spacing w:after="160"/>
        <w:jc w:val="center"/>
        <w:rPr>
          <w:rFonts w:eastAsiaTheme="minorHAnsi" w:cstheme="minorBidi"/>
          <w:lang w:eastAsia="en-US"/>
        </w:rPr>
      </w:pPr>
      <w:r w:rsidRPr="00307028">
        <w:rPr>
          <w:rFonts w:ascii="Calibri" w:eastAsiaTheme="minorHAnsi" w:hAnsi="Calibri" w:cs="Calibri"/>
          <w:noProof/>
          <w:sz w:val="22"/>
          <w:szCs w:val="22"/>
          <w:lang w:eastAsia="lv-LV"/>
        </w:rPr>
        <w:drawing>
          <wp:inline distT="0" distB="0" distL="0" distR="0" wp14:anchorId="03661F97" wp14:editId="469DB1A1">
            <wp:extent cx="4886325" cy="2590800"/>
            <wp:effectExtent l="0" t="0" r="0" b="0"/>
            <wp:docPr id="157876644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F33774" w14:textId="77777777" w:rsidR="008C7D85" w:rsidRPr="00307028" w:rsidRDefault="008C7D85" w:rsidP="008C7D85">
      <w:pPr>
        <w:spacing w:before="240" w:after="120" w:line="259" w:lineRule="auto"/>
        <w:jc w:val="both"/>
        <w:rPr>
          <w:rFonts w:eastAsiaTheme="minorHAnsi"/>
          <w:b/>
          <w:u w:val="single"/>
          <w:lang w:eastAsia="en-US"/>
        </w:rPr>
      </w:pPr>
      <w:r w:rsidRPr="00307028">
        <w:rPr>
          <w:rFonts w:eastAsiaTheme="minorHAnsi"/>
          <w:b/>
          <w:u w:val="single"/>
          <w:lang w:eastAsia="en-US"/>
        </w:rPr>
        <w:t>Izpildītie uzdevumi:</w:t>
      </w:r>
    </w:p>
    <w:p w14:paraId="79A35326"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w:t>
      </w:r>
      <w:r w:rsidRPr="00307028">
        <w:rPr>
          <w:rFonts w:eastAsiaTheme="minorHAnsi"/>
          <w:b/>
          <w:lang w:eastAsia="en-US"/>
        </w:rPr>
        <w:t xml:space="preserve">10., 11., 12., 13., 14., 15., 16., 17., 18., 19., 20.. 21., 22., 23., 24., 25., 26., 27., 28., 29., 32., 33., 34., 35., 36., 37., 38., 39., 42., 43., 44., 45., 46., 47., 48., 49., 50., 51., 53., 54., 55., 56., 57., 58., 59., 60., 61., 62., 63., 64., 65., 66., 67., 68., 69., 70., 72., 73., 74. un 75. punktā </w:t>
      </w:r>
      <w:r w:rsidRPr="00307028">
        <w:rPr>
          <w:rFonts w:eastAsiaTheme="minorHAnsi"/>
          <w:i/>
          <w:lang w:eastAsia="en-US"/>
        </w:rPr>
        <w:t>noteikts atbalstīt finansējuma pārdales</w:t>
      </w:r>
      <w:r w:rsidRPr="00307028">
        <w:rPr>
          <w:rFonts w:eastAsiaTheme="minorHAnsi"/>
          <w:lang w:eastAsia="en-US"/>
        </w:rPr>
        <w:t>”</w:t>
      </w:r>
    </w:p>
    <w:p w14:paraId="09B9DC3C"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Veiktas finansējuma pārdales atbilstoši protokollēmumā noteiktajam.</w:t>
      </w:r>
    </w:p>
    <w:p w14:paraId="3A428DFD"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30. punkts </w:t>
      </w:r>
      <w:r w:rsidRPr="00307028">
        <w:rPr>
          <w:rFonts w:eastAsiaTheme="minorHAnsi"/>
          <w:b/>
          <w:iCs/>
          <w:lang w:eastAsia="en-US"/>
        </w:rPr>
        <w:t xml:space="preserve">Finanšu ministrijai (Valsts ieņēmumu dienestam) </w:t>
      </w:r>
      <w:r w:rsidRPr="00307028">
        <w:rPr>
          <w:rFonts w:eastAsiaTheme="minorHAnsi"/>
          <w:bCs/>
          <w:i/>
          <w:lang w:eastAsia="en-US"/>
        </w:rPr>
        <w:t>līdz 2022. gada 1. decembrim iesniegt izskatīšanai Ministru kabinetā konceptuālo ziņojumu par tiesiskā regulējuma problēmjautājumiem saistībā ar mantas piekritību valstij un valstij piekritīgo mantu.</w:t>
      </w:r>
      <w:r w:rsidRPr="00307028">
        <w:rPr>
          <w:rFonts w:eastAsiaTheme="minorHAnsi"/>
          <w:lang w:eastAsia="en-US"/>
        </w:rPr>
        <w:t>”</w:t>
      </w:r>
    </w:p>
    <w:p w14:paraId="264DF27C"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Konceptuālais ziņojums izskatīts MK 2023. gada 25. aprīļa sēdē.</w:t>
      </w:r>
    </w:p>
    <w:p w14:paraId="175C5524"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31. punkts </w:t>
      </w:r>
      <w:r w:rsidRPr="00307028">
        <w:rPr>
          <w:rFonts w:eastAsiaTheme="minorHAnsi"/>
          <w:b/>
          <w:iCs/>
          <w:lang w:eastAsia="en-US"/>
        </w:rPr>
        <w:t xml:space="preserve">Finanšu ministrijai (VAS "Valsts nekustamie īpašumi") </w:t>
      </w:r>
      <w:r w:rsidRPr="00307028">
        <w:rPr>
          <w:rFonts w:eastAsiaTheme="minorHAnsi"/>
          <w:bCs/>
          <w:i/>
          <w:lang w:eastAsia="en-US"/>
        </w:rPr>
        <w:t xml:space="preserve">sagatavot un finanšu ministram noteiktā kārtībā iesniegt izskatīšanai Ministru kabinetā grozījumus Ministru kabineta 2021. gada 1. septembra rīkojumā Nr. 608 “Par valsts nekustamā īpašuma Jēkaba ielā 11, Rīgā, nodošanu Finanšu ministrijas valdījumā un finansējumu nekustamā īpašuma </w:t>
      </w:r>
      <w:r w:rsidRPr="00307028">
        <w:rPr>
          <w:rFonts w:eastAsiaTheme="minorHAnsi"/>
          <w:bCs/>
          <w:i/>
          <w:lang w:eastAsia="en-US"/>
        </w:rPr>
        <w:lastRenderedPageBreak/>
        <w:t>būvniecības projekta izdevumu segšanai”, precizējot 3. punktā norādīto finansējuma sadalījumu pa gadiem, samazinot 2022.–2025. gadam paredzēto finansējumu, vienlaikus palielinot 2026.–2027. gadam plānoto finansējumu.</w:t>
      </w:r>
      <w:r w:rsidRPr="00307028">
        <w:rPr>
          <w:rFonts w:eastAsiaTheme="minorHAnsi"/>
          <w:lang w:eastAsia="en-US"/>
        </w:rPr>
        <w:t>”</w:t>
      </w:r>
    </w:p>
    <w:p w14:paraId="4C3B149A" w14:textId="72F821E2"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2023. gada 5. janvārī ar MK rīkojumu Nr. 5 apstiprināti grozījumi MK 2021. gada 1. septembra rīkojumā Nr. 608 “Par valsts nekustamā īpašuma Jēkaba ielā 11, Rīgā, nodošanu </w:t>
      </w:r>
      <w:r w:rsidR="00426E8C" w:rsidRPr="00307028">
        <w:rPr>
          <w:rFonts w:eastAsiaTheme="minorHAnsi"/>
          <w:lang w:eastAsia="en-US"/>
        </w:rPr>
        <w:t>FM</w:t>
      </w:r>
      <w:r w:rsidRPr="00307028">
        <w:rPr>
          <w:rFonts w:eastAsiaTheme="minorHAnsi"/>
          <w:lang w:eastAsia="en-US"/>
        </w:rPr>
        <w:t xml:space="preserve"> valdījumā un finansējumu nekustamā īpašuma būvniecības projekta izdevumu segšanai”, precizējot 3.</w:t>
      </w:r>
      <w:r w:rsidR="00CB6DFF" w:rsidRPr="00307028">
        <w:rPr>
          <w:rFonts w:eastAsiaTheme="minorHAnsi"/>
          <w:lang w:eastAsia="en-US"/>
        </w:rPr>
        <w:t> </w:t>
      </w:r>
      <w:r w:rsidRPr="00307028">
        <w:rPr>
          <w:rFonts w:eastAsiaTheme="minorHAnsi"/>
          <w:lang w:eastAsia="en-US"/>
        </w:rPr>
        <w:t>punktā norādīto finansējuma sadalījumu pa gadiem, samazinot 2022.</w:t>
      </w:r>
      <w:r w:rsidR="00CB6DFF" w:rsidRPr="00307028">
        <w:rPr>
          <w:rFonts w:eastAsiaTheme="minorHAnsi"/>
          <w:lang w:eastAsia="en-US"/>
        </w:rPr>
        <w:t xml:space="preserve"> – </w:t>
      </w:r>
      <w:r w:rsidRPr="00307028">
        <w:rPr>
          <w:rFonts w:eastAsiaTheme="minorHAnsi"/>
          <w:lang w:eastAsia="en-US"/>
        </w:rPr>
        <w:t>2025.</w:t>
      </w:r>
      <w:r w:rsidR="007B6E39">
        <w:rPr>
          <w:rFonts w:eastAsiaTheme="minorHAnsi"/>
          <w:lang w:eastAsia="en-US"/>
        </w:rPr>
        <w:t> </w:t>
      </w:r>
      <w:r w:rsidRPr="00307028">
        <w:rPr>
          <w:rFonts w:eastAsiaTheme="minorHAnsi"/>
          <w:lang w:eastAsia="en-US"/>
        </w:rPr>
        <w:t>gadam paredzēto finansējumu, vienlaikus palielinot 2026.</w:t>
      </w:r>
      <w:r w:rsidR="000F2A9A" w:rsidRPr="00307028">
        <w:rPr>
          <w:rFonts w:eastAsiaTheme="minorHAnsi"/>
          <w:lang w:eastAsia="en-US"/>
        </w:rPr>
        <w:t> </w:t>
      </w:r>
      <w:r w:rsidR="00CB6DFF" w:rsidRPr="00307028">
        <w:rPr>
          <w:rFonts w:eastAsiaTheme="minorHAnsi"/>
          <w:lang w:eastAsia="en-US"/>
        </w:rPr>
        <w:t>–</w:t>
      </w:r>
      <w:r w:rsidR="000F2A9A" w:rsidRPr="00307028">
        <w:rPr>
          <w:rFonts w:eastAsiaTheme="minorHAnsi"/>
          <w:lang w:eastAsia="en-US"/>
        </w:rPr>
        <w:t> </w:t>
      </w:r>
      <w:r w:rsidRPr="00307028">
        <w:rPr>
          <w:rFonts w:eastAsiaTheme="minorHAnsi"/>
          <w:lang w:eastAsia="en-US"/>
        </w:rPr>
        <w:t>2027.</w:t>
      </w:r>
      <w:r w:rsidR="00CB6DFF" w:rsidRPr="00307028">
        <w:rPr>
          <w:rFonts w:eastAsiaTheme="minorHAnsi"/>
          <w:lang w:eastAsia="en-US"/>
        </w:rPr>
        <w:t> </w:t>
      </w:r>
      <w:r w:rsidRPr="00307028">
        <w:rPr>
          <w:rFonts w:eastAsiaTheme="minorHAnsi"/>
          <w:lang w:eastAsia="en-US"/>
        </w:rPr>
        <w:t>gadam plānoto finansējumu.</w:t>
      </w:r>
    </w:p>
    <w:p w14:paraId="11923F93"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40. punkts </w:t>
      </w:r>
      <w:r w:rsidRPr="00307028">
        <w:rPr>
          <w:rFonts w:eastAsiaTheme="minorHAnsi"/>
          <w:b/>
          <w:iCs/>
          <w:lang w:eastAsia="en-US"/>
        </w:rPr>
        <w:t xml:space="preserve">Iekšlietu ministrijai </w:t>
      </w:r>
      <w:r w:rsidRPr="00307028">
        <w:rPr>
          <w:rFonts w:eastAsiaTheme="minorHAnsi"/>
          <w:bCs/>
          <w:i/>
          <w:lang w:eastAsia="en-US"/>
        </w:rPr>
        <w:t>sagatavot un iekšlietu ministram normatīvajos aktos noteiktā kārtībā iesniegt izskatīšanai Ministru kabinetā grozījumus Ministru kabineta 2021. gada 2. novembra rīkojumā Nr. 775 “Par ceļu satiksmes pārkāpumu fiksēšanas tehnisko līdzekļu darbības nodrošināšanu” atbilstoši šī protokollēmuma 35. un 38. punktam.</w:t>
      </w:r>
      <w:r w:rsidRPr="00307028">
        <w:rPr>
          <w:rFonts w:eastAsiaTheme="minorHAnsi"/>
          <w:lang w:eastAsia="en-US"/>
        </w:rPr>
        <w:t>”</w:t>
      </w:r>
    </w:p>
    <w:p w14:paraId="329DA5E6"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2022. gada 11. oktobrī stājušies spēkā grozījumi attiecīgajā normatīvajā aktā.</w:t>
      </w:r>
    </w:p>
    <w:p w14:paraId="64F22492"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41. punkts </w:t>
      </w:r>
      <w:r w:rsidRPr="00307028">
        <w:rPr>
          <w:rFonts w:eastAsiaTheme="minorHAnsi"/>
          <w:bCs/>
          <w:i/>
          <w:lang w:eastAsia="en-US"/>
        </w:rPr>
        <w:t>Likumprojektā “Par valsts budžetu 2023. gadam” iekļaut pantu, kas nosaka – ja 2023.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r w:rsidRPr="00307028">
        <w:rPr>
          <w:rFonts w:eastAsiaTheme="minorHAnsi"/>
          <w:lang w:eastAsia="en-US"/>
        </w:rPr>
        <w:t>”</w:t>
      </w:r>
    </w:p>
    <w:p w14:paraId="3871E1D6"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Iekļauts likumā “Par valsts budžetu 2023. gadam un budžeta ietvaru 2023., 2024. un 2025. gadam” kā 61. pants.</w:t>
      </w:r>
    </w:p>
    <w:p w14:paraId="03F19EB2"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71. punkts </w:t>
      </w:r>
      <w:r w:rsidRPr="00307028">
        <w:rPr>
          <w:rFonts w:eastAsiaTheme="minorHAnsi"/>
          <w:b/>
          <w:iCs/>
          <w:lang w:eastAsia="en-US"/>
        </w:rPr>
        <w:t xml:space="preserve">Kultūras ministrijai </w:t>
      </w:r>
      <w:r w:rsidRPr="00307028">
        <w:rPr>
          <w:rFonts w:eastAsiaTheme="minorHAnsi"/>
          <w:bCs/>
          <w:i/>
          <w:lang w:eastAsia="en-US"/>
        </w:rPr>
        <w:t>sagatavot grozījumus Ministru kabineta 2018. gada 12. jūnija rīkojumā Nr. 267 “Par finansējumu Rīgas pils Konventa Pils laukumā 3, Rīgā un Muzeju krātuvju kompleksa Pulka ielā 8, Rīgā, būvniecības projekta, nomas maksas, pārcelšanās un aprīkojuma iegādes izdevumu segšanai”, paredzot Muzeju krātuvju kompleksam Pulka ielā 8, Rīgā, uzturēšanas izdevumiem 2023. gadā valsts budžeta finansējumu 653 469 euro apmērā, vienlaikus paredzot, ka ietaupītais finansējums 129 892 euro apmērā 2023. gadā ir novirzāms VSIA “Latvijas Leļļu teātris” pagaidu telpu nomai un uzturēšanai.</w:t>
      </w:r>
      <w:r w:rsidRPr="00307028">
        <w:rPr>
          <w:rFonts w:eastAsiaTheme="minorHAnsi"/>
          <w:lang w:eastAsia="en-US"/>
        </w:rPr>
        <w:t>”</w:t>
      </w:r>
    </w:p>
    <w:p w14:paraId="6761BEDF" w14:textId="0262B72F"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Nepieciešamās izmaiņas veiktas MK 2018. gada 12. jūnija rīkojumā Nr. 267 “Par finansējumu Rīgas pils Konventa Pils laukumā 3, Rīgā</w:t>
      </w:r>
      <w:r w:rsidR="00426E8C" w:rsidRPr="00307028">
        <w:rPr>
          <w:rFonts w:eastAsiaTheme="minorHAnsi"/>
          <w:lang w:eastAsia="en-US"/>
        </w:rPr>
        <w:t>,</w:t>
      </w:r>
      <w:r w:rsidRPr="00307028">
        <w:rPr>
          <w:rFonts w:eastAsiaTheme="minorHAnsi"/>
          <w:lang w:eastAsia="en-US"/>
        </w:rPr>
        <w:t xml:space="preserve"> un Muzeju krātuvju kompleksa Pulka ielā 8, Rīgā, būvniecības projekta, nomas maksas, pārcelšanās un aprīkojuma iegādes izdevumu segšanai”, kā arī veikta finansējuma pārdale starp budžeta programmām, kas iekļauta likumā “Par valsts budžetu 2023. gadam un budžeta ietvaru 2023., 2024. un 2025. gadam”.</w:t>
      </w:r>
    </w:p>
    <w:p w14:paraId="2BE4514C"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76. punkts </w:t>
      </w:r>
      <w:r w:rsidRPr="00307028">
        <w:rPr>
          <w:rFonts w:eastAsiaTheme="minorHAnsi"/>
          <w:b/>
          <w:iCs/>
          <w:lang w:eastAsia="en-US"/>
        </w:rPr>
        <w:t xml:space="preserve">Veselības ministrijai </w:t>
      </w:r>
      <w:r w:rsidRPr="00307028">
        <w:rPr>
          <w:rFonts w:eastAsiaTheme="minorHAnsi"/>
          <w:bCs/>
          <w:i/>
          <w:lang w:eastAsia="en-US"/>
        </w:rPr>
        <w:t>līdz 2023. gada 1. martam izvērtēt nepieciešamību ieviest stingrāku izsniegto S1 veidlapu kontroli, īpaši pensionāriem, kas visbiežāk izmanto pakalpojumus, un informēt par paveikto 2023. gada izdevumu pārskatīšanas ietvaros.</w:t>
      </w:r>
      <w:r w:rsidRPr="00307028">
        <w:rPr>
          <w:rFonts w:eastAsiaTheme="minorHAnsi"/>
          <w:lang w:eastAsia="en-US"/>
        </w:rPr>
        <w:t>”</w:t>
      </w:r>
    </w:p>
    <w:p w14:paraId="710F93BE"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lastRenderedPageBreak/>
        <w:t>Ir veikta pensionāriem izsniegto S1 veidlapu anulācijas kārtības aktualizēšana un noteikti konkrēti termiņi ikgadējām pārbaudēm, kas notiek vismaz reizi gadā, kā arī tiek veikta papildus pārbaude rēķinu apstrādes brīdī. Tika anulētas vairāk nekā 200 veidlapas, kas izsniegtas pensionāriem, kuri atgriezušies uz dzīvi Latvijā. Iepazīta arī citu valstu labā prakse, kas saistīta ar IT risinājumu efektivizēšanu, lai būtu iespējams veikt regulārākas pārbaudes un operatīvāk reaģēt uz veidlapas saņēmēju dzīvesvietas izmaiņām.</w:t>
      </w:r>
    </w:p>
    <w:p w14:paraId="7DA3D6A2"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77. punkts </w:t>
      </w:r>
      <w:r w:rsidRPr="00307028">
        <w:rPr>
          <w:rFonts w:eastAsiaTheme="minorHAnsi"/>
          <w:b/>
          <w:iCs/>
          <w:lang w:eastAsia="en-US"/>
        </w:rPr>
        <w:t xml:space="preserve">Veselības ministrijai </w:t>
      </w:r>
      <w:r w:rsidRPr="00307028">
        <w:rPr>
          <w:rFonts w:eastAsiaTheme="minorHAnsi"/>
          <w:bCs/>
          <w:i/>
          <w:lang w:eastAsia="en-US"/>
        </w:rPr>
        <w:t>līdz 2023. gada 1. martam veikt padziļinātu izpēti, lai izvērtētu lietderību ierobežot veselības aprūpes pakalpojumu saņemšanu divās valstīs (dzīvesvietas valstī un Latvijā) personām, kurām ir izsniegtas S1 veidlapas, un informēt par paveikto 2023. gada izdevumu pārskatīšanas ietvaros.</w:t>
      </w:r>
      <w:r w:rsidRPr="00307028">
        <w:rPr>
          <w:rFonts w:eastAsiaTheme="minorHAnsi"/>
          <w:lang w:eastAsia="en-US"/>
        </w:rPr>
        <w:t>”</w:t>
      </w:r>
    </w:p>
    <w:p w14:paraId="116DF360" w14:textId="54A76DF4"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Ir veikt</w:t>
      </w:r>
      <w:r w:rsidR="00BC7832" w:rsidRPr="00307028">
        <w:rPr>
          <w:rFonts w:eastAsiaTheme="minorHAnsi"/>
          <w:lang w:eastAsia="en-US"/>
        </w:rPr>
        <w:t>s</w:t>
      </w:r>
      <w:r w:rsidRPr="00307028">
        <w:rPr>
          <w:rFonts w:eastAsiaTheme="minorHAnsi"/>
          <w:lang w:eastAsia="en-US"/>
        </w:rPr>
        <w:t xml:space="preserve"> padziļināts izvērtējums par pensionāru saņemtajiem pakalpojumiem, kā rezultātā secināts, ka apmēram 10% no visiem pensionāriem ar spēkā esošām S1 veidlapām saņem kādus pakalpojumus arī Latvijā. Tā kā medicīnas pakalpojumu tarifi Latvijā ir zemāki, tad to saņemšana Latvijā nepalielina kopējos izdevumus. Vienlaikus, ļaujot pensionāriem saņemt pakalpojumus Latvijā, vidējo izmaksu valstis piešķir 20% samazinājumu saviem rēķiniem. Līdz ar to VM secina, ka pakalpojumu saņemšanas ierobežošana divās valstīs nešķiet lietderīga.</w:t>
      </w:r>
    </w:p>
    <w:p w14:paraId="421E5A5B" w14:textId="77777777" w:rsidR="008C7D85" w:rsidRPr="00307028" w:rsidRDefault="008C7D85" w:rsidP="000B531B">
      <w:pPr>
        <w:spacing w:before="120"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80. punkts </w:t>
      </w:r>
      <w:r w:rsidRPr="00307028">
        <w:rPr>
          <w:rFonts w:eastAsiaTheme="minorHAnsi"/>
          <w:b/>
          <w:iCs/>
          <w:lang w:eastAsia="en-US"/>
        </w:rPr>
        <w:t xml:space="preserve">Veselības ministrijai </w:t>
      </w:r>
      <w:r w:rsidRPr="00307028">
        <w:rPr>
          <w:rFonts w:eastAsiaTheme="minorHAnsi"/>
          <w:bCs/>
          <w:i/>
          <w:lang w:eastAsia="en-US"/>
        </w:rPr>
        <w:t>līdz 2022. gada 30. decembrim izvērtēt laboratoriju pārstrādes iemeslus un piedāvāt Ministru kabinetam priekšlikumus laboratorijas pakalpojumu finansiālās pieejamības uzlabošanai.</w:t>
      </w:r>
      <w:r w:rsidRPr="00307028">
        <w:rPr>
          <w:rFonts w:eastAsiaTheme="minorHAnsi"/>
          <w:lang w:eastAsia="en-US"/>
        </w:rPr>
        <w:t>”</w:t>
      </w:r>
    </w:p>
    <w:p w14:paraId="217D1C8B" w14:textId="35D59E01" w:rsidR="008C7D85" w:rsidRPr="00307028" w:rsidRDefault="008C7D85" w:rsidP="000B531B">
      <w:pPr>
        <w:spacing w:after="120" w:line="259" w:lineRule="auto"/>
        <w:ind w:firstLine="720"/>
        <w:jc w:val="both"/>
        <w:rPr>
          <w:rFonts w:eastAsiaTheme="minorEastAsia" w:cstheme="minorBidi"/>
          <w:szCs w:val="22"/>
          <w:lang w:eastAsia="en-US"/>
        </w:rPr>
      </w:pPr>
      <w:r w:rsidRPr="00307028">
        <w:rPr>
          <w:rFonts w:eastAsiaTheme="minorHAnsi"/>
          <w:lang w:eastAsia="en-US"/>
        </w:rPr>
        <w:t>VM veikusi nozaru speciālistu un asociāciju, kā arī klīnisko universitāšu slimnīcu aptauj</w:t>
      </w:r>
      <w:r w:rsidR="000515EB" w:rsidRPr="00307028">
        <w:rPr>
          <w:rFonts w:eastAsiaTheme="minorHAnsi"/>
          <w:lang w:eastAsia="en-US"/>
        </w:rPr>
        <w:t>u</w:t>
      </w:r>
      <w:r w:rsidRPr="00307028">
        <w:rPr>
          <w:rFonts w:eastAsiaTheme="minorHAnsi"/>
          <w:lang w:eastAsia="en-US"/>
        </w:rPr>
        <w:t xml:space="preserve"> par izmeklējumu nepieciešamību, aktualitāti, esošajiem apmaksas nosacījumiem, testēšanas algoritmiem. Savukārt VM izveidotajā laboratoriju darba grupā tika skatīti ar laboratorisko izmeklējumu plānošanu un apmaksu saistītie jautājumi, tostarp vērtēti iemesli laboratoriju pārstrādēm. Ziņojums par priekšlikumiem laboratorijas izmeklējumu finansiālās pieejamības uzlabošanai (23-TA-244) atrodas starpministriju saskaņošanā. 2023.</w:t>
      </w:r>
      <w:r w:rsidR="00426E8C" w:rsidRPr="00307028">
        <w:rPr>
          <w:rFonts w:eastAsiaTheme="minorHAnsi"/>
          <w:lang w:eastAsia="en-US"/>
        </w:rPr>
        <w:t xml:space="preserve"> gada 18.aprīlī</w:t>
      </w:r>
      <w:r w:rsidRPr="00307028">
        <w:rPr>
          <w:rFonts w:eastAsiaTheme="minorHAnsi"/>
          <w:lang w:eastAsia="en-US"/>
        </w:rPr>
        <w:t xml:space="preserve"> notika saskaņošanas sanāksme par </w:t>
      </w:r>
      <w:r w:rsidR="000515EB" w:rsidRPr="00307028">
        <w:rPr>
          <w:rFonts w:eastAsiaTheme="minorHAnsi"/>
          <w:lang w:eastAsia="en-US"/>
        </w:rPr>
        <w:t>FM</w:t>
      </w:r>
      <w:r w:rsidRPr="00307028">
        <w:rPr>
          <w:rFonts w:eastAsiaTheme="minorHAnsi"/>
          <w:lang w:eastAsia="en-US"/>
        </w:rPr>
        <w:t xml:space="preserve"> iebildumiem</w:t>
      </w:r>
      <w:r w:rsidR="00426E8C" w:rsidRPr="00307028">
        <w:rPr>
          <w:rFonts w:eastAsiaTheme="minorHAnsi"/>
          <w:lang w:eastAsia="en-US"/>
        </w:rPr>
        <w:t>, kā rezultātā</w:t>
      </w:r>
      <w:r w:rsidRPr="00307028">
        <w:rPr>
          <w:rFonts w:eastAsiaTheme="minorHAnsi"/>
          <w:lang w:eastAsia="en-US"/>
        </w:rPr>
        <w:t xml:space="preserve"> ziņojums </w:t>
      </w:r>
      <w:r w:rsidR="00426E8C" w:rsidRPr="00307028">
        <w:rPr>
          <w:rFonts w:eastAsiaTheme="minorHAnsi"/>
          <w:lang w:eastAsia="en-US"/>
        </w:rPr>
        <w:t xml:space="preserve">tika </w:t>
      </w:r>
      <w:r w:rsidRPr="00307028">
        <w:rPr>
          <w:rFonts w:eastAsiaTheme="minorHAnsi"/>
          <w:lang w:eastAsia="en-US"/>
        </w:rPr>
        <w:t>precizēts atbilstoši sanāksmē runātajam</w:t>
      </w:r>
      <w:r w:rsidR="007B59B6" w:rsidRPr="00307028">
        <w:rPr>
          <w:rFonts w:eastAsiaTheme="minorHAnsi"/>
          <w:lang w:eastAsia="en-US"/>
        </w:rPr>
        <w:t xml:space="preserve"> un ir</w:t>
      </w:r>
      <w:r w:rsidRPr="00307028">
        <w:rPr>
          <w:rFonts w:eastAsiaTheme="minorHAnsi"/>
          <w:lang w:eastAsia="en-US"/>
        </w:rPr>
        <w:t xml:space="preserve"> plānots pagarināt MK doto uzdevumu izpildes termiņus. VM arī veikusi lielāko laboratoriju līdzekļu izlietojumu analīzi, kurā salīdzinājusi laboratoriju faktiskos izdevumus par valsts apmaksātiem pakalpojumiem un valsts segto finansējumu. NVD līdz 2023. gada maijam saņēma 2022. gada pārskatus par līdzekļu izlietojumu un veiks datu analīzi, kas ļaus izdarīt secinājumus par nepieciešamajām izmaiņām laboratorisko pakalpojumu apmaksā. </w:t>
      </w:r>
    </w:p>
    <w:p w14:paraId="316E6858" w14:textId="77777777" w:rsidR="002F1C70" w:rsidRPr="00307028" w:rsidRDefault="002F1C70"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92. punkts </w:t>
      </w:r>
      <w:r w:rsidRPr="00307028">
        <w:rPr>
          <w:rFonts w:eastAsiaTheme="minorHAnsi"/>
          <w:b/>
          <w:bCs/>
          <w:lang w:eastAsia="en-US"/>
        </w:rPr>
        <w:t xml:space="preserve">Ministrijām un to padotībā esošajām valsts budžeta iestādēm </w:t>
      </w:r>
      <w:r w:rsidRPr="00307028">
        <w:rPr>
          <w:rFonts w:eastAsiaTheme="minorHAnsi"/>
          <w:i/>
          <w:iCs/>
          <w:lang w:eastAsia="en-US"/>
        </w:rPr>
        <w:t>turpināt izvērtēt to vajadzībām izmantotā nekustamā īpašuma (biroja telpu) noslodzi un iespējamo atteikšanos no nekustamā īpašuma (biroja telpām), to daļām, vai to apvienošanu, pāreju uz koplietojamām biroja telpām un informēt par paveikto 2023. gada izdevumu pārskatīšanas ietvaros.</w:t>
      </w:r>
      <w:r w:rsidRPr="00307028">
        <w:rPr>
          <w:rFonts w:eastAsiaTheme="minorHAnsi"/>
          <w:lang w:eastAsia="en-US"/>
        </w:rPr>
        <w:t>”</w:t>
      </w:r>
    </w:p>
    <w:p w14:paraId="73A5C298" w14:textId="77777777" w:rsidR="002F1C70" w:rsidRPr="00307028" w:rsidRDefault="002F1C70" w:rsidP="000B531B">
      <w:pPr>
        <w:spacing w:after="120" w:line="259" w:lineRule="auto"/>
        <w:ind w:firstLine="709"/>
        <w:jc w:val="both"/>
        <w:rPr>
          <w:rFonts w:eastAsiaTheme="minorHAnsi"/>
          <w:lang w:eastAsia="en-US"/>
        </w:rPr>
      </w:pPr>
      <w:r w:rsidRPr="00307028">
        <w:rPr>
          <w:rFonts w:eastAsiaTheme="minorHAnsi"/>
          <w:lang w:eastAsia="en-US"/>
        </w:rPr>
        <w:t>Ministrijas turpina izvērtēt to lietošanā esošo nekustamo īpašumu. Atsevišķas ministrijas secinājušas, ka telpu apjomu samazināt nav iespējams, kamēr citas norāda, ka tiek samazinātas izmantojamās platības, tādējādi rodot finansiālu ietaupījumu.</w:t>
      </w:r>
    </w:p>
    <w:p w14:paraId="39273E20" w14:textId="77777777" w:rsidR="002F1C70" w:rsidRPr="00307028" w:rsidRDefault="002F1C70"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93. punkts </w:t>
      </w:r>
      <w:r w:rsidRPr="00307028">
        <w:rPr>
          <w:rFonts w:eastAsiaTheme="minorHAnsi"/>
          <w:b/>
          <w:bCs/>
          <w:lang w:eastAsia="en-US"/>
        </w:rPr>
        <w:t xml:space="preserve">Ministrijām </w:t>
      </w:r>
      <w:r w:rsidRPr="00307028">
        <w:rPr>
          <w:rFonts w:eastAsiaTheme="minorHAnsi"/>
          <w:i/>
          <w:iCs/>
          <w:lang w:eastAsia="en-US"/>
        </w:rPr>
        <w:t>likumprojektā "Par valsts budžetu 2023. gadam" izvērtēt iespēju iestrādāt pašu ieņēmumu atlikumus, lai daļēji finansētu nozaru prioritāros pasākumus.</w:t>
      </w:r>
      <w:r w:rsidRPr="00307028">
        <w:rPr>
          <w:rFonts w:eastAsiaTheme="minorHAnsi"/>
          <w:lang w:eastAsia="en-US"/>
        </w:rPr>
        <w:t>”</w:t>
      </w:r>
    </w:p>
    <w:p w14:paraId="318723AC" w14:textId="77777777" w:rsidR="002F1C70" w:rsidRPr="00307028" w:rsidRDefault="002F1C70" w:rsidP="000B531B">
      <w:pPr>
        <w:spacing w:after="120" w:line="259" w:lineRule="auto"/>
        <w:ind w:firstLine="709"/>
        <w:jc w:val="both"/>
        <w:rPr>
          <w:rFonts w:eastAsiaTheme="minorHAnsi"/>
          <w:lang w:eastAsia="en-US"/>
        </w:rPr>
      </w:pPr>
      <w:r w:rsidRPr="00307028">
        <w:rPr>
          <w:rFonts w:eastAsiaTheme="minorHAnsi"/>
          <w:lang w:eastAsia="en-US"/>
        </w:rPr>
        <w:t>ĀM bāzes izdevumos iestrādājusi 390 400 </w:t>
      </w:r>
      <w:r w:rsidRPr="00307028">
        <w:rPr>
          <w:rFonts w:eastAsiaTheme="minorHAnsi"/>
          <w:i/>
          <w:iCs/>
          <w:lang w:eastAsia="en-US"/>
        </w:rPr>
        <w:t>euro</w:t>
      </w:r>
      <w:r w:rsidRPr="00307028">
        <w:rPr>
          <w:rFonts w:eastAsiaTheme="minorHAnsi"/>
          <w:lang w:eastAsia="en-US"/>
        </w:rPr>
        <w:t xml:space="preserve"> no pašu ieņēmumu atlikumiem materiāltehniskajam nodrošinājumam, tai skaitā Kiberdrošības stratēģijā ietverto pasākumu īstenošanai. SM likuma “Par valsts budžetu 2023. gadam un budžeta ietvaru 2023., 2024. un </w:t>
      </w:r>
      <w:r w:rsidRPr="00307028">
        <w:rPr>
          <w:rFonts w:eastAsiaTheme="minorHAnsi"/>
          <w:lang w:eastAsia="en-US"/>
        </w:rPr>
        <w:lastRenderedPageBreak/>
        <w:t>2025. gadam” sagatavošanas procesā veiktas izmaiņas pašu ieņēmumu atlikumos (palielināti pašu ieņēmumu atlikumi 2024. gadā, bet samazināti 2023. un 2025. gadā), tos paredzot kārtējo izdevumu segšanai. ZM veikusi izmaiņas saskaņā ar MK 2022. gada 11. oktobra sēdes protokola Nr. 52 5. § 46. punktā noteikto. VM 2023. gadā ir iesniegusi priekšlikumus FM par apropriācijas palielinājumu saistībā ar pašu ieņēmumu atlikumiem uz 2023. gada sākumu, lai daļēji finansētu nozares neatliekamos, prioritāros pasākumus.</w:t>
      </w:r>
    </w:p>
    <w:p w14:paraId="57BCBEE9" w14:textId="77777777" w:rsidR="008C7D85" w:rsidRPr="00307028" w:rsidRDefault="008C7D85" w:rsidP="000B531B">
      <w:pPr>
        <w:spacing w:before="240" w:after="120" w:line="259" w:lineRule="auto"/>
        <w:jc w:val="both"/>
        <w:rPr>
          <w:rFonts w:eastAsiaTheme="minorHAnsi"/>
          <w:b/>
          <w:u w:val="single"/>
          <w:lang w:eastAsia="en-US"/>
        </w:rPr>
      </w:pPr>
      <w:r w:rsidRPr="00307028">
        <w:rPr>
          <w:rFonts w:eastAsiaTheme="minorHAnsi"/>
          <w:b/>
          <w:u w:val="single"/>
          <w:lang w:eastAsia="en-US"/>
        </w:rPr>
        <w:t>Uzsāktie uzdevumi:</w:t>
      </w:r>
    </w:p>
    <w:p w14:paraId="7EF4D63E"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52. punkts </w:t>
      </w:r>
      <w:r w:rsidRPr="00307028">
        <w:rPr>
          <w:rFonts w:eastAsiaTheme="minorHAnsi"/>
          <w:b/>
          <w:bCs/>
          <w:lang w:eastAsia="en-US"/>
        </w:rPr>
        <w:t xml:space="preserve">Zemkopības ministrijai sadarbībā ar Finanšu ministriju (Valsts ieņēmumu dienestu) </w:t>
      </w:r>
      <w:r w:rsidRPr="00307028">
        <w:rPr>
          <w:rFonts w:eastAsiaTheme="minorHAnsi"/>
          <w:i/>
          <w:iCs/>
          <w:lang w:eastAsia="en-US"/>
        </w:rPr>
        <w:t>sagatavot nepieciešamos grozījumus normatīvajos aktos, lai nodrošinātu vienkāršotu iedzīvotāju ienākuma nodokļa piemērošanu mājas (istabas) dzīvnieku (suņu un kaķu) audzētāju ienākumiem, sasaistot to ar mājas (istabas) dzīvnieku reģistra datubāzē esošajiem datiem.</w:t>
      </w:r>
      <w:r w:rsidRPr="00307028">
        <w:rPr>
          <w:rFonts w:eastAsiaTheme="minorHAnsi"/>
          <w:lang w:eastAsia="en-US"/>
        </w:rPr>
        <w:t>”</w:t>
      </w:r>
    </w:p>
    <w:p w14:paraId="11CC146B"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ZM norāda, ka no Latvijas Kinoloģijas federācijas saņemti priekšlikumi nodokļu režīma sakārtošanai attiecībā uz dzīvnieku audzētāju un pavairotāju gūtajiem ieņēmumiem. ZM atbilstoši savai kompetencei ir izvērtējusi attiecīgos priekšlikumus un plāno aicināt FM pārstāvjus uz diskusiju par iespēju vienkāršot iedzīvotāju ienākuma nodokļa nomaksu suņu un kaķu audzētājiem.</w:t>
      </w:r>
    </w:p>
    <w:p w14:paraId="5D380524"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78. punkts </w:t>
      </w:r>
      <w:r w:rsidRPr="00307028">
        <w:rPr>
          <w:rFonts w:eastAsiaTheme="minorHAnsi"/>
          <w:b/>
          <w:bCs/>
          <w:lang w:eastAsia="en-US"/>
        </w:rPr>
        <w:t xml:space="preserve">Veselības ministrijai </w:t>
      </w:r>
      <w:r w:rsidRPr="00307028">
        <w:rPr>
          <w:rFonts w:eastAsiaTheme="minorHAnsi"/>
          <w:i/>
          <w:iCs/>
          <w:lang w:eastAsia="en-US"/>
        </w:rPr>
        <w:t>līdz 2023.gada 30. decembrim kompensējamiem medikamentiem ieviest papildu references valstis un nodrošināt biežāku starptautiskās referencēšanas veikšanu.</w:t>
      </w:r>
      <w:r w:rsidRPr="00307028">
        <w:rPr>
          <w:rFonts w:eastAsiaTheme="minorHAnsi"/>
          <w:lang w:eastAsia="en-US"/>
        </w:rPr>
        <w:t>”</w:t>
      </w:r>
    </w:p>
    <w:p w14:paraId="492A1FBA"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NVD notiek darbs pie papildus references valstu izvēles, jo ir iezīmējies risks, ka izvētoties par references valsti tikai valsti ar viszemākajām medikamentu cenām, neņemot vērā tirgus lielumu, Latvijas tirgu var pamest medikamentu ražotāji, jo tie nespēj piedāvāt Latvijas pacientiem tik zemas cenas.</w:t>
      </w:r>
    </w:p>
    <w:p w14:paraId="701000C1"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79. punkts </w:t>
      </w:r>
      <w:r w:rsidRPr="00307028">
        <w:rPr>
          <w:rFonts w:eastAsiaTheme="minorHAnsi"/>
          <w:b/>
          <w:bCs/>
          <w:lang w:eastAsia="en-US"/>
        </w:rPr>
        <w:t xml:space="preserve">Veselības ministrijai </w:t>
      </w:r>
      <w:r w:rsidRPr="00307028">
        <w:rPr>
          <w:rFonts w:eastAsiaTheme="minorHAnsi"/>
          <w:i/>
          <w:iCs/>
          <w:lang w:eastAsia="en-US"/>
        </w:rPr>
        <w:t>līdz 2022. gada 30. decembrim veikt minimālo izmeklējumu apjoma noteikšanu pirms noteiktu veselības aprūpes pakalpojumu saņemšanas ieviešanas, kā arī izvērtēt un aktualizēt Ministru kabineta 2017. gada 7. marta noteikumus Nr. 125 “Noteikumi par kārtību, kādā piešķir un anulē nacionālās references laboratorijas statusu epidemioloģiskās drošības jomā vai aptur tās darbību, kā arī par nacionālās references laboratorijas tiesībām un pienākumiem”, kuri nosaka references laboratorijas izmeklējumu apjomu un kompetenci.</w:t>
      </w:r>
      <w:r w:rsidRPr="00307028">
        <w:rPr>
          <w:rFonts w:eastAsiaTheme="minorHAnsi"/>
          <w:lang w:eastAsia="en-US"/>
        </w:rPr>
        <w:t>”</w:t>
      </w:r>
    </w:p>
    <w:p w14:paraId="30F9D251"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VM ir izvērtējusi MK 2017. gada 7. marta noteikumus Nr. 125 “Noteikumi par kārtību, kādā piešķir un anulē nacionālās references laboratorijas statusu epidemioloģiskās drošības jomā vai aptur tās darbību, kā arī par nacionālās references laboratorijas tiesībām un pienākumiem” un secina, ka šobrīd nav nepieciešamas izmaiņas Nacionālās references laboratorijas kompetencēs. Noteikumi nenosaka izmeklējumu apjomu, jo tas atspoguļots līgumā ar NVD. Savukārt NVD sadarbojas Nacionālo references laboratoriju par tās atbildībā esošajiem izmeklējumiem, kā arī nepieciešamajiem ierobežojumiem citām laboratorijām. Līdz ar to VM lūdz šo protokollēmuma punkta daļu atzīt par aktualitāti zaudējušu.</w:t>
      </w:r>
    </w:p>
    <w:p w14:paraId="7B063DF8" w14:textId="682E982A"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Savukārt, lai mazinātu laboratorisko izmeklējumu skaitu un ietaupītu valsts budžeta līdzekļus, NVD sadarbībā ar </w:t>
      </w:r>
      <w:r w:rsidR="00477CAF" w:rsidRPr="00307028">
        <w:rPr>
          <w:rFonts w:eastAsiaTheme="minorHAnsi"/>
          <w:lang w:eastAsia="en-US"/>
        </w:rPr>
        <w:t>VM</w:t>
      </w:r>
      <w:r w:rsidRPr="00307028">
        <w:rPr>
          <w:rFonts w:eastAsiaTheme="minorHAnsi"/>
          <w:lang w:eastAsia="en-US"/>
        </w:rPr>
        <w:t xml:space="preserve"> un nozares speciālistiem ir sagatavojis algoritmu minimālajam izmeklējumu apjomam pirms operācijām. Šī kārtība paredzēta sekundārās veselības aprūpes pakalpojumu sniedzējiem, kas nosūta pacientus uz plānveida operācijām, pirms kurām ir nepieciešams veikt papildu izmeklējumus un/vai specialistu konsultācijas. NVD </w:t>
      </w:r>
      <w:r w:rsidRPr="00307028">
        <w:rPr>
          <w:rFonts w:eastAsiaTheme="minorHAnsi"/>
          <w:lang w:eastAsia="en-US"/>
        </w:rPr>
        <w:lastRenderedPageBreak/>
        <w:t>šo minimālā izmeklējumu apjoma metodiku plāno iekļaut līgumos un uzraudzīt ieviešanu ārstniecības iestādēs.</w:t>
      </w:r>
    </w:p>
    <w:p w14:paraId="39845D69"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82. punkts </w:t>
      </w:r>
      <w:r w:rsidRPr="00307028">
        <w:rPr>
          <w:rFonts w:eastAsiaTheme="minorHAnsi"/>
          <w:b/>
          <w:bCs/>
          <w:lang w:eastAsia="en-US"/>
        </w:rPr>
        <w:t xml:space="preserve">Veselības ministrijai </w:t>
      </w:r>
      <w:r w:rsidRPr="00307028">
        <w:rPr>
          <w:rFonts w:eastAsiaTheme="minorHAnsi"/>
          <w:i/>
          <w:iCs/>
          <w:lang w:eastAsia="en-US"/>
        </w:rPr>
        <w:t>līdz 2023. gada 30. decembrim izveidot vienotu laboratorisko izmeklējumu sistēmu, tai skaitā e-nosūtījuma izveidi</w:t>
      </w:r>
      <w:r w:rsidRPr="00307028">
        <w:rPr>
          <w:rFonts w:eastAsiaTheme="minorHAnsi"/>
          <w:lang w:eastAsia="en-US"/>
        </w:rPr>
        <w:t>.”</w:t>
      </w:r>
    </w:p>
    <w:p w14:paraId="26006AF9" w14:textId="5F1B6EF8"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VM norāda, ka 2022. gadā veikts Laboratorisko izmeklējumu pārvaldības informācijas sistēmas izstrādes sākotnējais posms – laboratorisko izmeklējumu rezultātu tehnoloģiskais slānis (datu bāzes struktūra un klasifikatori, datu validācija, integritāte un drošība, autentifikācija, autorizācija, auditācija), lietotāju saskarne un dizains (jauns dizains un lietojamība “DigiVes”, iedzīvotāja profils, ārstniecības personas profils) un </w:t>
      </w:r>
      <w:r w:rsidR="00477CAF" w:rsidRPr="00307028">
        <w:rPr>
          <w:rFonts w:eastAsiaTheme="minorHAnsi"/>
          <w:lang w:eastAsia="en-US"/>
        </w:rPr>
        <w:t>universāla</w:t>
      </w:r>
      <w:r w:rsidRPr="00307028">
        <w:rPr>
          <w:rFonts w:eastAsiaTheme="minorHAnsi"/>
          <w:lang w:eastAsia="en-US"/>
        </w:rPr>
        <w:t xml:space="preserve"> datu apmaiņas </w:t>
      </w:r>
      <w:r w:rsidR="00477CAF" w:rsidRPr="00307028">
        <w:rPr>
          <w:rFonts w:eastAsiaTheme="minorHAnsi"/>
          <w:lang w:eastAsia="en-US"/>
        </w:rPr>
        <w:t>lietojumprogrammas saskarne</w:t>
      </w:r>
      <w:r w:rsidRPr="00307028">
        <w:rPr>
          <w:rFonts w:eastAsiaTheme="minorHAnsi"/>
          <w:lang w:eastAsia="en-US"/>
        </w:rPr>
        <w:t xml:space="preserve"> (rezultātu saņemšana un nosūtīšana). Ir sagatavota un NVD infrastruktūrā integrēta testa vide.</w:t>
      </w:r>
    </w:p>
    <w:p w14:paraId="7914A686" w14:textId="67788AFD" w:rsidR="008C7D85" w:rsidRPr="00307028" w:rsidRDefault="008C7D85" w:rsidP="000B531B">
      <w:pPr>
        <w:spacing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Tāpat 2022. gada laikā norisinājušās vairāk nekā 35 sanāksmes, kuru laikā tika veikta jaunā laboratoriju moduļu izstrāde un pārskatītas gandrīz visas (vairāk kā 1200 manipulācijas) laboratoriskās manipulācijas, lai piemeklētu atbilstošo kodu – pārietu uz rezultātu digitalizāciju, kas ierobežos atkārtotus izmeklējumus.</w:t>
      </w:r>
    </w:p>
    <w:p w14:paraId="28455B3E" w14:textId="118D9A88" w:rsidR="008C7D85" w:rsidRPr="00307028" w:rsidRDefault="008C7D85" w:rsidP="000B531B">
      <w:pPr>
        <w:spacing w:after="120" w:line="259" w:lineRule="auto"/>
        <w:ind w:firstLine="720"/>
        <w:jc w:val="both"/>
        <w:rPr>
          <w:rFonts w:eastAsiaTheme="minorEastAsia" w:cstheme="minorBidi"/>
          <w:szCs w:val="22"/>
          <w:lang w:eastAsia="en-US"/>
        </w:rPr>
      </w:pPr>
      <w:r w:rsidRPr="00307028">
        <w:rPr>
          <w:rFonts w:eastAsiaTheme="minorEastAsia" w:cstheme="minorBidi"/>
          <w:szCs w:val="22"/>
          <w:lang w:eastAsia="en-US"/>
        </w:rPr>
        <w:t>NVD ir iesniedzis VM priekšlikumus grozījumiem 2014. gada 11. marta MK noteikumos Nr. 134 “Noteikumi par vienoto veselības nozares elektronisko informācijas sistēmu”, lai noteiktu obligāti uzkrājamo informācijas apjomu par laboratoriskajiem izmeklējumiem un uzdotu par pienākumu ārstniecības iestādēm attiecīgo informāciju (strukturētā veidā) nodo</w:t>
      </w:r>
      <w:r w:rsidR="004545C4" w:rsidRPr="00307028">
        <w:rPr>
          <w:rFonts w:eastAsiaTheme="minorEastAsia" w:cstheme="minorBidi"/>
          <w:szCs w:val="22"/>
          <w:lang w:eastAsia="en-US"/>
        </w:rPr>
        <w:t>t</w:t>
      </w:r>
      <w:r w:rsidRPr="00307028">
        <w:rPr>
          <w:rFonts w:eastAsiaTheme="minorEastAsia" w:cstheme="minorBidi"/>
          <w:szCs w:val="22"/>
          <w:lang w:eastAsia="en-US"/>
        </w:rPr>
        <w:t xml:space="preserve"> laboratorisko izmeklējumu pārvaldības sistēmai.</w:t>
      </w:r>
    </w:p>
    <w:p w14:paraId="07CA170B"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83. punkts </w:t>
      </w:r>
      <w:r w:rsidRPr="00307028">
        <w:rPr>
          <w:rFonts w:eastAsiaTheme="minorHAnsi"/>
          <w:b/>
          <w:bCs/>
          <w:lang w:eastAsia="en-US"/>
        </w:rPr>
        <w:t xml:space="preserve">Veselības ministrijai </w:t>
      </w:r>
      <w:r w:rsidRPr="00307028">
        <w:rPr>
          <w:rFonts w:eastAsiaTheme="minorHAnsi"/>
          <w:i/>
          <w:iCs/>
          <w:lang w:eastAsia="en-US"/>
        </w:rPr>
        <w:t>līdz 2024. gada 30. decembrim izstrādāt algoritmu un klīnisko ceļu karti.</w:t>
      </w:r>
      <w:r w:rsidRPr="00307028">
        <w:rPr>
          <w:rFonts w:eastAsiaTheme="minorHAnsi"/>
          <w:lang w:eastAsia="en-US"/>
        </w:rPr>
        <w:t>”</w:t>
      </w:r>
    </w:p>
    <w:p w14:paraId="6EE2B957" w14:textId="44DF78CD" w:rsidR="008C7D85" w:rsidRPr="00307028" w:rsidRDefault="008C7D85" w:rsidP="000B531B">
      <w:pPr>
        <w:spacing w:after="120" w:line="259" w:lineRule="auto"/>
        <w:ind w:firstLine="720"/>
        <w:jc w:val="both"/>
        <w:rPr>
          <w:rFonts w:eastAsiaTheme="minorEastAsia" w:cstheme="minorBidi"/>
          <w:szCs w:val="22"/>
          <w:lang w:eastAsia="en-US"/>
        </w:rPr>
      </w:pPr>
      <w:r w:rsidRPr="00307028">
        <w:rPr>
          <w:rFonts w:eastAsiaTheme="minorHAnsi"/>
          <w:lang w:eastAsia="en-US"/>
        </w:rPr>
        <w:t xml:space="preserve">Algoritmi un klīniskie ceļi ir izstrādāti nelielai daļai slimību, papildu algoritmu izstrādei nepieciešams finansējums. Uzdevuma izpilde saistīta ar Laboratorisko izmeklējumu pārvaldības sistēmas izstrādi un ieviešanu. Sistēma nodrošinās, ka ārstam, kas pacientu konsultēs, ārstēs vai nosūtīs uz izmeklējumu, būs pieejama informācija par iepriekš veiktajiem izmeklējumiem un to rezultātiem, no kā </w:t>
      </w:r>
      <w:r w:rsidR="007B59B6" w:rsidRPr="00307028">
        <w:rPr>
          <w:rFonts w:eastAsiaTheme="minorHAnsi"/>
          <w:lang w:eastAsia="en-US"/>
        </w:rPr>
        <w:t>būs atkarīga turpmākā ārstēšana</w:t>
      </w:r>
      <w:r w:rsidRPr="00307028">
        <w:rPr>
          <w:rFonts w:eastAsiaTheme="minorHAnsi"/>
          <w:lang w:eastAsia="en-US"/>
        </w:rPr>
        <w:t>. Arī minimālā izmeklējumu apjoma noteikšana, izmeklējumu regularitātes noteikšana, kā arī tādu izmeklējumu definēšana, ko mūža laikā atkārtoti neveic, ir daļa no algoritma.</w:t>
      </w:r>
    </w:p>
    <w:p w14:paraId="3409E9A9" w14:textId="77777777" w:rsidR="00B4439F" w:rsidRPr="00307028" w:rsidRDefault="00B4439F"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84. punkts </w:t>
      </w:r>
      <w:r w:rsidRPr="00307028">
        <w:rPr>
          <w:rFonts w:eastAsiaTheme="minorHAnsi"/>
          <w:b/>
          <w:bCs/>
          <w:lang w:eastAsia="en-US"/>
        </w:rPr>
        <w:t xml:space="preserve">Vides aizsardzības un reģionālās attīstības ministrijai </w:t>
      </w:r>
      <w:r w:rsidRPr="00307028">
        <w:rPr>
          <w:rFonts w:eastAsiaTheme="minorHAnsi"/>
          <w:i/>
          <w:iCs/>
          <w:lang w:eastAsia="en-US"/>
        </w:rPr>
        <w:t>līdz 2023. gada 31. decembrim izstrādāt un publicēt Vides aizsardzības un reģionālās attīstības ministrijas tīmekļvietnē jaunu versiju valsts pārvaldes vienotās informācijas un komunikācijas tehnoloģijas arhitektūras principiem, tajos iekļaujot informācijas un komunikācijas tehnoloģiju resursu un pakalpojumu pieejamības nodrošinājuma un ar to saistīto izmaksu jautājumus, kā arī definējot valsts pārvaldes tehnoloģiskā nodrošinājuma jomas, kurām tiks izstrādātas domēnu arhitektūras.</w:t>
      </w:r>
      <w:r w:rsidRPr="00307028">
        <w:rPr>
          <w:rFonts w:eastAsiaTheme="minorHAnsi"/>
          <w:lang w:eastAsia="en-US"/>
        </w:rPr>
        <w:t>”</w:t>
      </w:r>
    </w:p>
    <w:p w14:paraId="7B55D11B" w14:textId="77777777" w:rsidR="00B4439F" w:rsidRPr="00307028" w:rsidRDefault="00B4439F"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2023. gada 31. decembris.</w:t>
      </w:r>
    </w:p>
    <w:p w14:paraId="2643FB69" w14:textId="77777777" w:rsidR="00B4439F" w:rsidRPr="00307028" w:rsidRDefault="00B4439F"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85. punkts </w:t>
      </w:r>
      <w:r w:rsidRPr="00307028">
        <w:rPr>
          <w:rFonts w:eastAsiaTheme="minorHAnsi"/>
          <w:b/>
          <w:bCs/>
          <w:lang w:eastAsia="en-US"/>
        </w:rPr>
        <w:t xml:space="preserve">Vides aizsardzības un reģionālās attīstības ministrijai sadarbībā ar Finanšu ministriju (Valsts kasi) un Valsts kanceleju </w:t>
      </w:r>
      <w:r w:rsidRPr="00307028">
        <w:rPr>
          <w:rFonts w:eastAsiaTheme="minorHAnsi"/>
          <w:i/>
          <w:iCs/>
          <w:lang w:eastAsia="en-US"/>
        </w:rPr>
        <w:t xml:space="preserve">grāmatvedības un cilvēkresursu pārvaldības centralizācijas projekta ietvaros, bet ne vēlāk kā līdz 2023. gada 31. decembrim, izstrādāt priekšlikumus un norādījumus precizējumiem informācijas un komunikācijas tehnoloģiju jomas izdevumu un investīciju uzskaitei, kas nodrošina investīciju un izdevumu sasaisti ar valsts pārvaldes informācijas un komunikācijas tehnoloģiju resursu un pakalpojumu uzskaites </w:t>
      </w:r>
      <w:r w:rsidRPr="00307028">
        <w:rPr>
          <w:rFonts w:eastAsiaTheme="minorHAnsi"/>
          <w:i/>
          <w:iCs/>
          <w:lang w:eastAsia="en-US"/>
        </w:rPr>
        <w:lastRenderedPageBreak/>
        <w:t>sistēmā "Valsts informācijas resursu, sistēmu un sadarbspējas informācijas sistēmā" (VIRSIS) reģistrējamiem informācijas un komunikācijas tehnoloģiju resursiem un pakalpojumiem.</w:t>
      </w:r>
      <w:r w:rsidRPr="00307028">
        <w:rPr>
          <w:rFonts w:eastAsiaTheme="minorHAnsi"/>
          <w:lang w:eastAsia="en-US"/>
        </w:rPr>
        <w:t>”</w:t>
      </w:r>
    </w:p>
    <w:p w14:paraId="1910B5B3" w14:textId="77777777" w:rsidR="00B4439F" w:rsidRPr="00307028" w:rsidRDefault="00B4439F"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2023. gada 31. decembris.</w:t>
      </w:r>
    </w:p>
    <w:p w14:paraId="3117639A" w14:textId="77777777" w:rsidR="00B4439F" w:rsidRPr="00307028" w:rsidRDefault="00B4439F"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86. punkts </w:t>
      </w:r>
      <w:r w:rsidRPr="00307028">
        <w:rPr>
          <w:rFonts w:eastAsiaTheme="minorHAnsi"/>
          <w:b/>
          <w:bCs/>
          <w:lang w:eastAsia="en-US"/>
        </w:rPr>
        <w:t xml:space="preserve">Vides aizsardzības un reģionālās attīstības ministrijai </w:t>
      </w:r>
      <w:r w:rsidRPr="00307028">
        <w:rPr>
          <w:rFonts w:eastAsiaTheme="minorHAnsi"/>
          <w:i/>
          <w:iCs/>
          <w:lang w:eastAsia="en-US"/>
        </w:rPr>
        <w:t>līdz 2024. gada 30. jūnijam</w:t>
      </w:r>
      <w:r w:rsidRPr="00307028">
        <w:rPr>
          <w:rFonts w:eastAsiaTheme="minorHAnsi"/>
          <w:b/>
          <w:bCs/>
          <w:lang w:eastAsia="en-US"/>
        </w:rPr>
        <w:t xml:space="preserve"> sadarbībā ar ministrijām </w:t>
      </w:r>
      <w:r w:rsidRPr="00307028">
        <w:rPr>
          <w:rFonts w:eastAsiaTheme="minorHAnsi"/>
          <w:i/>
          <w:iCs/>
          <w:lang w:eastAsia="en-US"/>
        </w:rPr>
        <w:t>izstrādāt un publicēt Vides aizsardzības un reģionālās attīstības ministrijas tīmekļvietnē valsts pārvaldes informācijas un komunikācijas tehnoloģiju izdevumu vērtēšanas metodiku, kā arī līdz 2025. gada 30. jūnijam nodrošināt, ka valsts pārvaldes informācijas un komunikācijas tehnoloģiju resursi un pakalpojumi tiek reģistrēti valsts pārvaldes informācijas un komunikācijas tehnoloģiju resursu un pakalpojumu uzskaites sistēmā "Valsts informācijas resursu, sistēmu un sadarbspējas informācijas sistēmā" (VIRSIS), nodrošinot datu strukturējumu un kvalitāti, kas ir pietiekama "Valsts informācijas resursu, sistēmu un sadarbspējas informācijas sistēmas" (VIRSIS) datu pilnvērtīgai izmantošanai informācijas un komunikācijas tehnoloģiju izdevumu vērtēšanai.</w:t>
      </w:r>
      <w:r w:rsidRPr="00307028">
        <w:rPr>
          <w:rFonts w:eastAsiaTheme="minorHAnsi"/>
          <w:lang w:eastAsia="en-US"/>
        </w:rPr>
        <w:t>”</w:t>
      </w:r>
    </w:p>
    <w:p w14:paraId="6954E109" w14:textId="77777777" w:rsidR="00B4439F" w:rsidRPr="00307028" w:rsidRDefault="00B4439F"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2024. gada 30. jūnijs.</w:t>
      </w:r>
    </w:p>
    <w:p w14:paraId="784A0B28" w14:textId="3A7CFB6F" w:rsidR="00B4439F" w:rsidRPr="00307028" w:rsidRDefault="00B4439F"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87. punkts </w:t>
      </w:r>
      <w:r w:rsidRPr="00307028">
        <w:rPr>
          <w:rFonts w:eastAsiaTheme="minorHAnsi"/>
          <w:b/>
          <w:bCs/>
          <w:lang w:eastAsia="en-US"/>
        </w:rPr>
        <w:t xml:space="preserve">Vides aizsardzības un reģionālās attīstības ministrijai sadarbībā ar Satiksmes ministriju, Kultūras ministriju, Iekšlietu ministriju un Zemkopības ministriju </w:t>
      </w:r>
      <w:r w:rsidRPr="00307028">
        <w:rPr>
          <w:rFonts w:eastAsiaTheme="minorHAnsi"/>
          <w:i/>
          <w:iCs/>
          <w:lang w:eastAsia="en-US"/>
        </w:rPr>
        <w:t>līdz 2024. gada 31. decembrim sagatavot izmaiņas normatīvajos aktos, kas nosaka Valsts pārvaldes "federētā mākoņa" (4 savstarpēji integrēto valsts koplietošanas mākoņdatošanas pakalpojumu sniedzēju) pakalpojumu attīstības nodrošināšanai saistīto pamatlīdzekļu un izdevumu uzskaiti, lai nodrošinātu informācijas un komunikācijas tehnoloģiju infrastruktūras koplietošanas pakalpojumu sniegšanas izmaksu caurskatāmību un nodalījumu no pārējām darbības izmaksām.</w:t>
      </w:r>
      <w:r w:rsidRPr="00307028">
        <w:rPr>
          <w:rFonts w:eastAsiaTheme="minorHAnsi"/>
          <w:lang w:eastAsia="en-US"/>
        </w:rPr>
        <w:t>”</w:t>
      </w:r>
    </w:p>
    <w:p w14:paraId="4B9AE528" w14:textId="77777777" w:rsidR="00B4439F" w:rsidRPr="00307028" w:rsidRDefault="00B4439F"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2024. gada 31. decembris.</w:t>
      </w:r>
    </w:p>
    <w:p w14:paraId="0AED2F3A"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88. punkts </w:t>
      </w:r>
      <w:r w:rsidRPr="00307028">
        <w:rPr>
          <w:rFonts w:eastAsiaTheme="minorHAnsi"/>
          <w:b/>
          <w:bCs/>
          <w:lang w:eastAsia="en-US"/>
        </w:rPr>
        <w:t xml:space="preserve">Vides aizsardzības un reģionālās attīstības ministrijai (Valsts reģionālās attīstības aģentūrai) </w:t>
      </w:r>
      <w:r w:rsidRPr="00307028">
        <w:rPr>
          <w:rFonts w:eastAsiaTheme="minorHAnsi"/>
          <w:i/>
          <w:iCs/>
          <w:lang w:eastAsia="en-US"/>
        </w:rPr>
        <w:t>nodrošināt Pakalpojumu administratīvā centra izveidi, veicot strukturālas izmaiņas Valsts reģionālās attīstības aģentūrā un nepalielinot nodarbināto skaitu resorā.</w:t>
      </w:r>
      <w:r w:rsidRPr="00307028">
        <w:rPr>
          <w:rFonts w:eastAsiaTheme="minorHAnsi"/>
          <w:lang w:eastAsia="en-US"/>
        </w:rPr>
        <w:t>”</w:t>
      </w:r>
    </w:p>
    <w:p w14:paraId="483977D8" w14:textId="4958A5BB"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VARAM izdevumu pārskatīšanas darba grupas sanāksmē norādīja, ka strukturālas izmaiņas saistībā ar Pakalpojumu administratīvā centra izveidi vēl nav notikušas. Atbilstoši VARAM ministra 2023. gada 3. aprīļa rīkojumam Nr.12/39, šobrīd tiek pārskatītas VRAA funkcijas un gatavots VRAA reorganizācijas plāns. Attiecīgi tā ietvaros tiks skatīta šī protokollēmuma uzdevuma izpilde. Notiek regulāra VRAA lietotāju atbalsta dienesta sadarbība ar VPVKAC zvanu centra operatoriem. Apsvērti iespējamie tehnoloģiskie risinājumi operatīvākai saziņai ar visiem VPVKAC e</w:t>
      </w:r>
      <w:r w:rsidR="007B59B6" w:rsidRPr="00307028">
        <w:rPr>
          <w:rFonts w:eastAsiaTheme="minorHAnsi"/>
          <w:lang w:eastAsia="en-US"/>
        </w:rPr>
        <w:t>-</w:t>
      </w:r>
      <w:r w:rsidRPr="00307028">
        <w:rPr>
          <w:rFonts w:eastAsiaTheme="minorHAnsi"/>
          <w:lang w:eastAsia="en-US"/>
        </w:rPr>
        <w:t>pakalpojumu traucējumu gadījumā.</w:t>
      </w:r>
    </w:p>
    <w:p w14:paraId="5FB78703"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89. punkts </w:t>
      </w:r>
      <w:r w:rsidRPr="00307028">
        <w:rPr>
          <w:rFonts w:eastAsiaTheme="minorHAnsi"/>
          <w:b/>
          <w:bCs/>
          <w:lang w:eastAsia="en-US"/>
        </w:rPr>
        <w:t xml:space="preserve">Vides aizsardzības un reģionālās attīstības ministrijai sadarbībā ar nozaru ministrijām, kuras pašas vai kuru padotībā ir valsts pārvaldes pakalpojumu turētāji, </w:t>
      </w:r>
      <w:r w:rsidRPr="00307028">
        <w:rPr>
          <w:rFonts w:eastAsiaTheme="minorHAnsi"/>
          <w:i/>
          <w:iCs/>
          <w:lang w:eastAsia="en-US"/>
        </w:rPr>
        <w:t>izstrādāt metodoloģiju par konceptuālā ziņojuma “Par jaunu valsts pārvaldes pakalpojumu nodrošināšanas sistēmu” projektā noteikto 1. līmeņa atbalsta funkciju pārņemšanu no iestāžu klientu apkalpošanas centriem valsts un pašvaldību vienotajos klientu apkalpošanas centros, veikt izvērtējumu atbilstoši izstrādātajai metodikai, aprēķināt un saskaņot pārdalāmo finansējumu valsts un pašvaldību vienoto klientu apkalpošanas centru darbības nodrošināšanai un saskaņotos priekšlikumus iesniegt Finanšu ministrijā ne vēlāk kā 2024. un turpmāko gadu izdevumu pārskatīšanas procesā.</w:t>
      </w:r>
      <w:r w:rsidRPr="00307028">
        <w:rPr>
          <w:rFonts w:eastAsiaTheme="minorHAnsi"/>
          <w:lang w:eastAsia="en-US"/>
        </w:rPr>
        <w:t>”</w:t>
      </w:r>
    </w:p>
    <w:p w14:paraId="1EC36D5C"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lastRenderedPageBreak/>
        <w:t>Darbs pie uzdevuma izpildes ir uzsākts un tiek turpināts, ņemot vērā, ka uzdevuma izpildes termiņš ir 2024. gada 30. jūnijs.</w:t>
      </w:r>
    </w:p>
    <w:p w14:paraId="012EC651"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90. punkts </w:t>
      </w:r>
      <w:r w:rsidRPr="00307028">
        <w:rPr>
          <w:rFonts w:eastAsiaTheme="minorHAnsi"/>
          <w:i/>
          <w:iCs/>
          <w:lang w:eastAsia="en-US"/>
        </w:rPr>
        <w:t>Noteikt, ka klientu klātienes apkalpošanu saskaņā ar šī protokollēmuma 89. punktā minētā izvērtējuma rezultātiem par nododamo funkciju apmēru tiem valsts pārvaldes pakalpojumiem, kur to atļauj pakalpojuma sniegšanas specifika, no 2027. gada 1. janvāra nodrošina Valsts un pašvaldību vienoto klientu apkalpošanas centru tīklā.</w:t>
      </w:r>
      <w:r w:rsidRPr="00307028">
        <w:rPr>
          <w:rFonts w:eastAsiaTheme="minorHAnsi"/>
          <w:lang w:eastAsia="en-US"/>
        </w:rPr>
        <w:t>”</w:t>
      </w:r>
    </w:p>
    <w:p w14:paraId="7A7ABA09" w14:textId="77777777"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2027. gada 1. janvāris.</w:t>
      </w:r>
    </w:p>
    <w:p w14:paraId="513FD658"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91. punkts </w:t>
      </w:r>
      <w:r w:rsidRPr="00307028">
        <w:rPr>
          <w:rFonts w:eastAsiaTheme="minorHAnsi"/>
          <w:b/>
          <w:bCs/>
          <w:lang w:eastAsia="en-US"/>
        </w:rPr>
        <w:t>Vides aizsardzības un reģionālās attīstības ministrijai</w:t>
      </w:r>
      <w:r w:rsidRPr="00307028">
        <w:rPr>
          <w:rFonts w:eastAsiaTheme="minorHAnsi"/>
          <w:i/>
          <w:iCs/>
          <w:lang w:eastAsia="en-US"/>
        </w:rPr>
        <w:t xml:space="preserve"> līdz 2027. gada 1. jūnijam iesniegt Ministru kabinetā informatīvu ziņojumu par Valsts un pašvaldību vienoto klientu apkalpošanas centru tīkla darbību.</w:t>
      </w:r>
      <w:r w:rsidRPr="00307028">
        <w:rPr>
          <w:rFonts w:eastAsiaTheme="minorHAnsi"/>
          <w:lang w:eastAsia="en-US"/>
        </w:rPr>
        <w:t>”</w:t>
      </w:r>
    </w:p>
    <w:p w14:paraId="190EC2B7" w14:textId="77777777"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Kā uzdevuma izpildes termiņš noteikts 2027. gada 1. jūnijs.</w:t>
      </w:r>
    </w:p>
    <w:p w14:paraId="6650AAAA"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Aktualitāti zaudējušie uzdevumi:</w:t>
      </w:r>
    </w:p>
    <w:p w14:paraId="3FB020D6"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81. punkts </w:t>
      </w:r>
      <w:r w:rsidRPr="00307028">
        <w:rPr>
          <w:rFonts w:eastAsiaTheme="minorHAnsi"/>
          <w:i/>
          <w:iCs/>
          <w:lang w:eastAsia="en-US"/>
        </w:rPr>
        <w:t>Veselības ministrijai līdz 2023. gada 30. decembrim izstrādāt laboratoriju kvalitātes kritēriju noteikšanas un uzraudzības vadlīnijas.</w:t>
      </w:r>
      <w:r w:rsidRPr="00307028">
        <w:rPr>
          <w:rFonts w:eastAsiaTheme="minorHAnsi"/>
          <w:lang w:eastAsia="en-US"/>
        </w:rPr>
        <w:t>”</w:t>
      </w:r>
    </w:p>
    <w:p w14:paraId="62E88CDA" w14:textId="492FC74C"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Laboratorisko izmeklējumu kvalitātes nodrošināšanas aspekti tika skatīti laboratoriju darba grupā, pieaicinot arī Latvijas Nacionālā akreditācijas biroja (LATAK) un Veselības inspekcijas pārstāvjus. Visām medicīniskajām laboratorijām jābūt akreditētām, līdz ar to laboratoriju kvalitātes atbilstību aktuālajam standartam uzrauga LATAK. Ņemot vērā to, ka</w:t>
      </w:r>
      <w:r w:rsidR="007B59B6" w:rsidRPr="00307028">
        <w:rPr>
          <w:rFonts w:eastAsiaTheme="minorHAnsi"/>
          <w:lang w:eastAsia="en-US"/>
        </w:rPr>
        <w:t xml:space="preserve"> </w:t>
      </w:r>
      <w:r w:rsidRPr="00307028">
        <w:rPr>
          <w:rFonts w:eastAsiaTheme="minorHAnsi"/>
          <w:lang w:eastAsia="en-US"/>
        </w:rPr>
        <w:t>laboratoriju kvalitātes uzraudzības vadlīnijas attiektos tikai uz laboratorijām, kuru darbība jau šobrīd tiek uzraudzīta, VM ieskatā uzdevums ir zaudējis aktualitāti.</w:t>
      </w:r>
    </w:p>
    <w:p w14:paraId="1625839E" w14:textId="77777777" w:rsidR="008C7D85" w:rsidRPr="00307028" w:rsidRDefault="008C7D85" w:rsidP="000B531B">
      <w:pPr>
        <w:spacing w:line="259" w:lineRule="auto"/>
        <w:jc w:val="center"/>
        <w:rPr>
          <w:rFonts w:eastAsiaTheme="minorHAnsi"/>
          <w:b/>
          <w:lang w:eastAsia="en-US"/>
        </w:rPr>
      </w:pPr>
      <w:bookmarkStart w:id="51" w:name="_Hlk112332992"/>
      <w:r w:rsidRPr="00307028">
        <w:rPr>
          <w:rFonts w:eastAsiaTheme="minorHAnsi"/>
          <w:b/>
          <w:lang w:eastAsia="en-US"/>
        </w:rPr>
        <w:t xml:space="preserve">Izpildes statuss par MK 2021. gada 24. augusta </w:t>
      </w:r>
    </w:p>
    <w:p w14:paraId="38370B5B" w14:textId="77777777" w:rsidR="008C7D85" w:rsidRPr="00307028" w:rsidRDefault="008C7D85" w:rsidP="000B531B">
      <w:pPr>
        <w:spacing w:after="120" w:line="259" w:lineRule="auto"/>
        <w:jc w:val="center"/>
        <w:rPr>
          <w:rFonts w:eastAsiaTheme="minorHAnsi"/>
          <w:b/>
          <w:lang w:eastAsia="en-US"/>
        </w:rPr>
      </w:pPr>
      <w:r w:rsidRPr="00307028">
        <w:rPr>
          <w:rFonts w:eastAsiaTheme="minorHAnsi"/>
          <w:b/>
          <w:lang w:eastAsia="en-US"/>
        </w:rPr>
        <w:t>sēdes protokola Nr. 57 52. § uzdevumiem</w:t>
      </w:r>
    </w:p>
    <w:bookmarkEnd w:id="51"/>
    <w:p w14:paraId="32BB7C6C"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Izpildītie uzdevumi:</w:t>
      </w:r>
    </w:p>
    <w:p w14:paraId="5DA11752"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19. punkts </w:t>
      </w:r>
      <w:r w:rsidRPr="00307028">
        <w:rPr>
          <w:rFonts w:eastAsiaTheme="minorHAnsi"/>
          <w:b/>
          <w:bCs/>
          <w:lang w:eastAsia="en-US"/>
        </w:rPr>
        <w:t xml:space="preserve">Finanšu ministrijai (VAS "Valsts nekustamie īpašumi") sadarbībā ar iesaistītajām ministrijām/iestādēm </w:t>
      </w:r>
      <w:r w:rsidRPr="00307028">
        <w:rPr>
          <w:rFonts w:eastAsiaTheme="minorHAnsi"/>
          <w:i/>
          <w:iCs/>
          <w:lang w:eastAsia="en-US"/>
        </w:rPr>
        <w:t>sagatavot un 2023. gada budžeta sagatavošanas procesā iesniegt priekšlikumus par 18.7. un 18.8. apakšpunktā minēto nepieciešamā finansējuma nodrošināšanu nomas maksas un apsaimniekošanas izdevumu pieauguma segšanai 2025. gadā un turpmāk, tai skaitā vērtējot iespējas to risināt 2022. gadā veicamās izdevumu pārskatīšanas ietvaros.</w:t>
      </w:r>
      <w:r w:rsidRPr="00307028">
        <w:rPr>
          <w:rFonts w:eastAsiaTheme="minorHAnsi"/>
          <w:lang w:eastAsia="en-US"/>
        </w:rPr>
        <w:t>”</w:t>
      </w:r>
    </w:p>
    <w:p w14:paraId="2D0C8172" w14:textId="77777777" w:rsidR="00957F88" w:rsidRPr="00307028" w:rsidRDefault="009B4E18" w:rsidP="000B531B">
      <w:pPr>
        <w:spacing w:after="120" w:line="259" w:lineRule="auto"/>
        <w:ind w:firstLine="720"/>
        <w:jc w:val="both"/>
        <w:rPr>
          <w:rFonts w:eastAsiaTheme="minorHAnsi"/>
          <w:lang w:eastAsia="en-US"/>
        </w:rPr>
      </w:pPr>
      <w:r w:rsidRPr="00307028">
        <w:rPr>
          <w:rFonts w:eastAsiaTheme="minorHAnsi"/>
          <w:lang w:eastAsia="en-US"/>
        </w:rPr>
        <w:t>FM iesniedza starpnozaru PP “Valsts nekustamo īpašumu nomas maksas un apsaimniekošanas izdevumu pieauguma segšana”, kas 2023. gada 13. janvārī atbalstīts MK.</w:t>
      </w:r>
    </w:p>
    <w:p w14:paraId="296E9642" w14:textId="1BD8E800" w:rsidR="00957F88" w:rsidRPr="00307028" w:rsidRDefault="00957F88" w:rsidP="000B531B">
      <w:pPr>
        <w:spacing w:after="120" w:line="259" w:lineRule="auto"/>
        <w:ind w:firstLine="720"/>
        <w:jc w:val="both"/>
        <w:rPr>
          <w:rFonts w:eastAsiaTheme="minorHAnsi"/>
          <w:lang w:eastAsia="en-US"/>
        </w:rPr>
      </w:pPr>
      <w:r w:rsidRPr="00307028">
        <w:rPr>
          <w:color w:val="000000"/>
          <w:shd w:val="clear" w:color="auto" w:fill="FFFFFF"/>
        </w:rPr>
        <w:t xml:space="preserve">Atbilstoši </w:t>
      </w:r>
      <w:r w:rsidR="00903FC1" w:rsidRPr="00307028">
        <w:rPr>
          <w:color w:val="000000"/>
          <w:shd w:val="clear" w:color="auto" w:fill="FFFFFF"/>
        </w:rPr>
        <w:t>MK</w:t>
      </w:r>
      <w:r w:rsidRPr="00307028">
        <w:rPr>
          <w:color w:val="000000"/>
          <w:shd w:val="clear" w:color="auto" w:fill="FFFFFF"/>
        </w:rPr>
        <w:t xml:space="preserve"> 2021.</w:t>
      </w:r>
      <w:r w:rsidR="00903FC1" w:rsidRPr="00307028">
        <w:rPr>
          <w:color w:val="000000"/>
          <w:shd w:val="clear" w:color="auto" w:fill="FFFFFF"/>
        </w:rPr>
        <w:t xml:space="preserve"> </w:t>
      </w:r>
      <w:r w:rsidRPr="00307028">
        <w:rPr>
          <w:color w:val="000000"/>
          <w:shd w:val="clear" w:color="auto" w:fill="FFFFFF"/>
        </w:rPr>
        <w:t>gada 24. augusta protokola Nr.57 52.§ 18.7.1. punktam ĀM tika piešķirts finansējums valsts nekustamo īpašumu nomas maksas un apsaimniekošanas izdevumu pieauguma segšanai 2022., 2023. un 2024. gadam ik gadu 153 150 </w:t>
      </w:r>
      <w:r w:rsidRPr="00307028">
        <w:rPr>
          <w:i/>
          <w:iCs/>
          <w:color w:val="000000"/>
          <w:shd w:val="clear" w:color="auto" w:fill="FFFFFF"/>
        </w:rPr>
        <w:t>euro</w:t>
      </w:r>
      <w:r w:rsidRPr="00307028">
        <w:rPr>
          <w:color w:val="000000"/>
          <w:shd w:val="clear" w:color="auto" w:fill="FFFFFF"/>
        </w:rPr>
        <w:t xml:space="preserve"> apmērā. Aprēķinot valsts pamatbudžeta bāzi</w:t>
      </w:r>
      <w:r w:rsidRPr="00307028">
        <w:t xml:space="preserve"> 2023. – 2025. gadam minētajam mērķim ĀM budžeta apakšprogrammā 01.04.00 “Diplomātiskās misijas ārvalstīs” ilgtermiņa saistību pasākuma “LR PP ES ēkas Beļģijas Karalistē uzturēšana” ietvaros finansējums 137 220 </w:t>
      </w:r>
      <w:r w:rsidRPr="00307028">
        <w:rPr>
          <w:i/>
          <w:iCs/>
        </w:rPr>
        <w:t>euro</w:t>
      </w:r>
      <w:r w:rsidRPr="00307028">
        <w:t xml:space="preserve"> apmērā tika samazināts, pamatojoties uz MK 2019. gada 14. augustā rīkojumu Nr. 388 “Par Ārlietu ministrijai piešķirto finansējumu Latvijas Republikas pastāvīgās pārstāvniecības Eiropas Savienībā ēkas Avenue des Arts 23, Briselē, Beļģijas Karalistē, nomas maksas un uzturēšanas izdevumu segšanai”, kurā ĀM nebija veikusi grozījumus, nosakot precizētās ilgtermiņa saistības nomas maksas izdevumu segšanai. ĀM saistībā ar šo situāciju iesniedza priekšlikumu 2025.</w:t>
      </w:r>
      <w:r w:rsidR="00903FC1" w:rsidRPr="00307028">
        <w:t xml:space="preserve"> </w:t>
      </w:r>
      <w:r w:rsidRPr="00307028">
        <w:t xml:space="preserve">gadā un turpmāk ik gadu precizēt izdevumus budžeta programmā 03.00.00 </w:t>
      </w:r>
      <w:r w:rsidRPr="00307028">
        <w:lastRenderedPageBreak/>
        <w:t xml:space="preserve">“Diplomātisko un konsulāro misiju nodrošinājums” 137 220 </w:t>
      </w:r>
      <w:r w:rsidRPr="00307028">
        <w:rPr>
          <w:i/>
          <w:iCs/>
        </w:rPr>
        <w:t>euro</w:t>
      </w:r>
      <w:r w:rsidRPr="00307028">
        <w:t xml:space="preserve"> apmērā, tādejādi nodrošinot finansējumu valsts nekustamo īpašumu nomas maksas un apsaimniekošanas izdevumu pieauguma segšanai 2024.</w:t>
      </w:r>
      <w:r w:rsidR="00903FC1" w:rsidRPr="00307028">
        <w:t xml:space="preserve"> </w:t>
      </w:r>
      <w:r w:rsidRPr="00307028">
        <w:t>gada līmenī. Vienlaikus ievērojot iepriekš radušos situāciju, nepieciešams arī noteikt uzdevumu ĀM sagatavot grozījumus MK  2019. gada 14. augusta rīkojumā Nr.</w:t>
      </w:r>
      <w:r w:rsidR="00903FC1" w:rsidRPr="00307028">
        <w:t xml:space="preserve"> </w:t>
      </w:r>
      <w:r w:rsidRPr="00307028">
        <w:t>388 “Par Ārlietu ministrijai piešķirto finansējumu Latvijas Republikas pastāvīgās pārstāvniecības Eiropas Savienībā ēkas Avenue des Arts 23, Briselē, Beļģijas Karalistē, nomas maksas un uzturēšanas izdevumu segšanai”, precizējot tajā paredzēto finansējumu ilgtermiņa saistībām nomas maksas izdevumu segšanai.</w:t>
      </w:r>
    </w:p>
    <w:p w14:paraId="4A4A8883" w14:textId="2C73157E"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w:t>
      </w:r>
      <w:r w:rsidRPr="00307028">
        <w:rPr>
          <w:rFonts w:eastAsiaTheme="minorHAnsi"/>
          <w:b/>
          <w:lang w:eastAsia="en-US"/>
        </w:rPr>
        <w:t xml:space="preserve">60. punkts </w:t>
      </w:r>
      <w:r w:rsidRPr="00307028">
        <w:rPr>
          <w:rFonts w:eastAsiaTheme="minorHAnsi"/>
          <w:b/>
          <w:bCs/>
          <w:lang w:eastAsia="en-US"/>
        </w:rPr>
        <w:t xml:space="preserve">Pārresoru koordinācijas centram sadarbībā ar Labklājības ministriju, Iekšlietu ministriju, Veselības ministriju, Tieslietu ministriju, Valsts kanceleju un Finanšu ministriju </w:t>
      </w:r>
      <w:r w:rsidRPr="00307028">
        <w:rPr>
          <w:rFonts w:eastAsiaTheme="minorHAnsi"/>
          <w:i/>
          <w:iCs/>
          <w:lang w:eastAsia="en-US"/>
        </w:rPr>
        <w:t>līdz 2022. gada 31. decembrim sagatavot priekšlikumus jauna izdienas pensiju modeļa izstrādei saskaņā ar informatīvajā ziņojumā izklāstītajiem izdienas pensiju reformas uzsākšanas principiem.</w:t>
      </w:r>
      <w:r w:rsidRPr="00307028">
        <w:rPr>
          <w:rFonts w:eastAsiaTheme="minorHAnsi"/>
          <w:lang w:eastAsia="en-US"/>
        </w:rPr>
        <w:t>”</w:t>
      </w:r>
    </w:p>
    <w:p w14:paraId="2863E30E" w14:textId="6C3DA4FC"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2022. gada 29. decembrī </w:t>
      </w:r>
      <w:r w:rsidR="00EE043A" w:rsidRPr="00307028">
        <w:rPr>
          <w:rFonts w:eastAsiaTheme="minorHAnsi"/>
          <w:lang w:eastAsia="en-US"/>
        </w:rPr>
        <w:t>VK</w:t>
      </w:r>
      <w:r w:rsidRPr="00307028">
        <w:rPr>
          <w:rFonts w:eastAsiaTheme="minorHAnsi"/>
          <w:lang w:eastAsia="en-US"/>
        </w:rPr>
        <w:t xml:space="preserve"> ir iesniegts sagatavotais konceptuālā ziņojuma projekts “Par izdienas pensijas sistēmas reformu” lēmuma pieņemšanai par tā turpmāku virzību.</w:t>
      </w:r>
    </w:p>
    <w:p w14:paraId="6E7A6B8E" w14:textId="77777777" w:rsidR="00407DB7" w:rsidRPr="00307028" w:rsidRDefault="00407DB7"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61. punkts </w:t>
      </w:r>
      <w:r w:rsidRPr="00307028">
        <w:rPr>
          <w:rFonts w:eastAsiaTheme="minorHAnsi"/>
          <w:b/>
          <w:bCs/>
          <w:lang w:eastAsia="en-US"/>
        </w:rPr>
        <w:t xml:space="preserve">Ministrijām </w:t>
      </w:r>
      <w:r w:rsidRPr="00307028">
        <w:rPr>
          <w:rFonts w:eastAsiaTheme="minorHAnsi"/>
          <w:i/>
          <w:iCs/>
          <w:lang w:eastAsia="en-US"/>
        </w:rPr>
        <w:t>atbilstoši informatīvajā ziņojumā norādītajam par maksas pakalpojumu cenrāžu aktualizāciju veikt izvērtējumu un nepieciešamības gadījumā sagatavot grozījumus normatīvajos aktos.</w:t>
      </w:r>
      <w:r w:rsidRPr="00307028">
        <w:rPr>
          <w:rFonts w:eastAsiaTheme="minorHAnsi"/>
          <w:lang w:eastAsia="en-US"/>
        </w:rPr>
        <w:t>”</w:t>
      </w:r>
    </w:p>
    <w:p w14:paraId="697D060B" w14:textId="77777777" w:rsidR="00407DB7" w:rsidRPr="00307028" w:rsidRDefault="00407DB7" w:rsidP="000B531B">
      <w:pPr>
        <w:spacing w:after="120" w:line="259" w:lineRule="auto"/>
        <w:ind w:firstLine="720"/>
        <w:jc w:val="both"/>
        <w:rPr>
          <w:rFonts w:eastAsiaTheme="minorHAnsi"/>
          <w:lang w:eastAsia="en-US"/>
        </w:rPr>
      </w:pPr>
      <w:r w:rsidRPr="00307028">
        <w:rPr>
          <w:rFonts w:eastAsiaTheme="minorHAnsi"/>
          <w:lang w:eastAsia="en-US"/>
        </w:rPr>
        <w:t>Ministrijas pēc nepieciešamības veic maksas pakalpojumu cenrāžu aktualizāciju.</w:t>
      </w:r>
    </w:p>
    <w:p w14:paraId="6268188F" w14:textId="77777777" w:rsidR="00407DB7" w:rsidRPr="00307028" w:rsidRDefault="00407DB7"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62. punkts </w:t>
      </w:r>
      <w:r w:rsidRPr="00307028">
        <w:rPr>
          <w:rFonts w:eastAsiaTheme="minorHAnsi"/>
          <w:b/>
          <w:bCs/>
          <w:lang w:eastAsia="en-US"/>
        </w:rPr>
        <w:t xml:space="preserve">Ministrijām </w:t>
      </w:r>
      <w:r w:rsidRPr="00307028">
        <w:rPr>
          <w:rFonts w:eastAsiaTheme="minorHAnsi"/>
          <w:i/>
          <w:iCs/>
          <w:lang w:eastAsia="en-US"/>
        </w:rPr>
        <w:t>atbilstoši informatīvajā ziņojumā norādītajam par atbalsta funkcijām turpināt darbu pie atbalsta funkciju centralizācijas, cita veida resursu optimizācijas, lai nodrošinātu izvirzītā mērķa – “maza un profesionāla valsts pārvalde” kvalitatīvu sasniegšanu.</w:t>
      </w:r>
      <w:r w:rsidRPr="00307028">
        <w:rPr>
          <w:rFonts w:eastAsiaTheme="minorHAnsi"/>
          <w:lang w:eastAsia="en-US"/>
        </w:rPr>
        <w:t>”</w:t>
      </w:r>
    </w:p>
    <w:p w14:paraId="4E831C2F" w14:textId="77777777" w:rsidR="00407DB7" w:rsidRPr="00307028" w:rsidRDefault="00407DB7" w:rsidP="000B531B">
      <w:pPr>
        <w:spacing w:after="120" w:line="259" w:lineRule="auto"/>
        <w:ind w:firstLine="720"/>
        <w:jc w:val="both"/>
        <w:rPr>
          <w:rFonts w:eastAsiaTheme="minorHAnsi"/>
          <w:lang w:eastAsia="en-US"/>
        </w:rPr>
      </w:pPr>
      <w:r w:rsidRPr="00307028">
        <w:rPr>
          <w:rFonts w:eastAsiaTheme="minorHAnsi"/>
          <w:lang w:eastAsia="en-US"/>
        </w:rPr>
        <w:t>Ministrijas turpina darbu pie atbalsta funkciju, piemēram, grāmatvedības un personālvadības, funkciju centralizācijas, pārskatot amata vietas ministrijās un to padotības iestādēs.</w:t>
      </w:r>
    </w:p>
    <w:p w14:paraId="0111972E" w14:textId="77777777" w:rsidR="00D97598" w:rsidRPr="00307028" w:rsidRDefault="00D97598"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63. punkts </w:t>
      </w:r>
      <w:r w:rsidRPr="00307028">
        <w:rPr>
          <w:rFonts w:eastAsiaTheme="minorHAnsi"/>
          <w:b/>
          <w:bCs/>
          <w:lang w:eastAsia="en-US"/>
        </w:rPr>
        <w:t xml:space="preserve">Ministrijām sadarbībā ar Pārresoru koordinācijas centru un Finanšu ministriju </w:t>
      </w:r>
      <w:r w:rsidRPr="00307028">
        <w:rPr>
          <w:rFonts w:eastAsiaTheme="minorHAnsi"/>
          <w:i/>
          <w:iCs/>
          <w:lang w:eastAsia="en-US"/>
        </w:rPr>
        <w:t>pārskatīt un iespēju robežās precizēt politikas un resursu vadības kartēs iekļautos politikas rezultatīvos rādītājus saskaņā ar informatīvajam ziņojumam pievienoto 3. pielikumu.</w:t>
      </w:r>
      <w:r w:rsidRPr="00307028">
        <w:rPr>
          <w:rFonts w:eastAsiaTheme="minorHAnsi"/>
          <w:lang w:eastAsia="en-US"/>
        </w:rPr>
        <w:t>”</w:t>
      </w:r>
    </w:p>
    <w:p w14:paraId="1AE1774F" w14:textId="77777777" w:rsidR="00D97598" w:rsidRPr="00307028" w:rsidRDefault="00D97598" w:rsidP="000B531B">
      <w:pPr>
        <w:spacing w:after="120" w:line="259" w:lineRule="auto"/>
        <w:ind w:firstLine="720"/>
        <w:jc w:val="both"/>
        <w:rPr>
          <w:rFonts w:eastAsiaTheme="minorHAnsi"/>
          <w:lang w:eastAsia="en-US"/>
        </w:rPr>
      </w:pPr>
      <w:r w:rsidRPr="00307028">
        <w:rPr>
          <w:rFonts w:eastAsiaTheme="minorHAnsi"/>
          <w:lang w:eastAsia="en-US"/>
        </w:rPr>
        <w:t>Ministrijas turpina veikt darbu pie politikas rezultatīvo rādītāju pārskatīšanas un precizēšanas.</w:t>
      </w:r>
    </w:p>
    <w:p w14:paraId="1B0A6548" w14:textId="77777777" w:rsidR="008C7D85" w:rsidRPr="00307028" w:rsidRDefault="008C7D85" w:rsidP="000B531B">
      <w:pPr>
        <w:spacing w:after="120" w:line="259" w:lineRule="auto"/>
        <w:jc w:val="both"/>
        <w:rPr>
          <w:rFonts w:eastAsiaTheme="minorHAnsi"/>
          <w:lang w:eastAsia="en-US"/>
        </w:rPr>
      </w:pPr>
      <w:r w:rsidRPr="00307028">
        <w:rPr>
          <w:rFonts w:eastAsiaTheme="minorHAnsi"/>
          <w:b/>
          <w:u w:val="single"/>
          <w:lang w:eastAsia="en-US"/>
        </w:rPr>
        <w:t>Uzsāktie uzdevumi:</w:t>
      </w:r>
    </w:p>
    <w:p w14:paraId="78DC42C9"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58. punkts </w:t>
      </w:r>
      <w:r w:rsidRPr="00307028">
        <w:rPr>
          <w:rFonts w:eastAsiaTheme="minorHAnsi"/>
          <w:b/>
          <w:bCs/>
          <w:lang w:eastAsia="en-US"/>
        </w:rPr>
        <w:t>Veselības ministrijai sadarbībā ar profesionālajām organizācijām un augstākās izglītības iestādēm</w:t>
      </w:r>
      <w:r w:rsidRPr="00307028">
        <w:rPr>
          <w:rFonts w:eastAsiaTheme="minorHAnsi"/>
          <w:i/>
          <w:iCs/>
          <w:lang w:eastAsia="en-US"/>
        </w:rPr>
        <w:t xml:space="preserve"> pārskatīt ārsta specialitāšu sarakstu saskaņā ar Eiropas Parlamenta un Padomes Direktīvu 2005/36/EK par profesionālo kvalifikāciju atzīšanu noteiktajām prasībām studiju ilgumam un saturam, līdz 2022. gada 1. jūlijam izvērtēt iespēju samazināt rezidentūras ilgumu pamatspecialitātēs, kurās rezidentūras ilgums pārsniedz Eiropas Parlamenta un Padomes Direktīvā 2005/36/EK minimālo rezidentūras ilgumu par 2 gadiem, bet līdz 2023. gada 31. decembrim izvērtēt iespēju samazināt rezidentūras ilgumu pamatspecialitātēs, kurās rezidentūras ilgums pārsniedz Eiropas Parlamenta un Padomes Direktīvā 2005/36/EK minimālo rezidentūras ilgumu par 1 gadu.</w:t>
      </w:r>
      <w:r w:rsidRPr="00307028">
        <w:rPr>
          <w:rFonts w:eastAsiaTheme="minorHAnsi"/>
          <w:lang w:eastAsia="en-US"/>
        </w:rPr>
        <w:t>”</w:t>
      </w:r>
    </w:p>
    <w:p w14:paraId="34FB0BBC" w14:textId="40221C05"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VM 2022. gada sākumā ir </w:t>
      </w:r>
      <w:r w:rsidR="007516BE" w:rsidRPr="00307028">
        <w:rPr>
          <w:rFonts w:eastAsiaTheme="minorHAnsi"/>
          <w:lang w:eastAsia="en-US"/>
        </w:rPr>
        <w:t>lūgusi</w:t>
      </w:r>
      <w:r w:rsidRPr="00307028">
        <w:rPr>
          <w:rFonts w:eastAsiaTheme="minorHAnsi"/>
          <w:lang w:eastAsia="en-US"/>
        </w:rPr>
        <w:t xml:space="preserve"> Latvijas Ārstu biedrībai, Latvijas Jauno Ārstu asociācijai, RSU un L</w:t>
      </w:r>
      <w:r w:rsidR="002B2091">
        <w:rPr>
          <w:rFonts w:eastAsiaTheme="minorHAnsi"/>
          <w:lang w:eastAsia="en-US"/>
        </w:rPr>
        <w:t xml:space="preserve">atvijas </w:t>
      </w:r>
      <w:r w:rsidRPr="00307028">
        <w:rPr>
          <w:rFonts w:eastAsiaTheme="minorHAnsi"/>
          <w:lang w:eastAsia="en-US"/>
        </w:rPr>
        <w:t>U</w:t>
      </w:r>
      <w:r w:rsidR="002B2091">
        <w:rPr>
          <w:rFonts w:eastAsiaTheme="minorHAnsi"/>
          <w:lang w:eastAsia="en-US"/>
        </w:rPr>
        <w:t>niversitātei</w:t>
      </w:r>
      <w:r w:rsidRPr="00307028">
        <w:rPr>
          <w:rFonts w:eastAsiaTheme="minorHAnsi"/>
          <w:lang w:eastAsia="en-US"/>
        </w:rPr>
        <w:t xml:space="preserve"> iesniegt </w:t>
      </w:r>
      <w:r w:rsidR="007516BE" w:rsidRPr="00307028">
        <w:rPr>
          <w:rFonts w:eastAsiaTheme="minorHAnsi"/>
          <w:lang w:eastAsia="en-US"/>
        </w:rPr>
        <w:t xml:space="preserve">to pamatspecialitāšu kompetenču un studiju ilgumu izvērtējumu, kuru Latvijas rezidentūras ilgums pārsniedz Direktīvā noteikto par diviem </w:t>
      </w:r>
      <w:r w:rsidR="007516BE" w:rsidRPr="00307028">
        <w:rPr>
          <w:rFonts w:eastAsiaTheme="minorHAnsi"/>
          <w:lang w:eastAsia="en-US"/>
        </w:rPr>
        <w:lastRenderedPageBreak/>
        <w:t>gadiem (endokrinologs, hematologs un anesteziologs, reanimatologs) un vienu gadu (Arodveselības un arodslimību ārsts, ginekologs, dzemdību speciālists, fizikālās un rehabilitācijas medicīnas ārsts, pneimonologs, gastroenterologs, geriatrs, infektologs, kardiologs, nefrologs, neiroķirurgs, oftalmologs, otolaringologs, radiologs, reimatologs)</w:t>
      </w:r>
      <w:r w:rsidR="008C1454" w:rsidRPr="00307028">
        <w:rPr>
          <w:rFonts w:eastAsiaTheme="minorHAnsi"/>
          <w:lang w:eastAsia="en-US"/>
        </w:rPr>
        <w:t xml:space="preserve">, sniedzot </w:t>
      </w:r>
      <w:r w:rsidRPr="00307028">
        <w:rPr>
          <w:rFonts w:eastAsiaTheme="minorHAnsi"/>
          <w:lang w:eastAsia="en-US"/>
        </w:rPr>
        <w:t>priekšlikumus izmaiņām 2009. gada 24. marta MK noteikumos Nr. 268 “</w:t>
      </w:r>
      <w:r w:rsidRPr="00307028">
        <w:rPr>
          <w:rFonts w:eastAsiaTheme="minorHAnsi"/>
          <w:shd w:val="clear" w:color="auto" w:fill="FFFFFF"/>
          <w:lang w:eastAsia="en-US"/>
        </w:rPr>
        <w:t>Noteikumi par ārstniecības personu un studējošo, kuri apgūst pirmā vai otrā līmeņa profesionālās augstākās medicīniskās izglītības programmas, kompetenci ārstniecībā un šo personu teorētisko un praktisko zināšanu apjomu”</w:t>
      </w:r>
      <w:r w:rsidRPr="00307028">
        <w:rPr>
          <w:rFonts w:eastAsiaTheme="minorHAnsi"/>
          <w:lang w:eastAsia="en-US"/>
        </w:rPr>
        <w:t>. Līdz 2023. gada 31. decembrim tiks sagatavots apkopojums par izvērtējumu rezultātiem.</w:t>
      </w:r>
    </w:p>
    <w:p w14:paraId="1DFE08BC"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59. punkts </w:t>
      </w:r>
      <w:r w:rsidRPr="00307028">
        <w:rPr>
          <w:rFonts w:eastAsiaTheme="minorHAnsi"/>
          <w:b/>
          <w:bCs/>
          <w:lang w:eastAsia="en-US"/>
        </w:rPr>
        <w:t xml:space="preserve">Veselības ministrijai </w:t>
      </w:r>
      <w:r w:rsidRPr="00307028">
        <w:rPr>
          <w:rFonts w:eastAsiaTheme="minorHAnsi"/>
          <w:i/>
          <w:iCs/>
          <w:lang w:eastAsia="en-US"/>
        </w:rPr>
        <w:t>līdz 2022. gada 31. decembrim, ņemot vērā pacientu skaitu, nepieciešamos ieguldījumus un speciālistu skaitu Latvijā, izvērtēt iespēju atbalstīt un attīstīt ES/EEZ dalībvalstī vai Šveicē sniegtos veselības aprūpes pakalpojumus Latvijā.</w:t>
      </w:r>
      <w:r w:rsidRPr="00307028">
        <w:rPr>
          <w:rFonts w:eastAsiaTheme="minorHAnsi"/>
          <w:lang w:eastAsia="en-US"/>
        </w:rPr>
        <w:t>”</w:t>
      </w:r>
    </w:p>
    <w:p w14:paraId="35A1DB2E" w14:textId="65DEA6B1"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VM norāda, ka ir notikušas vairākas sanāksmes ar SIA “Rīgas Austrumu klīniskā universitātes slimnīca” speciālistiem par pakalpojumiem, kurus varētu attīstīt Latvijā un par nepieciešamajiem ieguldījumiem pakalpojumu attīstīšanai.</w:t>
      </w:r>
      <w:r w:rsidRPr="00307028">
        <w:rPr>
          <w:rFonts w:ascii="Calibri" w:eastAsiaTheme="minorHAnsi" w:hAnsi="Calibri" w:cs="Calibri"/>
          <w:sz w:val="22"/>
          <w:szCs w:val="22"/>
          <w:lang w:eastAsia="lv-LV"/>
        </w:rPr>
        <w:t xml:space="preserve"> </w:t>
      </w:r>
      <w:r w:rsidRPr="00307028">
        <w:rPr>
          <w:rFonts w:eastAsiaTheme="minorHAnsi"/>
          <w:lang w:eastAsia="en-US"/>
        </w:rPr>
        <w:t>Sadarbībā ar SIA “Rīgas Austrumu klīniskā universitātes slimnīca” tiek noteikti pasākumi, kas jāveic, lai izveidotu cilmes šūnu donora reģistru Latvijā.</w:t>
      </w:r>
    </w:p>
    <w:p w14:paraId="36B79DBC"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Aktualitāti zaudējušie uzdevumi:</w:t>
      </w:r>
    </w:p>
    <w:p w14:paraId="3D2AF5A9"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45. punkts </w:t>
      </w:r>
      <w:r w:rsidRPr="00307028">
        <w:rPr>
          <w:rFonts w:eastAsiaTheme="minorHAnsi"/>
          <w:i/>
          <w:iCs/>
          <w:lang w:eastAsia="en-US"/>
        </w:rPr>
        <w:t xml:space="preserve">Pieņemt zināšanai </w:t>
      </w:r>
      <w:r w:rsidRPr="00307028">
        <w:rPr>
          <w:rFonts w:eastAsiaTheme="minorHAnsi"/>
          <w:b/>
          <w:bCs/>
          <w:lang w:eastAsia="en-US"/>
        </w:rPr>
        <w:t>Vides aizsardzības un reģionālās attīstības ministrijas</w:t>
      </w:r>
      <w:r w:rsidRPr="00307028">
        <w:rPr>
          <w:rFonts w:eastAsiaTheme="minorHAnsi"/>
          <w:i/>
          <w:iCs/>
          <w:lang w:eastAsia="en-US"/>
        </w:rPr>
        <w:t xml:space="preserve"> sniegto informāciju par potenciālajām Valsts vides dienesta administrējamo nodevu ieņēmumu izmaiņām saistībā ar nodevas apmēra un maksāšanas kārtības pārskatīšanu. Vides aizsardzības un reģionālās attīstības ministrijai sagatavot un iesniegt izskatīšanai Ministru kabinetā grozījumus attiecīgajos normatīvajos aktos, kas paredz izmaiņas ziņojumā minēto Valsts vides dienesta administrējamo nodevu apmērā un maksāšanas kārtībā, kā arī nepieciešamības gadījumā, ja tiek plānots nodevu ieņēmumu palielinājumu novirzīt izdevumu pasākumiem, Vides aizsardzības un reģionālās attīstības ministrijai sagatavot un budžeta sagatavošanas procesā iesniegt Finanšu ministrijā fiskāli neitrālu priekšlikumu, ja grozījumi attiecīgajos normatīvajos aktos par nodevu apmēru un maksāšanas kārtības izmaiņām ir apstiprināti Ministru kabinetā vai vismaz ir saskaņoti ar Finanšu ministriju un tiek virzīti izskatīšanai Ministru kabinetā vienlaikus ar jautājumu par fiskāli neitrālā priekšlikuma atbalstīšanu.</w:t>
      </w:r>
      <w:r w:rsidRPr="00307028">
        <w:rPr>
          <w:rFonts w:eastAsiaTheme="minorHAnsi"/>
          <w:lang w:eastAsia="en-US"/>
        </w:rPr>
        <w:t>”</w:t>
      </w:r>
    </w:p>
    <w:p w14:paraId="2B68A388" w14:textId="56AAE2FF"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Likumprojekta “Par valsts budžetu 2023. gadam un budžeta ietvaru 2023., 2024. un 2025. gadam” sagatavošanas procesa laikā joprojām nebija sakārtots normatīvais regulējums (papildu nodevu ieņēmumi šajos likumprojektos tiek plānoti, jo plānoti jauni nodevu objekti, bet kamēr nav pieņemts normatīvais regulējums (gan likumprojekts, gan nepieciešamie grozījumi attiecīgajos MK noteikumos), tikmēr šādus papildu ieņēmumus faktiski nevar iekasēt), līdz ar to joprojām minētie likumprojekti virzāmi vispārējā kārtībā un jautājums tiek atlikts līdz kārtējā gada (2024. gada) valsts budžeta likuma sagatavošanas procesam. Pēc 2023. gada izdevumu pārskatīšanas darba grupas sanāksmes VARAM norāda, ka šobrīd jautājums nav virzāms izdevumu pārskatīšanas ietvaros, līdz ar to uzskatāms, ka uzdevums zaudējis aktualitāti.</w:t>
      </w:r>
    </w:p>
    <w:p w14:paraId="68565A57" w14:textId="77777777" w:rsidR="008C7D85" w:rsidRPr="00307028" w:rsidRDefault="008C7D85" w:rsidP="000B531B">
      <w:pPr>
        <w:spacing w:line="259" w:lineRule="auto"/>
        <w:jc w:val="center"/>
        <w:rPr>
          <w:rFonts w:eastAsiaTheme="minorHAnsi"/>
          <w:b/>
          <w:lang w:eastAsia="en-US"/>
        </w:rPr>
      </w:pPr>
      <w:r w:rsidRPr="00307028">
        <w:rPr>
          <w:rFonts w:eastAsiaTheme="minorHAnsi"/>
          <w:b/>
          <w:lang w:eastAsia="en-US"/>
        </w:rPr>
        <w:t xml:space="preserve">Izpildes statuss par MK 2020. gada 18. augusta </w:t>
      </w:r>
    </w:p>
    <w:p w14:paraId="53D4B5D0" w14:textId="77777777" w:rsidR="008C7D85" w:rsidRPr="00307028" w:rsidRDefault="008C7D85" w:rsidP="000B531B">
      <w:pPr>
        <w:spacing w:after="120" w:line="259" w:lineRule="auto"/>
        <w:jc w:val="center"/>
        <w:rPr>
          <w:rFonts w:eastAsiaTheme="minorHAnsi"/>
          <w:b/>
          <w:lang w:eastAsia="en-US"/>
        </w:rPr>
      </w:pPr>
      <w:r w:rsidRPr="00307028">
        <w:rPr>
          <w:rFonts w:eastAsiaTheme="minorHAnsi"/>
          <w:b/>
          <w:lang w:eastAsia="en-US"/>
        </w:rPr>
        <w:t>sēdes protokola Nr. 49 46. § uzdevumiem</w:t>
      </w:r>
    </w:p>
    <w:p w14:paraId="224FD038"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Izpildītie uzdevumi:</w:t>
      </w:r>
    </w:p>
    <w:p w14:paraId="6AF3BE25"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lastRenderedPageBreak/>
        <w:t>“</w:t>
      </w:r>
      <w:r w:rsidRPr="00307028">
        <w:rPr>
          <w:rFonts w:eastAsiaTheme="minorHAnsi"/>
          <w:b/>
          <w:lang w:eastAsia="en-US"/>
        </w:rPr>
        <w:t xml:space="preserve">8.3. punkts Zemkopības ministrijai sadarbībā ar Iekšlietu ministriju </w:t>
      </w:r>
      <w:r w:rsidRPr="00307028">
        <w:rPr>
          <w:rFonts w:eastAsiaTheme="minorHAnsi"/>
          <w:bCs/>
          <w:i/>
          <w:iCs/>
          <w:lang w:eastAsia="en-US"/>
        </w:rPr>
        <w:t>izvērtēt iespējamos risinājumus meža ugunsapsardzības un ugunsdzēsības valsts un privātajos mežos funkcijas nodrošināšanai, tai skaitā izvērtējot nepieciešamo investīciju materiāltehniskās bāzes uzlabošanai nodrošināšanu Nacionālā attīstības plāna 2021. – 2027. gadam ietvaros un līdz 2021. gada 1. jūnijam iesniegt informāciju izskatīšanai Ministru kabinetā</w:t>
      </w:r>
      <w:r w:rsidRPr="00307028">
        <w:rPr>
          <w:rFonts w:eastAsiaTheme="minorHAnsi"/>
          <w:lang w:eastAsia="en-US"/>
        </w:rPr>
        <w:t>”</w:t>
      </w:r>
    </w:p>
    <w:p w14:paraId="23D28E6D" w14:textId="5180FC9C"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 xml:space="preserve">ZM (VMD) ir iesniegusi VK jaunu informatīvo ziņojumu “Par ugunsapsardzību”, kurā ietverta arī informācija par plānoto izpētes projektu, kā arī sniegts VUGD un VMD esošās situācijas raksturojums un informācija par nepieciešamajiem turpmākajiem ieguldījumiem kapacitātes stiprināšanā (nepieciešamo finansējumu plānots pieprasīt PP ietvaros valsts budžeta likumprojekta sagatavošanas procesā). </w:t>
      </w:r>
      <w:r w:rsidR="00D97598" w:rsidRPr="00307028">
        <w:rPr>
          <w:rFonts w:eastAsiaTheme="minorHAnsi"/>
          <w:lang w:eastAsia="en-US"/>
        </w:rPr>
        <w:t>A</w:t>
      </w:r>
      <w:r w:rsidRPr="00307028">
        <w:rPr>
          <w:rFonts w:eastAsiaTheme="minorHAnsi"/>
          <w:lang w:eastAsia="en-US"/>
        </w:rPr>
        <w:t>r MK 2022. gada 16. augusta sēdes protokolu Nr. 40 27. § 2. punktu noteikts VUGD un VMD īstenot kopīgu pētījumu, lai izvērtētu situāciju un iespējamos risinājumus meža uguns apsardzības un ugunsdzēsības funkcijas nodrošināšanai valsts un privātajos mežos, kā arī nepieciešamās investīcijas materiāltehniskās bāzes uzlabošanai un finansiālo ietekmi uz valsts budžetu. Pēc pētījuma īstenošanas ZM līdz 2025. gada 1. oktobrim jāsagatavo un izskatīšanai MK jāiesniedz ziņojums, kurā ietverti ar pētījuma rezultātiem pamatoti priekšlikumi turpmākai rīcībai.</w:t>
      </w:r>
    </w:p>
    <w:p w14:paraId="653C7122" w14:textId="325F8F2A" w:rsidR="000C07AC" w:rsidRPr="00307028" w:rsidRDefault="000C07AC" w:rsidP="000B531B">
      <w:pPr>
        <w:spacing w:after="120" w:line="259" w:lineRule="auto"/>
        <w:ind w:firstLine="709"/>
        <w:jc w:val="both"/>
        <w:rPr>
          <w:rFonts w:eastAsiaTheme="minorHAnsi"/>
          <w:lang w:eastAsia="en-US"/>
        </w:rPr>
      </w:pPr>
      <w:r w:rsidRPr="00307028">
        <w:rPr>
          <w:rFonts w:eastAsiaTheme="minorHAnsi"/>
          <w:lang w:eastAsia="en-US"/>
        </w:rPr>
        <w:t>VUGD 2022. gada 13. decembrī noslēdza līgumu ar EK par projekta “Esošās situācijas izvērtējums un risinājumu izstrāde optimālākā modeļa ieviešanai meža ugunsapsardzības un ugunsdzēsības funkciju tālākai nodrošināšanai valsts un privātajos mežos Latvijā” (ECHO/SUB/2022/TRACK1/884412”) īstenošanu. Projekta īstenošanas periods 2023. gada 2.janvāris - 2024.gada 31.decembris.</w:t>
      </w:r>
    </w:p>
    <w:p w14:paraId="5FAE9E2C"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8.4. punkts Zemkopības ministrijai sadarbībā ar Latvijas Lauksaimniecības universitāti </w:t>
      </w:r>
      <w:r w:rsidRPr="00307028">
        <w:rPr>
          <w:rFonts w:eastAsiaTheme="minorHAnsi"/>
          <w:bCs/>
          <w:i/>
          <w:iCs/>
          <w:lang w:eastAsia="en-US"/>
        </w:rPr>
        <w:t>izvērtēt Bulduru Dārzkopības vidusskolas darbības modeli un līdz 2021. gada 1. jūnijam sagatavot un iesniegt informāciju par tālāko rīcību izskatīšanai Ministru kabinetā.</w:t>
      </w:r>
      <w:r w:rsidRPr="00307028">
        <w:rPr>
          <w:rFonts w:eastAsiaTheme="minorHAnsi"/>
          <w:lang w:eastAsia="en-US"/>
        </w:rPr>
        <w:t>”</w:t>
      </w:r>
    </w:p>
    <w:p w14:paraId="48F6EF20" w14:textId="3F3CC6D8"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Saskaņā</w:t>
      </w:r>
      <w:r w:rsidR="00221AD8" w:rsidRPr="00307028">
        <w:rPr>
          <w:rFonts w:eastAsiaTheme="minorHAnsi"/>
          <w:lang w:eastAsia="en-US"/>
        </w:rPr>
        <w:t xml:space="preserve"> ar</w:t>
      </w:r>
      <w:r w:rsidRPr="00307028">
        <w:rPr>
          <w:rFonts w:eastAsiaTheme="minorHAnsi"/>
          <w:lang w:eastAsia="en-US"/>
        </w:rPr>
        <w:t xml:space="preserve"> MK 2022. gada 22. novembra</w:t>
      </w:r>
      <w:r w:rsidR="00221AD8" w:rsidRPr="00307028">
        <w:rPr>
          <w:rFonts w:eastAsiaTheme="minorHAnsi"/>
          <w:lang w:eastAsia="en-US"/>
        </w:rPr>
        <w:t xml:space="preserve"> </w:t>
      </w:r>
      <w:r w:rsidRPr="00307028">
        <w:rPr>
          <w:rFonts w:eastAsiaTheme="minorHAnsi"/>
          <w:lang w:eastAsia="en-US"/>
        </w:rPr>
        <w:t>sēdes protokola Nr. 59 43. § 2. punktā noteikto tiek saglabāts likumā “Par sabiedrību ar ierobežotu atbildību “Bulduru Dārzkopības vidusskola”” Bulduru Dārzkopības vidusskolai noteiktais statuss (kapitālsabiedrība), kurā visas kapitāla daļas pieder atvasinātai publiskai personai – Latvijas Biozinātņu un tehnoloģiju universitātei.</w:t>
      </w:r>
    </w:p>
    <w:p w14:paraId="22307BC7" w14:textId="77777777" w:rsidR="00F64ADC" w:rsidRPr="00307028" w:rsidRDefault="00F64ADC"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8.8. punkts </w:t>
      </w:r>
      <w:r w:rsidRPr="00307028">
        <w:rPr>
          <w:rFonts w:eastAsiaTheme="minorHAnsi"/>
          <w:bCs/>
          <w:i/>
          <w:iCs/>
          <w:lang w:eastAsia="en-US"/>
        </w:rPr>
        <w:t xml:space="preserve">pieņemt zināšanai, ka likumprojekta “Par valsts budžetu 2021. gadam” sagatavošanas gaitā </w:t>
      </w:r>
      <w:r w:rsidRPr="00307028">
        <w:rPr>
          <w:rFonts w:eastAsiaTheme="minorHAnsi"/>
          <w:b/>
          <w:lang w:eastAsia="en-US"/>
        </w:rPr>
        <w:t>Kultūras ministrija</w:t>
      </w:r>
      <w:r w:rsidRPr="00307028">
        <w:rPr>
          <w:rFonts w:eastAsiaTheme="minorHAnsi"/>
          <w:bCs/>
          <w:i/>
          <w:iCs/>
          <w:lang w:eastAsia="en-US"/>
        </w:rPr>
        <w:t xml:space="preserve"> sniegs priekšlikumus par valsts budžeta apakšprogrammā 22.05.00 “Valsts vienotā bibliotēku informācijas sistēma” esošā finansējuma pārdali uz citām programmām/apakšprogrammām un izdevumu turpmāku izmantošanu.</w:t>
      </w:r>
      <w:r w:rsidRPr="00307028">
        <w:rPr>
          <w:rFonts w:eastAsiaTheme="minorHAnsi"/>
          <w:lang w:eastAsia="en-US"/>
        </w:rPr>
        <w:t>”</w:t>
      </w:r>
    </w:p>
    <w:p w14:paraId="390934EB" w14:textId="77777777" w:rsidR="00F64ADC" w:rsidRPr="00307028" w:rsidRDefault="00F64ADC" w:rsidP="000B531B">
      <w:pPr>
        <w:spacing w:after="120" w:line="259" w:lineRule="auto"/>
        <w:ind w:firstLine="709"/>
        <w:jc w:val="both"/>
        <w:rPr>
          <w:rFonts w:eastAsiaTheme="minorHAnsi"/>
          <w:lang w:eastAsia="en-US"/>
        </w:rPr>
      </w:pPr>
      <w:r w:rsidRPr="00307028">
        <w:rPr>
          <w:rFonts w:eastAsiaTheme="minorHAnsi"/>
          <w:lang w:eastAsia="en-US"/>
        </w:rPr>
        <w:t>2021. un 2022. gadā KISC datu glabāšana nodota Latvijas Nacionālās bibliotēkas Datu centram. Plānots, ka 2023. gada laikā darbu uzsāks vienotais IKT pārvaldītājs, attiecīgi sakārtojot esošo finansējumu atbilstoši programmām/apakšprogrammām.</w:t>
      </w:r>
    </w:p>
    <w:p w14:paraId="313FFAFB" w14:textId="77777777" w:rsidR="00F64ADC" w:rsidRPr="00307028" w:rsidRDefault="00F64ADC"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8.9. punkts Kultūras ministrijai sadarbībā ar Izglītības ministriju, Labklājības ministriju un Tieslietu ministriju</w:t>
      </w:r>
      <w:r w:rsidRPr="00307028">
        <w:rPr>
          <w:rFonts w:eastAsiaTheme="minorHAnsi"/>
          <w:bCs/>
          <w:i/>
          <w:iCs/>
          <w:lang w:eastAsia="en-US"/>
        </w:rPr>
        <w:t xml:space="preserve"> atkārtoti izvērtēt valsts politiku sabiedrības integrācijas jomā, virzoties uz vienotu un koordinētu valsts politikas īstenošanu sabiedrības integrācijas jomā, kā arī ņemot vērā sabiedrības integrācijas politikas horizontālo raksturu un katras iesaistītās ministrijas funkcijas, un Kultūras ministrijai iesniegt attiecīgu informāciju 2021.gada izdevumu pārskatīšanas ietvaros</w:t>
      </w:r>
      <w:r w:rsidRPr="00307028">
        <w:rPr>
          <w:rFonts w:eastAsiaTheme="minorHAnsi"/>
          <w:lang w:eastAsia="en-US"/>
        </w:rPr>
        <w:t>”</w:t>
      </w:r>
    </w:p>
    <w:p w14:paraId="7E8C4054" w14:textId="77777777" w:rsidR="00F64ADC" w:rsidRPr="00307028" w:rsidRDefault="00F64ADC" w:rsidP="00F64ADC">
      <w:pPr>
        <w:spacing w:after="120" w:line="259" w:lineRule="auto"/>
        <w:ind w:firstLine="709"/>
        <w:jc w:val="both"/>
        <w:rPr>
          <w:rFonts w:eastAsiaTheme="minorHAnsi"/>
          <w:lang w:eastAsia="en-US"/>
        </w:rPr>
      </w:pPr>
      <w:r w:rsidRPr="00307028">
        <w:rPr>
          <w:rFonts w:eastAsiaTheme="minorHAnsi"/>
          <w:lang w:eastAsia="en-US"/>
        </w:rPr>
        <w:t xml:space="preserve">MK 2021. gada 7. decembra sēdē tika atbalstīts priekšlikums par SIF noteikšanu par atbildīgo iestādi patvēruma meklētāju un starptautiskās aizsardzības saņēmēju sociālekonomiskās iekļaušanas koordinācijas jomā un priekšlikums par starpnozaru darba </w:t>
      </w:r>
      <w:r w:rsidRPr="00307028">
        <w:rPr>
          <w:rFonts w:eastAsiaTheme="minorHAnsi"/>
          <w:lang w:eastAsia="en-US"/>
        </w:rPr>
        <w:lastRenderedPageBreak/>
        <w:t>grupas patvēruma meklētāju un starptautiskās aizsardzības saņēmēju sociālekonomiskās iekļaušanas jautājumu izskatīšanai izveidi. SIF tika uzdots veikt</w:t>
      </w:r>
      <w:r w:rsidRPr="00307028">
        <w:rPr>
          <w:rStyle w:val="FootnoteReference"/>
          <w:rFonts w:eastAsiaTheme="minorHAnsi"/>
          <w:lang w:eastAsia="en-US"/>
        </w:rPr>
        <w:footnoteReference w:id="3"/>
      </w:r>
      <w:r w:rsidRPr="00307028">
        <w:rPr>
          <w:rFonts w:eastAsiaTheme="minorHAnsi"/>
          <w:lang w:eastAsia="en-US"/>
        </w:rPr>
        <w:t xml:space="preserve"> rīcības virziena “Sociālekonomiskā iekļaušana” iekļauto uzdevumu un to izpildes kvalitatīvu izvērtējumu un sagatavot priekšlikumus plāna pilnveidei, izvērtējuma rezultātus līdz 2023. gada 16. janvārim iesniedzot Ministru prezidentam. Vienlaikus tika noteikts atbalstīt divu amata vietu izveidi SIF no 2022. gada 1. janvāra. Virzība uz vienotu un koordinētu politiku sabiedrības integrācijas jomā notiek un šī tēma atkārtoti tiks skatīta kādā no nākamajām izdevumu pārskatīšanām. </w:t>
      </w:r>
    </w:p>
    <w:p w14:paraId="1F0D2E26" w14:textId="77777777" w:rsidR="00F64ADC" w:rsidRPr="00307028" w:rsidRDefault="00F64ADC"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17. punkts Tieslietu ministrijai sadarbībā ar Iekšlietu ministriju</w:t>
      </w:r>
      <w:r w:rsidRPr="00307028">
        <w:rPr>
          <w:rFonts w:eastAsiaTheme="minorHAnsi"/>
          <w:bCs/>
          <w:i/>
          <w:iCs/>
          <w:lang w:eastAsia="en-US"/>
        </w:rPr>
        <w:t xml:space="preserve"> izvērtēt ieslodzīto konvojēšanas funkcijas nodrošinājumu Valsts policijā un Ieslodzījuma vietu pārvaldē, izstrādājot efektīvāko risinājumu, tai skaitā vērtējot tiesas procesu organizēšanas iespējas ar videokonferenču starpniecību un ar esošajām valsts budžeta finansiālajām iespējām, pēc saskaņošanas ar Finanšu ministriju līdz 2021. gada 1. jūnijam iesniegt priekšlikumus ieslodzīto konvojēšanas funkcijas pārskatīšanai izskatīšanai Ministru kabinetā.</w:t>
      </w:r>
      <w:r w:rsidRPr="00307028">
        <w:rPr>
          <w:rFonts w:eastAsiaTheme="minorHAnsi"/>
          <w:lang w:eastAsia="en-US"/>
        </w:rPr>
        <w:t>”</w:t>
      </w:r>
    </w:p>
    <w:p w14:paraId="57B02F0F" w14:textId="77777777" w:rsidR="00F64ADC" w:rsidRPr="00307028" w:rsidRDefault="00F64ADC" w:rsidP="000B531B">
      <w:pPr>
        <w:spacing w:after="120" w:line="259" w:lineRule="auto"/>
        <w:ind w:firstLine="720"/>
        <w:jc w:val="both"/>
        <w:rPr>
          <w:rFonts w:eastAsiaTheme="minorHAnsi"/>
          <w:lang w:eastAsia="en-US"/>
        </w:rPr>
      </w:pPr>
      <w:r w:rsidRPr="00307028">
        <w:rPr>
          <w:rFonts w:eastAsiaTheme="minorHAnsi"/>
          <w:lang w:eastAsia="en-US"/>
        </w:rPr>
        <w:t>TM ir izstrādājusi jaunu konceptuālo ziņojumu (22-TA-2142) par ieslodzīto konvojēšanas funkcijas pārdales īstenošanas plānu, paredzot, ka sākot ar 2025. gada 1. jūliju IeVP no VP pārņem ieslodzīto konvojēšanu starp ieslodzījuma vietām un konvojēšanu uz tiesu, bet no 2027. gada 1. janvāra konvojēšanu no ieslodzījuma vietas uz VP īslaicīgās aizturēšanas vietu un no ieslodzījuma vietas medicīniskās ekspertīzes veikšanai.</w:t>
      </w:r>
    </w:p>
    <w:p w14:paraId="4440831B"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18. punkts Izglītības un zinātnes ministrijai sadarbībā ar Ekonomikas ministriju, Kultūras ministriju, Iekšlietu ministriju, Zemkopības ministriju un Veselības ministriju </w:t>
      </w:r>
      <w:r w:rsidRPr="00307028">
        <w:rPr>
          <w:rFonts w:eastAsiaTheme="minorHAnsi"/>
          <w:bCs/>
          <w:i/>
          <w:iCs/>
          <w:lang w:eastAsia="en-US"/>
        </w:rPr>
        <w:t>izvērtēt profesionālās izglītības mācību programmu piedāvājumu izglītības iestādēs un to atbilstību darba tirgus tendencēm, un Izglītības un zinātnes ministrijai iesniegt attiecīgu informāciju 2021. gada izdevumu pārskatīšanas ietvaros.</w:t>
      </w:r>
      <w:r w:rsidRPr="00307028">
        <w:rPr>
          <w:rFonts w:eastAsiaTheme="minorHAnsi"/>
          <w:lang w:eastAsia="en-US"/>
        </w:rPr>
        <w:t>”</w:t>
      </w:r>
    </w:p>
    <w:p w14:paraId="643AB9C8" w14:textId="1BEF5DDA"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Saskaņā ar IZM 2021. gada 6. aprīļa rīkojumu Nr. 1-2e/21/119 “Par profesionālās izglītības kompetences centru uzdevumiem” IZM padotībā esošajiem profesionālās izglītības kompetences centriem</w:t>
      </w:r>
      <w:r w:rsidR="00221AD8" w:rsidRPr="00307028">
        <w:rPr>
          <w:rStyle w:val="FootnoteReference"/>
          <w:rFonts w:eastAsiaTheme="minorHAnsi"/>
          <w:lang w:eastAsia="en-US"/>
        </w:rPr>
        <w:footnoteReference w:id="4"/>
      </w:r>
      <w:r w:rsidRPr="00307028">
        <w:rPr>
          <w:rFonts w:eastAsiaTheme="minorHAnsi"/>
          <w:lang w:eastAsia="en-US"/>
        </w:rPr>
        <w:t xml:space="preserve"> atbilstoši noteiktajam nozaru sadalījumam, sadarbojoties nozaru pārstāvjiem un iesaistot izglītības iestādes, kas īsteno izglītības programmas attiecīgajā metodiskajā jomā, jānodrošina metodiskā darba virsvadības un līdzatbildības uzdevumu izpilde.</w:t>
      </w:r>
      <w:r w:rsidR="00221AD8" w:rsidRPr="00307028">
        <w:rPr>
          <w:rFonts w:eastAsiaTheme="minorHAnsi"/>
          <w:lang w:eastAsia="en-US"/>
        </w:rPr>
        <w:t xml:space="preserve"> </w:t>
      </w:r>
      <w:r w:rsidRPr="00307028">
        <w:rPr>
          <w:rFonts w:eastAsiaTheme="minorHAnsi"/>
          <w:lang w:eastAsia="en-US"/>
        </w:rPr>
        <w:t>Profesionālās izglītības programmu piedāvājums valsts finansētās profesionālās izglītības programmās tiek izvērtēts un plānots sadarbībā ar nozaru ekspertu padomēm (NEP), sociālo partneru iesniegtajiem priekšlikumiem, nozaru ministrijām un EM darba tirgus vidējā un ilgtermiņa prognozēm un darba tirgus tendencēm, kas balstās uz EM izstrādātajiem tautsaimniecības attīstības un demogrāfijas scenārijiem. IZM padotības profesionālās izglītības iestāžu izglītojamo uzņemšana valsts finansētās programmās plānota sadarbībā ar sociālo partneru iesniegtajiem priekšlikumiem, izglītības iestāžu attīstības stratēģijām, materiāli tehniskās bāzes, telpu un pedagogu nodrošinājumu, esošajiem un plānotajiem ieguldījumiem un investīcijām programmu attīstībā, iepriekšējā gada uzņemšanas rezultātiem, atskaitīto skaita izmaiņām, statistikas un absolventu monitoringa rādītājiem, IZM noteiktajām izglītības iestāžu metodiskajām jomām, citiem izglītības iestādes kvalitatīviem un kvantitatīviem rādītājiem (akreditācijas rezultāti, izglītojamo dinamika), programmu satura aktualitātēm. Kārtējā gada plāns tiek saskaņots ar NEP, iesniegts izskatīšanai un saskaņošanai Profesionālās izglītības un nodarbinātības trīspusējās sadarbības apakšpadomē.</w:t>
      </w:r>
    </w:p>
    <w:p w14:paraId="3BF60ACB"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lastRenderedPageBreak/>
        <w:t>“</w:t>
      </w:r>
      <w:r w:rsidRPr="00307028">
        <w:rPr>
          <w:rFonts w:eastAsiaTheme="minorHAnsi"/>
          <w:b/>
          <w:lang w:eastAsia="en-US"/>
        </w:rPr>
        <w:t xml:space="preserve">19. punkts Izglītības un zinātnes ministrijai </w:t>
      </w:r>
      <w:r w:rsidRPr="00307028">
        <w:rPr>
          <w:rFonts w:eastAsiaTheme="minorHAnsi"/>
          <w:bCs/>
          <w:i/>
          <w:iCs/>
          <w:lang w:eastAsia="en-US"/>
        </w:rPr>
        <w:t>uzlabot datu kvalitāti un nodrošināt datu analīzi, tai skaitā pa izglītības finansēšanas avotiem, Valsts izglītības informācijas sistēmā (VIIS) par profesionālās izglītības mācību iestādēm, kā arī uzlabot no augstskolām saņemto finansējuma izlietojuma datu kvalitāti atbilstoši informatīvajā ziņojumā izdarītajiem secinājumiem un iesniegt attiecīgu informāciju 2021. gada izdevumu pārskatīšanas ietvaros.</w:t>
      </w:r>
      <w:r w:rsidRPr="00307028">
        <w:rPr>
          <w:rFonts w:eastAsiaTheme="minorHAnsi"/>
          <w:lang w:eastAsia="en-US"/>
        </w:rPr>
        <w:t>”</w:t>
      </w:r>
    </w:p>
    <w:p w14:paraId="6908DF1E" w14:textId="77777777"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Veikti grozījumi MK 2019. gada 25. jūnija noteikumos Nr.276 “Valsts izglītības informācijas sistēmas noteikumi”.</w:t>
      </w:r>
    </w:p>
    <w:p w14:paraId="76E53732" w14:textId="37703975" w:rsidR="008C7D85" w:rsidRPr="00307028" w:rsidRDefault="008C7D85" w:rsidP="000B531B">
      <w:pPr>
        <w:spacing w:line="259" w:lineRule="auto"/>
        <w:jc w:val="center"/>
        <w:rPr>
          <w:rFonts w:eastAsiaTheme="minorHAnsi"/>
          <w:b/>
          <w:lang w:eastAsia="en-US"/>
        </w:rPr>
      </w:pPr>
      <w:bookmarkStart w:id="52" w:name="_Hlk112334391"/>
      <w:r w:rsidRPr="00307028">
        <w:rPr>
          <w:rFonts w:eastAsiaTheme="minorHAnsi"/>
          <w:b/>
          <w:lang w:eastAsia="en-US"/>
        </w:rPr>
        <w:t xml:space="preserve">Izpildes statuss par MK 2019. gada 20. augusta </w:t>
      </w:r>
    </w:p>
    <w:p w14:paraId="52835FBD" w14:textId="77777777" w:rsidR="008C7D85" w:rsidRPr="00307028" w:rsidRDefault="008C7D85" w:rsidP="000B531B">
      <w:pPr>
        <w:spacing w:after="120" w:line="259" w:lineRule="auto"/>
        <w:jc w:val="center"/>
        <w:rPr>
          <w:rFonts w:eastAsiaTheme="minorHAnsi"/>
          <w:b/>
          <w:lang w:eastAsia="en-US"/>
        </w:rPr>
      </w:pPr>
      <w:r w:rsidRPr="00307028">
        <w:rPr>
          <w:rFonts w:eastAsiaTheme="minorHAnsi"/>
          <w:b/>
          <w:lang w:eastAsia="en-US"/>
        </w:rPr>
        <w:t>sēdes protokola Nr. 35 26. § uzdevumiem</w:t>
      </w:r>
    </w:p>
    <w:bookmarkEnd w:id="52"/>
    <w:p w14:paraId="14FCC921"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Izpildītie uzdevumi:</w:t>
      </w:r>
    </w:p>
    <w:p w14:paraId="40BCA6F1" w14:textId="595ACF55"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25. punkts Atbalstīt Izglītības un zinātnes ministrijas</w:t>
      </w:r>
      <w:r w:rsidRPr="00307028">
        <w:rPr>
          <w:rFonts w:eastAsiaTheme="minorHAnsi"/>
          <w:bCs/>
          <w:i/>
          <w:iCs/>
          <w:lang w:eastAsia="en-US"/>
        </w:rPr>
        <w:t xml:space="preserve"> priekšlikumu izvērtēt un piedāvāt izmaiņas studiju finansēšanas principos (1. pīlāra finansējums), tai skaitā izvērtējot budžeta vietas un maksas vietas finansēšanas principus.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07028">
        <w:rPr>
          <w:rFonts w:eastAsiaTheme="minorHAnsi"/>
          <w:lang w:eastAsia="en-US"/>
        </w:rPr>
        <w:t>”</w:t>
      </w:r>
      <w:r w:rsidR="007B59B6" w:rsidRPr="00307028">
        <w:rPr>
          <w:rFonts w:eastAsiaTheme="minorHAnsi"/>
          <w:lang w:eastAsia="en-US"/>
        </w:rPr>
        <w:t xml:space="preserve"> un “</w:t>
      </w:r>
      <w:r w:rsidR="007B59B6" w:rsidRPr="00307028">
        <w:rPr>
          <w:rFonts w:eastAsiaTheme="minorHAnsi"/>
          <w:b/>
          <w:lang w:eastAsia="en-US"/>
        </w:rPr>
        <w:t xml:space="preserve">28. punkts </w:t>
      </w:r>
      <w:r w:rsidR="007B59B6" w:rsidRPr="00307028">
        <w:rPr>
          <w:rFonts w:eastAsiaTheme="minorHAnsi"/>
          <w:bCs/>
          <w:i/>
          <w:iCs/>
          <w:lang w:eastAsia="en-US"/>
        </w:rPr>
        <w:t xml:space="preserve">Atbalstīt </w:t>
      </w:r>
      <w:r w:rsidR="007B59B6" w:rsidRPr="00307028">
        <w:rPr>
          <w:rFonts w:eastAsiaTheme="minorHAnsi"/>
          <w:b/>
          <w:lang w:eastAsia="en-US"/>
        </w:rPr>
        <w:t xml:space="preserve">Izglītības un zinātnes ministrijas </w:t>
      </w:r>
      <w:r w:rsidR="007B59B6" w:rsidRPr="00307028">
        <w:rPr>
          <w:rFonts w:eastAsiaTheme="minorHAnsi"/>
          <w:bCs/>
          <w:i/>
          <w:iCs/>
          <w:lang w:eastAsia="en-US"/>
        </w:rPr>
        <w:t>priekšlikumu sagatavot izmaiņas studiju maksas noteikšanas principos visu līmeņu studiju programmās.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007B59B6" w:rsidRPr="00307028">
        <w:rPr>
          <w:rFonts w:eastAsiaTheme="minorHAnsi"/>
          <w:lang w:eastAsia="en-US"/>
        </w:rPr>
        <w:t>”</w:t>
      </w:r>
    </w:p>
    <w:p w14:paraId="46BDB5A2" w14:textId="01D20A1D" w:rsidR="00C61CF8" w:rsidRPr="00307028" w:rsidRDefault="00C61CF8" w:rsidP="000B531B">
      <w:pPr>
        <w:spacing w:after="120" w:line="259" w:lineRule="auto"/>
        <w:ind w:firstLine="709"/>
        <w:jc w:val="both"/>
        <w:rPr>
          <w:rFonts w:eastAsiaTheme="minorHAnsi"/>
          <w:lang w:eastAsia="en-US"/>
        </w:rPr>
      </w:pPr>
      <w:r w:rsidRPr="00307028">
        <w:rPr>
          <w:rFonts w:eastAsiaTheme="minorHAnsi"/>
          <w:lang w:eastAsia="en-US"/>
        </w:rPr>
        <w:t xml:space="preserve">Ministrija ir sagatavojusi konceptuālā ziņojuma projektu “Par turpmāko augstākās izglītības finansēšanu” (22-TA-2602). 2022. gada vasarā ir notikušas aktīvas diskusijas ar nozari par ministrijas priekšlikumiem, kā arī sabiedriskā apspriede, tai skaitā par līdzmaksājuma konceptu. 2023. gada vasarā ministrija virzīs pārstrādāto ziņojuma projektu, atstājot daļu no priekšlikumiem (piemēram, par jauniem snieguma kritērijiem, II pīlārs), bet pārstrādājot daļu no priekšlikumiem attiecībā uz studiju finansējumu (I pīlārs). Proti, finansēšanas principi ir jāmaina attiecībā uz augstskolu piešķiramo studiju finansējumu, atsakoties no vienības “budžeta vieta” kā galvenā elementa. Taču attiecībā uz studējošiem varētu saglabāties iespējas studēt </w:t>
      </w:r>
      <w:r w:rsidR="00480A78" w:rsidRPr="00307028">
        <w:rPr>
          <w:rFonts w:eastAsiaTheme="minorHAnsi"/>
          <w:lang w:eastAsia="en-US"/>
        </w:rPr>
        <w:t xml:space="preserve">arī </w:t>
      </w:r>
      <w:r w:rsidRPr="00307028">
        <w:rPr>
          <w:rFonts w:eastAsiaTheme="minorHAnsi"/>
          <w:lang w:eastAsia="en-US"/>
        </w:rPr>
        <w:t>bez maksas. IZM ieskatā sākot ar 2024. gadu būtu jāpāriet no budžeta vietu noteikšanas uz augstskolu institucionālo finansējumu. Tā ietvaros pašai augstskolai pēc diskusijām ar padomi un studējošo pašpārvaldi būtu tiesības izlemt, cik studentu uzņemt studiju vietās bez maksas, cik par maksu, cik ar līdzmaksājumu. Savukārt snieguma rādītāji būtu veids, kā ministrija vadītu augstskolas darbības iznākumu un kvalitāti.</w:t>
      </w:r>
    </w:p>
    <w:p w14:paraId="36ABCE72"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bCs/>
          <w:lang w:eastAsia="en-US"/>
        </w:rPr>
        <w:t>34. punkts Veselības ministrijai</w:t>
      </w:r>
      <w:r w:rsidRPr="00307028">
        <w:rPr>
          <w:rFonts w:eastAsiaTheme="minorHAnsi"/>
          <w:lang w:eastAsia="en-US"/>
        </w:rPr>
        <w:t xml:space="preserve"> </w:t>
      </w:r>
      <w:r w:rsidRPr="00307028">
        <w:rPr>
          <w:rFonts w:eastAsiaTheme="minorHAnsi"/>
          <w:i/>
          <w:iCs/>
          <w:lang w:eastAsia="en-US"/>
        </w:rPr>
        <w:t>izstrādāt sistemātisku daudzgadu valsts investīciju programmu ar nepieciešamajiem kapitālajiem ieguldījumiem ārstniecības iestādēs. Pēc minēto darbību veikšanas Veselības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307028">
        <w:rPr>
          <w:rFonts w:eastAsiaTheme="minorHAnsi"/>
          <w:lang w:eastAsia="en-US"/>
        </w:rPr>
        <w:t>” un “</w:t>
      </w:r>
      <w:r w:rsidRPr="00307028">
        <w:rPr>
          <w:rFonts w:eastAsiaTheme="minorHAnsi"/>
          <w:b/>
          <w:bCs/>
          <w:lang w:eastAsia="en-US"/>
        </w:rPr>
        <w:t>35. punkts Veselības ministrijai</w:t>
      </w:r>
      <w:r w:rsidRPr="00307028">
        <w:rPr>
          <w:rFonts w:eastAsiaTheme="minorHAnsi"/>
          <w:lang w:eastAsia="en-US"/>
        </w:rPr>
        <w:t xml:space="preserve"> </w:t>
      </w:r>
      <w:r w:rsidRPr="00307028">
        <w:rPr>
          <w:rFonts w:eastAsiaTheme="minorHAnsi"/>
          <w:i/>
          <w:iCs/>
          <w:lang w:eastAsia="en-US"/>
        </w:rPr>
        <w:t xml:space="preserve">izstrādāt investīciju programmu ar nepieciešamajiem kapitālajiem ieguldījumiem V līmeņa ārstniecības iestādēs 2020.gadā un likumprojektu “Par valsts budžetu 2020. gadam” un “Par vidēja termiņa budžeta ietvaru 2020., 2021. un 2022.gadam” sagatavošanas laikā iesniegt attiecīgu informāciju Finanšu ministrijā. Finanšu ministrijai iekļaut Veselības ministrijas maksimāli pieļaujamo valsts budžeta izdevumu kopējā apjomā (ieņēmumu daļā un attiecīgi </w:t>
      </w:r>
      <w:r w:rsidRPr="00307028">
        <w:rPr>
          <w:rFonts w:eastAsiaTheme="minorHAnsi"/>
          <w:i/>
          <w:iCs/>
          <w:lang w:eastAsia="en-US"/>
        </w:rPr>
        <w:lastRenderedPageBreak/>
        <w:t>finansēšanā “Akcijas un cita līdzdalība pašu kapitālā”) finansējumu, lai palielinātu pamatkapitālu ar finanšu ieguldījumu investīciju programmas īstenošanai V līmeņa ārstniecības iestādēs 2020. gadā, ja tiek nodrošināts fiskāli neitrāls risinājums, V līmeņa ārstniecības iestādēs palielinot papildus veselības aprūpes pakalpojumu apjomu un ieņēmumus.</w:t>
      </w:r>
      <w:r w:rsidRPr="00307028">
        <w:rPr>
          <w:rFonts w:eastAsiaTheme="minorHAnsi"/>
          <w:lang w:eastAsia="en-US"/>
        </w:rPr>
        <w:t>”</w:t>
      </w:r>
    </w:p>
    <w:p w14:paraId="781BCE64" w14:textId="4586FB32"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Atveseļošanās un noturības mehānisma ietvaros VM ir izstrādājusi informatīvo ziņojumu “Par veselības aprūpes nodrošināšanas infrastruktūras attīstības investīciju stratēģiju 2021. – 2027. gadam”, kas izskatīts 2022. gada 14. jūlija MK sēdē un ietver informāciju par infrastruktūras attīstības vajadzībām valsts apmaksāto pakalpojumu attīstībai. Ziņojuma saturu veido esošās situācijas analīze, t.sk. kartējums pa veselības aprūpes līmeņiem un horizontālajām jomām, identificējot iepriekš veiktos ieguldījumus, esošās problēmas un prioritārās vajadzības, kas pamato un prioritizē no 2021. gada veiktās un līdz 2027. gadam plānotās publiskā</w:t>
      </w:r>
      <w:r w:rsidR="008235B9" w:rsidRPr="00307028">
        <w:rPr>
          <w:rFonts w:eastAsiaTheme="minorHAnsi"/>
          <w:lang w:eastAsia="en-US"/>
        </w:rPr>
        <w:t>s</w:t>
      </w:r>
      <w:r w:rsidRPr="00307028">
        <w:rPr>
          <w:rFonts w:eastAsiaTheme="minorHAnsi"/>
          <w:lang w:eastAsia="en-US"/>
        </w:rPr>
        <w:t xml:space="preserve"> investīcijas veselības aprūpes infrastruktūrā. Izvērtējot prioritātes, investīciju ieguldījumu termiņus un nosacījumus, sabalansēti tiek plānotas gan ES struktūrfondu 2014. – 2020. gada plānošanas perioda papildus investīcijas, </w:t>
      </w:r>
      <w:r w:rsidR="008235B9" w:rsidRPr="00307028">
        <w:rPr>
          <w:rFonts w:eastAsiaTheme="minorHAnsi"/>
          <w:lang w:eastAsia="en-US"/>
        </w:rPr>
        <w:t>ANM</w:t>
      </w:r>
      <w:r w:rsidRPr="00307028">
        <w:rPr>
          <w:rFonts w:eastAsiaTheme="minorHAnsi"/>
          <w:lang w:eastAsia="en-US"/>
        </w:rPr>
        <w:t xml:space="preserve"> plāna investīcijas, kā arī no valsts budžeta piešķirtās papildus investīcijas Covid-19 pandēmijas seku pārvarēšanai, Solidaritātes fonda un ES fondu jaunā perioda 2021. – 2027. gada investīcijas 1 mljrd. </w:t>
      </w:r>
      <w:r w:rsidRPr="00307028">
        <w:rPr>
          <w:rFonts w:eastAsiaTheme="minorHAnsi"/>
          <w:i/>
          <w:iCs/>
          <w:lang w:eastAsia="en-US"/>
        </w:rPr>
        <w:t>euro</w:t>
      </w:r>
      <w:r w:rsidRPr="00307028">
        <w:rPr>
          <w:rFonts w:eastAsiaTheme="minorHAnsi"/>
          <w:lang w:eastAsia="en-US"/>
        </w:rPr>
        <w:t xml:space="preserve"> apjomā.</w:t>
      </w:r>
    </w:p>
    <w:p w14:paraId="5DC9D082" w14:textId="77777777" w:rsidR="008C7D85" w:rsidRPr="00307028" w:rsidRDefault="008C7D85" w:rsidP="000B531B">
      <w:pPr>
        <w:spacing w:after="120" w:line="259" w:lineRule="auto"/>
        <w:jc w:val="both"/>
        <w:rPr>
          <w:rFonts w:eastAsiaTheme="minorHAnsi"/>
          <w:b/>
          <w:u w:val="single"/>
          <w:lang w:eastAsia="en-US"/>
        </w:rPr>
      </w:pPr>
      <w:r w:rsidRPr="00307028">
        <w:rPr>
          <w:rFonts w:eastAsiaTheme="minorHAnsi"/>
          <w:b/>
          <w:u w:val="single"/>
          <w:lang w:eastAsia="en-US"/>
        </w:rPr>
        <w:t>Uzsāktie uzdevumi:</w:t>
      </w:r>
    </w:p>
    <w:p w14:paraId="2250E092"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27. punkts Atbalstīt Izglītības un zinātnes ministrijas </w:t>
      </w:r>
      <w:r w:rsidRPr="00307028">
        <w:rPr>
          <w:rFonts w:eastAsiaTheme="minorHAnsi"/>
          <w:bCs/>
          <w:i/>
          <w:iCs/>
          <w:lang w:eastAsia="en-US"/>
        </w:rPr>
        <w:t>priekšlikumu nodrošināt studiju programmu skaita izmaiņas saskaņā ar mērķa rādītājiem Darbības programmas "Izaugsme un nodarbinātība" 8.2.1. specifiskā atbalsta mērķa "Samazināt studiju programmu fragmentāciju un stiprināt resursu koplietošanu" ietvaros no 916 studiju programmām 2017. gadā uz 800 programmām 2023. gadā, kā arī tā ietvaros plānoto jauno kopīgo doktorantūras programmu un programmu angļu valodā izveidi, tādā veidā uzlabojot Latvijas augstākās izglītības starptautisko konkurētspēju. Studiju jomu pārklāšanās ir vērtējama pēc jaunā akreditācijas posma, kas notiks no 2020. līdz 2023. gadam (piemēram, sociālo zinātņu programmās 2020. – 2021. gadā).</w:t>
      </w:r>
      <w:r w:rsidRPr="00307028">
        <w:rPr>
          <w:rFonts w:eastAsiaTheme="minorHAnsi"/>
          <w:lang w:eastAsia="en-US"/>
        </w:rPr>
        <w:t>”</w:t>
      </w:r>
    </w:p>
    <w:p w14:paraId="13C4169C" w14:textId="77777777" w:rsidR="008C7D85"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IZM norāda, ka 8.2.1. specifiskā atbalsta mērķa “Samazināt studiju programmu fragmentāciju un stiprināt resursu koplietošanu” ietvaros tiek īstenoti 20 projekti (6 projekti 1. kārtā un 14 projekti 2. kārtā), kuru rezultātā līdz 2023. gada beigām tiks slēgtas 217 studiju programmas un izveidotas 8 jaunas kopīgās doktorantūras studiju programmas, kā arī 60 studiju programmas angļu valodā un 26 pedagoģijas studiju programmas. Šī ziņojuma sagatavošanas brīdī ir slēgtas 97 studiju programmas, bet vēl 123 studiju programmās nenotiek jaunu studentu uzņemšana (studijas pabeidz tikai esošie studenti).</w:t>
      </w:r>
    </w:p>
    <w:p w14:paraId="6576AE6F"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32. punkts Veselības ministrijai </w:t>
      </w:r>
      <w:r w:rsidRPr="00307028">
        <w:rPr>
          <w:rFonts w:eastAsiaTheme="minorHAnsi"/>
          <w:bCs/>
          <w:i/>
          <w:iCs/>
          <w:lang w:eastAsia="en-US"/>
        </w:rPr>
        <w:t>līdz 2021. gada 1. janvārim pārskatīt ģimenes ārsta darbības kvalitātes kritērijus saistībā ar viņa reģistrēto pacientu plūsmu stacionāru uzņemšanas nodaļās un hospitalizāciju skaitu attiecībā pret vidējo valstī.</w:t>
      </w:r>
      <w:r w:rsidRPr="00307028">
        <w:rPr>
          <w:rFonts w:eastAsiaTheme="minorHAnsi"/>
          <w:lang w:eastAsia="en-US"/>
        </w:rPr>
        <w:t>”</w:t>
      </w:r>
    </w:p>
    <w:p w14:paraId="150ED35C"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Lai uzlabotu primārās veselības aprūpes pieejamību, VM kopā ar nozares speciālistiem turpina darbu pie primārās veselības prakses standarta izstrādes.</w:t>
      </w:r>
    </w:p>
    <w:p w14:paraId="74CF2DA3" w14:textId="77777777" w:rsidR="008C7D85" w:rsidRPr="00307028" w:rsidRDefault="008C7D85" w:rsidP="000B531B">
      <w:pPr>
        <w:spacing w:after="120" w:line="259" w:lineRule="auto"/>
        <w:jc w:val="both"/>
        <w:rPr>
          <w:rFonts w:eastAsiaTheme="minorHAnsi"/>
          <w:lang w:eastAsia="en-US"/>
        </w:rPr>
      </w:pPr>
      <w:r w:rsidRPr="00307028">
        <w:rPr>
          <w:rFonts w:eastAsiaTheme="minorHAnsi"/>
          <w:lang w:eastAsia="en-US"/>
        </w:rPr>
        <w:t>“</w:t>
      </w:r>
      <w:r w:rsidRPr="00307028">
        <w:rPr>
          <w:rFonts w:eastAsiaTheme="minorHAnsi"/>
          <w:b/>
          <w:lang w:eastAsia="en-US"/>
        </w:rPr>
        <w:t xml:space="preserve">33. punkts Veselības ministrijai </w:t>
      </w:r>
      <w:r w:rsidRPr="00307028">
        <w:rPr>
          <w:rFonts w:eastAsiaTheme="minorHAnsi"/>
          <w:bCs/>
          <w:i/>
          <w:iCs/>
          <w:lang w:eastAsia="en-US"/>
        </w:rPr>
        <w:t>līdz 2020. gada 1. oktobrim iesniegt Finanšu ministrijā informāciju par projekta “Slimnīcu sadarbības teritorijas” rezultātiem, tai skaitā par identificētajām problēmām, izstrādātajiem ieteikumiem (par cik samazināti speciālisti, cik bijušas pārbaudes, vai slimnīcām ir izmaiņas līmeņos).</w:t>
      </w:r>
      <w:r w:rsidRPr="00307028">
        <w:rPr>
          <w:rFonts w:eastAsiaTheme="minorHAnsi"/>
          <w:lang w:eastAsia="en-US"/>
        </w:rPr>
        <w:t>”</w:t>
      </w:r>
    </w:p>
    <w:p w14:paraId="4B16AF6A" w14:textId="77777777" w:rsidR="008C7D85" w:rsidRPr="00307028" w:rsidRDefault="008C7D85" w:rsidP="000B531B">
      <w:pPr>
        <w:spacing w:after="120" w:line="259" w:lineRule="auto"/>
        <w:ind w:firstLine="720"/>
        <w:jc w:val="both"/>
        <w:rPr>
          <w:rFonts w:eastAsiaTheme="minorHAnsi"/>
          <w:lang w:eastAsia="en-US"/>
        </w:rPr>
      </w:pPr>
      <w:r w:rsidRPr="00307028">
        <w:rPr>
          <w:rFonts w:eastAsiaTheme="minorHAnsi"/>
          <w:lang w:eastAsia="en-US"/>
        </w:rPr>
        <w:t xml:space="preserve">Atbilstoši Ministru prezidenta rezolūcijai VM tika lūgta sniegt priekšlikumus par slimnīcu pakalpojumu tīkla attīstību, lai nodrošinātu kvalitatīvu, drošu un ilgtspējīgu veselības </w:t>
      </w:r>
      <w:r w:rsidRPr="00307028">
        <w:rPr>
          <w:rFonts w:eastAsiaTheme="minorHAnsi"/>
          <w:lang w:eastAsia="en-US"/>
        </w:rPr>
        <w:lastRenderedPageBreak/>
        <w:t>aprūpes pakalpojumu pieejamību, kas ietver arī efektīvu ārstniecības iestāžu infrastruktūras un cilvēkkapitāla resursu izmantošanu, to atspoguļojot arī shematiski kartē. VM sagatavoja un iesniedza izskatīšanai MK priekšlikumus par slimnīcu tīkla stiprināšanu (TA-1007). 2023. gada 30. maija MK sēdes protokollēmuma Nr. 28 2. § paredz VM sagatavot un līdz 2023. gada 15. augustam iesniegt izskatīšanai MK informatīvo ziņojumu ar kritērijiem par katrā slimnīcu līmenī nodrošināmajiem pakalpojumiem, plānotajām izmaiņām sniedzamo pakalpojumu klāstā un to, kā ir plānots nodrošināt iedzīvotājiem piekļuvi veselības pakalpojumiem pēc slimnīcu tīkla stiprināšanas (tai skaitā speciālistu pieejamība attiecīgā līmeņa slimnīcās), kā arī veicot ietekmes izvērtējumu uz valsts un pašvaldību budžetiem.</w:t>
      </w:r>
    </w:p>
    <w:p w14:paraId="0C5B40FF" w14:textId="77777777" w:rsidR="008C7D85" w:rsidRPr="00307028" w:rsidRDefault="008C7D85" w:rsidP="000B531B">
      <w:pPr>
        <w:spacing w:line="259" w:lineRule="auto"/>
        <w:jc w:val="center"/>
        <w:rPr>
          <w:rFonts w:eastAsiaTheme="minorHAnsi"/>
          <w:b/>
          <w:lang w:eastAsia="en-US"/>
        </w:rPr>
      </w:pPr>
      <w:r w:rsidRPr="00307028">
        <w:rPr>
          <w:rFonts w:eastAsiaTheme="minorHAnsi"/>
          <w:b/>
          <w:lang w:eastAsia="en-US"/>
        </w:rPr>
        <w:t>Izpildes statuss par MK 2016. gada 31. maija</w:t>
      </w:r>
    </w:p>
    <w:p w14:paraId="23D92A57" w14:textId="77777777" w:rsidR="008C7D85" w:rsidRPr="00307028" w:rsidRDefault="008C7D85" w:rsidP="000B531B">
      <w:pPr>
        <w:tabs>
          <w:tab w:val="left" w:pos="2445"/>
        </w:tabs>
        <w:spacing w:after="120" w:line="259" w:lineRule="auto"/>
        <w:jc w:val="center"/>
        <w:rPr>
          <w:rFonts w:eastAsiaTheme="minorHAnsi"/>
          <w:b/>
          <w:lang w:eastAsia="en-US"/>
        </w:rPr>
      </w:pPr>
      <w:r w:rsidRPr="00307028">
        <w:rPr>
          <w:rFonts w:eastAsiaTheme="minorHAnsi"/>
          <w:b/>
          <w:lang w:eastAsia="en-US"/>
        </w:rPr>
        <w:t>sēdes protokola Nr. 26 39. § uzdevumiem</w:t>
      </w:r>
    </w:p>
    <w:p w14:paraId="5D3A0BD1" w14:textId="77777777" w:rsidR="008C7D85" w:rsidRPr="00307028" w:rsidRDefault="008C7D85" w:rsidP="000B531B">
      <w:pPr>
        <w:spacing w:before="240" w:after="120" w:line="259" w:lineRule="auto"/>
        <w:jc w:val="both"/>
        <w:rPr>
          <w:rFonts w:eastAsiaTheme="minorHAnsi"/>
          <w:b/>
          <w:u w:val="single"/>
          <w:lang w:eastAsia="en-US"/>
        </w:rPr>
      </w:pPr>
      <w:bookmarkStart w:id="53" w:name="_Hlk140845679"/>
      <w:r w:rsidRPr="00307028">
        <w:rPr>
          <w:rFonts w:eastAsiaTheme="minorHAnsi"/>
          <w:b/>
          <w:u w:val="single"/>
          <w:lang w:eastAsia="en-US"/>
        </w:rPr>
        <w:t>Izpildītie uzdevumi:</w:t>
      </w:r>
    </w:p>
    <w:bookmarkEnd w:id="53"/>
    <w:p w14:paraId="16E44451" w14:textId="77777777" w:rsidR="008C7D85" w:rsidRPr="00307028" w:rsidRDefault="008C7D85" w:rsidP="000B531B">
      <w:pPr>
        <w:spacing w:after="120" w:line="259" w:lineRule="auto"/>
        <w:jc w:val="both"/>
        <w:rPr>
          <w:rFonts w:eastAsiaTheme="minorHAnsi"/>
          <w:b/>
          <w:lang w:eastAsia="en-US"/>
        </w:rPr>
      </w:pPr>
      <w:r w:rsidRPr="00307028">
        <w:rPr>
          <w:rFonts w:eastAsiaTheme="minorHAnsi"/>
          <w:lang w:eastAsia="en-US"/>
        </w:rPr>
        <w:t>“</w:t>
      </w:r>
      <w:r w:rsidRPr="00307028">
        <w:rPr>
          <w:rFonts w:eastAsiaTheme="minorHAnsi"/>
          <w:b/>
          <w:lang w:eastAsia="en-US"/>
        </w:rPr>
        <w:t>6.25. punkts Kultūras ministrijai</w:t>
      </w:r>
      <w:r w:rsidRPr="00307028">
        <w:rPr>
          <w:rFonts w:eastAsiaTheme="minorHAnsi"/>
          <w:bCs/>
          <w:i/>
          <w:iCs/>
          <w:lang w:eastAsia="en-US"/>
        </w:rPr>
        <w:t xml:space="preserve"> sagatavot un līdz 2016. gada 1. septembrim iesniegt izskatīšanai Ministru kabinetā priekšlikumus, paredzot nacionālo kultūrizglītības pasūtījumu piešķirto valsts budžeta līdzekļu ietvaros.</w:t>
      </w:r>
      <w:r w:rsidRPr="00307028">
        <w:rPr>
          <w:rFonts w:eastAsiaTheme="minorHAnsi"/>
          <w:lang w:eastAsia="en-US"/>
        </w:rPr>
        <w:t>”</w:t>
      </w:r>
    </w:p>
    <w:p w14:paraId="5B497A8C" w14:textId="7A9910ED" w:rsidR="009E287D" w:rsidRPr="00307028" w:rsidRDefault="008C7D85" w:rsidP="000B531B">
      <w:pPr>
        <w:spacing w:after="120" w:line="259" w:lineRule="auto"/>
        <w:ind w:firstLine="709"/>
        <w:jc w:val="both"/>
        <w:rPr>
          <w:rFonts w:eastAsiaTheme="minorHAnsi"/>
          <w:lang w:eastAsia="en-US"/>
        </w:rPr>
      </w:pPr>
      <w:r w:rsidRPr="00307028">
        <w:rPr>
          <w:rFonts w:eastAsiaTheme="minorHAnsi"/>
          <w:lang w:eastAsia="en-US"/>
        </w:rPr>
        <w:t xml:space="preserve">2023./2024. mācību gadā audzēkņi tiks uzņemti saskaņā ar nacionālo kultūrizglītības </w:t>
      </w:r>
      <w:r w:rsidR="00274053" w:rsidRPr="00307028">
        <w:rPr>
          <w:rFonts w:eastAsiaTheme="minorHAnsi"/>
          <w:lang w:eastAsia="en-US"/>
        </w:rPr>
        <w:t>pasūtījumu</w:t>
      </w:r>
      <w:r w:rsidRPr="00307028">
        <w:rPr>
          <w:rFonts w:eastAsiaTheme="minorHAnsi"/>
          <w:lang w:eastAsia="en-US"/>
        </w:rPr>
        <w:t>.</w:t>
      </w:r>
    </w:p>
    <w:bookmarkStart w:id="54" w:name="_Toc142492924"/>
    <w:bookmarkStart w:id="55" w:name="_Toc115444019"/>
    <w:p w14:paraId="72C7D958" w14:textId="647121C9" w:rsidR="00034E19" w:rsidRPr="00307028" w:rsidRDefault="00034E19" w:rsidP="00034E19">
      <w:pPr>
        <w:pStyle w:val="Heading2"/>
        <w:jc w:val="center"/>
        <w:rPr>
          <w:sz w:val="32"/>
          <w:szCs w:val="28"/>
        </w:rPr>
      </w:pPr>
      <w:r w:rsidRPr="00307028">
        <w:rPr>
          <w:noProof/>
          <w:sz w:val="32"/>
          <w:szCs w:val="28"/>
          <w14:ligatures w14:val="standardContextual"/>
        </w:rPr>
        <mc:AlternateContent>
          <mc:Choice Requires="wps">
            <w:drawing>
              <wp:anchor distT="0" distB="0" distL="114300" distR="114300" simplePos="0" relativeHeight="251762688" behindDoc="1" locked="0" layoutInCell="1" allowOverlap="1" wp14:anchorId="632A0D62" wp14:editId="0DC30B6D">
                <wp:simplePos x="0" y="0"/>
                <wp:positionH relativeFrom="column">
                  <wp:posOffset>-563300</wp:posOffset>
                </wp:positionH>
                <wp:positionV relativeFrom="paragraph">
                  <wp:posOffset>-91937</wp:posOffset>
                </wp:positionV>
                <wp:extent cx="7028953" cy="413468"/>
                <wp:effectExtent l="0" t="0" r="19685" b="24765"/>
                <wp:wrapNone/>
                <wp:docPr id="181807697" name="Rectangle 1"/>
                <wp:cNvGraphicFramePr/>
                <a:graphic xmlns:a="http://schemas.openxmlformats.org/drawingml/2006/main">
                  <a:graphicData uri="http://schemas.microsoft.com/office/word/2010/wordprocessingShape">
                    <wps:wsp>
                      <wps:cNvSpPr/>
                      <wps:spPr>
                        <a:xfrm>
                          <a:off x="0" y="0"/>
                          <a:ext cx="7028953" cy="413468"/>
                        </a:xfrm>
                        <a:prstGeom prst="rect">
                          <a:avLst/>
                        </a:prstGeom>
                        <a:solidFill>
                          <a:srgbClr val="85C2E0"/>
                        </a:solidFill>
                        <a:ln>
                          <a:solidFill>
                            <a:srgbClr val="85C2E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16839" id="Rectangle 1" o:spid="_x0000_s1026" style="position:absolute;margin-left:-44.35pt;margin-top:-7.25pt;width:553.45pt;height:32.5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" fillcolor="#85c2e0" strokecolor="#85c2e0" strokeweight="1pt"/>
            </w:pict>
          </mc:Fallback>
        </mc:AlternateContent>
      </w:r>
      <w:r w:rsidRPr="00307028">
        <w:rPr>
          <w:sz w:val="32"/>
          <w:szCs w:val="28"/>
        </w:rPr>
        <w:t>2. Valsts budžeta programmu horizontāla pārskatīšana</w:t>
      </w:r>
      <w:bookmarkEnd w:id="54"/>
    </w:p>
    <w:p w14:paraId="55EF0C2B" w14:textId="1C37A5CB" w:rsidR="00153CC3" w:rsidRPr="00307028" w:rsidRDefault="00BD3847" w:rsidP="00034E19">
      <w:pPr>
        <w:pStyle w:val="Heading3"/>
        <w:spacing w:before="360"/>
        <w:ind w:left="0"/>
      </w:pPr>
      <w:bookmarkStart w:id="56" w:name="_Toc142492925"/>
      <w:r w:rsidRPr="00307028">
        <w:t xml:space="preserve">2.1. </w:t>
      </w:r>
      <w:r w:rsidR="00153CC3" w:rsidRPr="00307028">
        <w:t>Nozares ministriju izdevumu analīze un ietekme uz 2024. gada budžetu</w:t>
      </w:r>
      <w:bookmarkStart w:id="57" w:name="_Toc115444020"/>
      <w:bookmarkEnd w:id="55"/>
      <w:bookmarkEnd w:id="56"/>
    </w:p>
    <w:p w14:paraId="024BD283" w14:textId="1A147A90" w:rsidR="00EE3DBD" w:rsidRPr="00307028" w:rsidRDefault="00EE3DBD" w:rsidP="00EE3DBD">
      <w:pPr>
        <w:spacing w:after="120" w:line="259" w:lineRule="auto"/>
        <w:ind w:firstLine="720"/>
        <w:jc w:val="both"/>
        <w:rPr>
          <w:rFonts w:eastAsia="Calibri"/>
          <w:color w:val="FF0000"/>
          <w:szCs w:val="22"/>
          <w:lang w:eastAsia="en-US"/>
        </w:rPr>
      </w:pPr>
      <w:r w:rsidRPr="00307028">
        <w:rPr>
          <w:rFonts w:eastAsia="Calibri"/>
          <w:szCs w:val="22"/>
          <w:lang w:eastAsia="en-US"/>
        </w:rPr>
        <w:t xml:space="preserve">Šajā sadaļā ir apkopotas </w:t>
      </w:r>
      <w:bookmarkStart w:id="58" w:name="_Hlk115340248"/>
      <w:r w:rsidRPr="00307028">
        <w:rPr>
          <w:rFonts w:eastAsia="Calibri"/>
          <w:szCs w:val="22"/>
          <w:lang w:eastAsia="en-US"/>
        </w:rPr>
        <w:t>ministriju ierosinātās resursu pārdales, pārskatot izdevumus, efektivizējot un novirzot finansējumu nozaru prioritātēm un aktuālu jautājumu risināšanai. Ministrijas ir atbildīgas par līdzekļu efektīvu un jēgpilnu izlietošanu. Ministriju patstāvīgi veikto bāzes izdevumu pārskatīšanas rezultātā potenciālais iekšējais resurss, k</w:t>
      </w:r>
      <w:r w:rsidR="00480A78" w:rsidRPr="00307028">
        <w:rPr>
          <w:rFonts w:eastAsia="Calibri"/>
          <w:szCs w:val="22"/>
          <w:lang w:eastAsia="en-US"/>
        </w:rPr>
        <w:t>o</w:t>
      </w:r>
      <w:r w:rsidRPr="00307028">
        <w:rPr>
          <w:rFonts w:eastAsia="Calibri"/>
          <w:szCs w:val="22"/>
          <w:lang w:eastAsia="en-US"/>
        </w:rPr>
        <w:t xml:space="preserve"> tiek plānots novirzīt ministriju prioritātēm un citām kopējām prioritātēm </w:t>
      </w:r>
      <w:r w:rsidRPr="00307028">
        <w:rPr>
          <w:rFonts w:eastAsia="Calibri"/>
          <w:b/>
          <w:bCs/>
          <w:szCs w:val="22"/>
          <w:lang w:eastAsia="en-US"/>
        </w:rPr>
        <w:t xml:space="preserve">2024. gadam kopā veido </w:t>
      </w:r>
      <w:r w:rsidR="00EE2E96" w:rsidRPr="00307028">
        <w:rPr>
          <w:rFonts w:eastAsia="Calibri"/>
          <w:b/>
          <w:bCs/>
          <w:szCs w:val="22"/>
          <w:lang w:eastAsia="en-US"/>
        </w:rPr>
        <w:t>101</w:t>
      </w:r>
      <w:r w:rsidRPr="00307028">
        <w:rPr>
          <w:rFonts w:eastAsia="Calibri"/>
          <w:b/>
          <w:bCs/>
          <w:szCs w:val="22"/>
          <w:lang w:eastAsia="en-US"/>
        </w:rPr>
        <w:t>,</w:t>
      </w:r>
      <w:r w:rsidR="00EE2E96" w:rsidRPr="00307028">
        <w:rPr>
          <w:rFonts w:eastAsia="Calibri"/>
          <w:b/>
          <w:bCs/>
          <w:szCs w:val="22"/>
          <w:lang w:eastAsia="en-US"/>
        </w:rPr>
        <w:t>5 </w:t>
      </w:r>
      <w:r w:rsidRPr="00307028">
        <w:rPr>
          <w:rFonts w:eastAsia="Calibri"/>
          <w:b/>
          <w:bCs/>
          <w:szCs w:val="22"/>
          <w:lang w:eastAsia="en-US"/>
        </w:rPr>
        <w:t xml:space="preserve">milj. </w:t>
      </w:r>
      <w:r w:rsidRPr="00307028">
        <w:rPr>
          <w:rFonts w:eastAsia="Calibri"/>
          <w:b/>
          <w:bCs/>
          <w:i/>
          <w:szCs w:val="22"/>
          <w:lang w:eastAsia="en-US"/>
        </w:rPr>
        <w:t>euro</w:t>
      </w:r>
      <w:bookmarkEnd w:id="58"/>
      <w:r w:rsidR="00A939DB" w:rsidRPr="00307028">
        <w:rPr>
          <w:rFonts w:eastAsia="Calibri"/>
          <w:b/>
          <w:bCs/>
          <w:szCs w:val="22"/>
          <w:lang w:eastAsia="en-US"/>
        </w:rPr>
        <w:t xml:space="preserve">, 2025. gadam 54,7 milj. </w:t>
      </w:r>
      <w:r w:rsidR="00A939DB" w:rsidRPr="00307028">
        <w:rPr>
          <w:rFonts w:eastAsia="Calibri"/>
          <w:b/>
          <w:bCs/>
          <w:i/>
          <w:iCs/>
          <w:szCs w:val="22"/>
          <w:lang w:eastAsia="en-US"/>
        </w:rPr>
        <w:t xml:space="preserve">euro </w:t>
      </w:r>
      <w:r w:rsidR="00A939DB" w:rsidRPr="00307028">
        <w:rPr>
          <w:rFonts w:eastAsia="Calibri"/>
          <w:b/>
          <w:bCs/>
          <w:szCs w:val="22"/>
          <w:lang w:eastAsia="en-US"/>
        </w:rPr>
        <w:t>un 2026. gadam 53,9 milj.</w:t>
      </w:r>
      <w:r w:rsidR="00A939DB" w:rsidRPr="00307028">
        <w:rPr>
          <w:rFonts w:eastAsia="Calibri"/>
          <w:b/>
          <w:bCs/>
          <w:i/>
          <w:iCs/>
          <w:szCs w:val="22"/>
          <w:lang w:eastAsia="en-US"/>
        </w:rPr>
        <w:t xml:space="preserve"> euro.</w:t>
      </w:r>
    </w:p>
    <w:p w14:paraId="31D7A98F" w14:textId="77777777" w:rsidR="00EE3DBD" w:rsidRPr="00307028" w:rsidRDefault="00EE3DBD" w:rsidP="00EE3DBD">
      <w:pPr>
        <w:spacing w:after="120" w:line="259" w:lineRule="auto"/>
        <w:jc w:val="center"/>
        <w:rPr>
          <w:rFonts w:eastAsia="Times New Roman"/>
          <w:b/>
          <w:bCs/>
          <w:sz w:val="22"/>
          <w:szCs w:val="20"/>
          <w:lang w:eastAsia="en-US"/>
        </w:rPr>
      </w:pPr>
      <w:bookmarkStart w:id="59" w:name="_Hlk112759910"/>
      <w:r w:rsidRPr="00307028">
        <w:rPr>
          <w:rFonts w:eastAsia="Times New Roman"/>
          <w:b/>
          <w:bCs/>
          <w:i/>
          <w:iCs/>
          <w:sz w:val="22"/>
          <w:szCs w:val="20"/>
          <w:lang w:eastAsia="en-US"/>
        </w:rPr>
        <w:t>2.1.1. tabula</w:t>
      </w:r>
      <w:r w:rsidRPr="00307028">
        <w:rPr>
          <w:rFonts w:eastAsia="Times New Roman"/>
          <w:b/>
          <w:bCs/>
          <w:sz w:val="22"/>
          <w:szCs w:val="20"/>
          <w:lang w:eastAsia="en-US"/>
        </w:rPr>
        <w:t xml:space="preserve"> </w:t>
      </w:r>
      <w:bookmarkEnd w:id="59"/>
      <w:r w:rsidRPr="00307028">
        <w:rPr>
          <w:rFonts w:eastAsia="Times New Roman"/>
          <w:b/>
          <w:bCs/>
          <w:sz w:val="22"/>
          <w:szCs w:val="20"/>
          <w:lang w:eastAsia="en-US"/>
        </w:rPr>
        <w:t>Ministriju</w:t>
      </w:r>
      <w:r w:rsidRPr="00307028">
        <w:rPr>
          <w:rFonts w:eastAsia="Times New Roman"/>
          <w:b/>
          <w:bCs/>
          <w:kern w:val="2"/>
          <w:sz w:val="22"/>
          <w:szCs w:val="20"/>
          <w:lang w:eastAsia="en-US"/>
          <w14:ligatures w14:val="standardContextual"/>
        </w:rPr>
        <w:t xml:space="preserve"> </w:t>
      </w:r>
      <w:r w:rsidRPr="00307028">
        <w:rPr>
          <w:rFonts w:eastAsia="Times New Roman"/>
          <w:b/>
          <w:bCs/>
          <w:sz w:val="22"/>
          <w:szCs w:val="20"/>
          <w:lang w:eastAsia="en-US"/>
        </w:rPr>
        <w:t xml:space="preserve">patstāvīgi veikto bāzes izdevumu pārskatīšanas rezultāti, </w:t>
      </w:r>
      <w:r w:rsidRPr="00307028">
        <w:rPr>
          <w:rFonts w:eastAsia="Times New Roman"/>
          <w:b/>
          <w:bCs/>
          <w:i/>
          <w:iCs/>
          <w:sz w:val="22"/>
          <w:szCs w:val="20"/>
          <w:lang w:eastAsia="en-US"/>
        </w:rPr>
        <w:t>euro</w:t>
      </w:r>
    </w:p>
    <w:tbl>
      <w:tblPr>
        <w:tblStyle w:val="GridTable4-Accent1"/>
        <w:tblW w:w="6516" w:type="dxa"/>
        <w:tblInd w:w="1444"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2268"/>
        <w:gridCol w:w="1416"/>
        <w:gridCol w:w="1416"/>
        <w:gridCol w:w="1416"/>
      </w:tblGrid>
      <w:tr w:rsidR="00A939DB" w:rsidRPr="00307028" w14:paraId="7363C6BE" w14:textId="0F09D36E" w:rsidTr="00034E19">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85C2E0"/>
            <w:hideMark/>
          </w:tcPr>
          <w:p w14:paraId="39908EBF" w14:textId="77777777" w:rsidR="00A939DB" w:rsidRPr="00307028" w:rsidRDefault="00A939DB" w:rsidP="00EE3DBD">
            <w:pPr>
              <w:spacing w:line="259" w:lineRule="auto"/>
              <w:jc w:val="both"/>
              <w:rPr>
                <w:rFonts w:eastAsiaTheme="minorHAnsi" w:cstheme="minorBidi"/>
                <w:kern w:val="2"/>
                <w:szCs w:val="22"/>
                <w:lang w:val="lv-LV" w:eastAsia="en-US"/>
                <w14:ligatures w14:val="standardContextual"/>
              </w:rPr>
            </w:pPr>
          </w:p>
        </w:tc>
        <w:tc>
          <w:tcPr>
            <w:tcW w:w="1416" w:type="dxa"/>
            <w:tcBorders>
              <w:top w:val="none" w:sz="0" w:space="0" w:color="auto"/>
              <w:left w:val="none" w:sz="0" w:space="0" w:color="auto"/>
              <w:bottom w:val="none" w:sz="0" w:space="0" w:color="auto"/>
              <w:right w:val="none" w:sz="0" w:space="0" w:color="auto"/>
            </w:tcBorders>
            <w:shd w:val="clear" w:color="auto" w:fill="85C2E0"/>
            <w:hideMark/>
          </w:tcPr>
          <w:p w14:paraId="79C0FDEA" w14:textId="77777777" w:rsidR="00A939DB" w:rsidRPr="00307028" w:rsidRDefault="00A939DB" w:rsidP="00EE3DBD">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cstheme="minorBidi"/>
                <w:color w:val="000000" w:themeColor="text1"/>
                <w:kern w:val="2"/>
                <w:szCs w:val="22"/>
                <w:lang w:val="lv-LV" w:eastAsia="en-US"/>
                <w14:ligatures w14:val="standardContextual"/>
              </w:rPr>
            </w:pPr>
            <w:r w:rsidRPr="00307028">
              <w:rPr>
                <w:rFonts w:eastAsiaTheme="minorHAnsi" w:cstheme="minorBidi"/>
                <w:color w:val="000000" w:themeColor="text1"/>
                <w:kern w:val="2"/>
                <w:szCs w:val="22"/>
                <w:lang w:val="lv-LV" w:eastAsia="en-US"/>
                <w14:ligatures w14:val="standardContextual"/>
              </w:rPr>
              <w:t>2024</w:t>
            </w:r>
          </w:p>
        </w:tc>
        <w:tc>
          <w:tcPr>
            <w:tcW w:w="1416" w:type="dxa"/>
            <w:tcBorders>
              <w:top w:val="none" w:sz="0" w:space="0" w:color="auto"/>
              <w:left w:val="none" w:sz="0" w:space="0" w:color="auto"/>
              <w:bottom w:val="none" w:sz="0" w:space="0" w:color="auto"/>
              <w:right w:val="none" w:sz="0" w:space="0" w:color="auto"/>
            </w:tcBorders>
            <w:shd w:val="clear" w:color="auto" w:fill="85C2E0"/>
            <w:hideMark/>
          </w:tcPr>
          <w:p w14:paraId="7BD9F39D" w14:textId="77777777" w:rsidR="00A939DB" w:rsidRPr="00307028" w:rsidRDefault="00A939DB" w:rsidP="00EE3DBD">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cstheme="minorBidi"/>
                <w:color w:val="000000" w:themeColor="text1"/>
                <w:kern w:val="2"/>
                <w:szCs w:val="22"/>
                <w:lang w:val="lv-LV" w:eastAsia="en-US"/>
                <w14:ligatures w14:val="standardContextual"/>
              </w:rPr>
            </w:pPr>
            <w:r w:rsidRPr="00307028">
              <w:rPr>
                <w:rFonts w:eastAsiaTheme="minorHAnsi" w:cstheme="minorBidi"/>
                <w:color w:val="000000" w:themeColor="text1"/>
                <w:kern w:val="2"/>
                <w:szCs w:val="22"/>
                <w:lang w:val="lv-LV" w:eastAsia="en-US"/>
                <w14:ligatures w14:val="standardContextual"/>
              </w:rPr>
              <w:t>2025</w:t>
            </w:r>
          </w:p>
        </w:tc>
        <w:tc>
          <w:tcPr>
            <w:tcW w:w="1416" w:type="dxa"/>
            <w:tcBorders>
              <w:top w:val="none" w:sz="0" w:space="0" w:color="auto"/>
              <w:left w:val="none" w:sz="0" w:space="0" w:color="auto"/>
              <w:bottom w:val="none" w:sz="0" w:space="0" w:color="auto"/>
              <w:right w:val="none" w:sz="0" w:space="0" w:color="auto"/>
            </w:tcBorders>
            <w:shd w:val="clear" w:color="auto" w:fill="85C2E0"/>
          </w:tcPr>
          <w:p w14:paraId="0700DB50" w14:textId="32AA2838" w:rsidR="00A939DB" w:rsidRPr="00307028" w:rsidRDefault="00A939DB" w:rsidP="00EE3DBD">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cstheme="minorBidi"/>
                <w:color w:val="000000" w:themeColor="text1"/>
                <w:kern w:val="2"/>
                <w:szCs w:val="22"/>
                <w:lang w:val="lv-LV" w:eastAsia="en-US"/>
                <w14:ligatures w14:val="standardContextual"/>
              </w:rPr>
            </w:pPr>
            <w:r w:rsidRPr="00307028">
              <w:rPr>
                <w:rFonts w:eastAsiaTheme="minorHAnsi" w:cstheme="minorBidi"/>
                <w:color w:val="000000" w:themeColor="text1"/>
                <w:kern w:val="2"/>
                <w:szCs w:val="22"/>
                <w:lang w:val="lv-LV" w:eastAsia="en-US"/>
                <w14:ligatures w14:val="standardContextual"/>
              </w:rPr>
              <w:t>2026</w:t>
            </w:r>
          </w:p>
        </w:tc>
      </w:tr>
      <w:tr w:rsidR="00A939DB" w:rsidRPr="00307028" w14:paraId="75A8D2B1" w14:textId="46EA2FF4" w:rsidTr="00034E1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55CC58D7"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AiM</w:t>
            </w:r>
          </w:p>
        </w:tc>
        <w:tc>
          <w:tcPr>
            <w:tcW w:w="1416" w:type="dxa"/>
            <w:shd w:val="clear" w:color="auto" w:fill="B2D9EC"/>
            <w:hideMark/>
          </w:tcPr>
          <w:p w14:paraId="1B7906A6"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38 659 309</w:t>
            </w:r>
          </w:p>
        </w:tc>
        <w:tc>
          <w:tcPr>
            <w:tcW w:w="1416" w:type="dxa"/>
            <w:shd w:val="clear" w:color="auto" w:fill="B2D9EC"/>
            <w:hideMark/>
          </w:tcPr>
          <w:p w14:paraId="0D00E048"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39 679 686</w:t>
            </w:r>
          </w:p>
        </w:tc>
        <w:tc>
          <w:tcPr>
            <w:tcW w:w="1416" w:type="dxa"/>
            <w:shd w:val="clear" w:color="auto" w:fill="B2D9EC"/>
          </w:tcPr>
          <w:p w14:paraId="213E7DB5" w14:textId="7DA0D8C3"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39 679 686</w:t>
            </w:r>
          </w:p>
        </w:tc>
      </w:tr>
      <w:tr w:rsidR="00A939DB" w:rsidRPr="00307028" w14:paraId="0DE29A16" w14:textId="756948F7" w:rsidTr="00034E19">
        <w:trPr>
          <w:trHeight w:val="175"/>
        </w:trPr>
        <w:tc>
          <w:tcPr>
            <w:cnfStyle w:val="001000000000" w:firstRow="0" w:lastRow="0" w:firstColumn="1" w:lastColumn="0" w:oddVBand="0" w:evenVBand="0" w:oddHBand="0" w:evenHBand="0" w:firstRowFirstColumn="0" w:firstRowLastColumn="0" w:lastRowFirstColumn="0" w:lastRowLastColumn="0"/>
            <w:tcW w:w="2268" w:type="dxa"/>
            <w:hideMark/>
          </w:tcPr>
          <w:p w14:paraId="68A7B467"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EM</w:t>
            </w:r>
          </w:p>
        </w:tc>
        <w:tc>
          <w:tcPr>
            <w:tcW w:w="1416" w:type="dxa"/>
            <w:hideMark/>
          </w:tcPr>
          <w:p w14:paraId="04C0C709"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9 998 930</w:t>
            </w:r>
          </w:p>
        </w:tc>
        <w:tc>
          <w:tcPr>
            <w:tcW w:w="1416" w:type="dxa"/>
            <w:hideMark/>
          </w:tcPr>
          <w:p w14:paraId="72A06228"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9 998 930</w:t>
            </w:r>
          </w:p>
        </w:tc>
        <w:tc>
          <w:tcPr>
            <w:tcW w:w="1416" w:type="dxa"/>
          </w:tcPr>
          <w:p w14:paraId="63211F1E" w14:textId="20F75723"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9 998 930</w:t>
            </w:r>
          </w:p>
        </w:tc>
      </w:tr>
      <w:tr w:rsidR="00A939DB" w:rsidRPr="00307028" w14:paraId="31E21907" w14:textId="08B3B79D" w:rsidTr="00034E1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493DF3B7"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FM</w:t>
            </w:r>
          </w:p>
        </w:tc>
        <w:tc>
          <w:tcPr>
            <w:tcW w:w="1416" w:type="dxa"/>
            <w:shd w:val="clear" w:color="auto" w:fill="B2D9EC"/>
            <w:hideMark/>
          </w:tcPr>
          <w:p w14:paraId="68BB9662" w14:textId="7C21DB52" w:rsidR="00A939DB" w:rsidRPr="00307028" w:rsidRDefault="00D64FC3"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 2 961 889</w:t>
            </w:r>
          </w:p>
        </w:tc>
        <w:tc>
          <w:tcPr>
            <w:tcW w:w="1416" w:type="dxa"/>
            <w:shd w:val="clear" w:color="auto" w:fill="B2D9EC"/>
            <w:hideMark/>
          </w:tcPr>
          <w:p w14:paraId="7F8524CF"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1 936 835</w:t>
            </w:r>
          </w:p>
        </w:tc>
        <w:tc>
          <w:tcPr>
            <w:tcW w:w="1416" w:type="dxa"/>
            <w:shd w:val="clear" w:color="auto" w:fill="B2D9EC"/>
          </w:tcPr>
          <w:p w14:paraId="7197C338" w14:textId="777531C5"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8</w:t>
            </w:r>
            <w:r w:rsidR="003C6EC8" w:rsidRPr="00307028">
              <w:rPr>
                <w:rFonts w:eastAsiaTheme="minorHAnsi" w:cstheme="minorBidi"/>
                <w:kern w:val="2"/>
                <w:szCs w:val="22"/>
                <w:lang w:val="lv-LV" w:eastAsia="en-US"/>
                <w14:ligatures w14:val="standardContextual"/>
              </w:rPr>
              <w:t>84 585</w:t>
            </w:r>
          </w:p>
        </w:tc>
      </w:tr>
      <w:tr w:rsidR="00A939DB" w:rsidRPr="00307028" w14:paraId="3FF7E859" w14:textId="66293C98" w:rsidTr="00034E19">
        <w:trPr>
          <w:trHeight w:val="127"/>
        </w:trPr>
        <w:tc>
          <w:tcPr>
            <w:cnfStyle w:val="001000000000" w:firstRow="0" w:lastRow="0" w:firstColumn="1" w:lastColumn="0" w:oddVBand="0" w:evenVBand="0" w:oddHBand="0" w:evenHBand="0" w:firstRowFirstColumn="0" w:firstRowLastColumn="0" w:lastRowFirstColumn="0" w:lastRowLastColumn="0"/>
            <w:tcW w:w="2268" w:type="dxa"/>
            <w:hideMark/>
          </w:tcPr>
          <w:p w14:paraId="49E6F6E3"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IeM</w:t>
            </w:r>
          </w:p>
        </w:tc>
        <w:tc>
          <w:tcPr>
            <w:tcW w:w="1416" w:type="dxa"/>
            <w:hideMark/>
          </w:tcPr>
          <w:p w14:paraId="3C9A3809"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71 143</w:t>
            </w:r>
          </w:p>
        </w:tc>
        <w:tc>
          <w:tcPr>
            <w:tcW w:w="1416" w:type="dxa"/>
            <w:hideMark/>
          </w:tcPr>
          <w:p w14:paraId="03647562"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71 143</w:t>
            </w:r>
          </w:p>
        </w:tc>
        <w:tc>
          <w:tcPr>
            <w:tcW w:w="1416" w:type="dxa"/>
          </w:tcPr>
          <w:p w14:paraId="570679CB" w14:textId="24924D3F"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332 129</w:t>
            </w:r>
          </w:p>
        </w:tc>
      </w:tr>
      <w:tr w:rsidR="00A939DB" w:rsidRPr="00307028" w14:paraId="7CC9830E" w14:textId="2E7B5423" w:rsidTr="00034E1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24997D91"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IZM</w:t>
            </w:r>
          </w:p>
        </w:tc>
        <w:tc>
          <w:tcPr>
            <w:tcW w:w="1416" w:type="dxa"/>
            <w:shd w:val="clear" w:color="auto" w:fill="B2D9EC"/>
            <w:hideMark/>
          </w:tcPr>
          <w:p w14:paraId="2F72F859"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229 834</w:t>
            </w:r>
          </w:p>
        </w:tc>
        <w:tc>
          <w:tcPr>
            <w:tcW w:w="1416" w:type="dxa"/>
            <w:shd w:val="clear" w:color="auto" w:fill="B2D9EC"/>
            <w:hideMark/>
          </w:tcPr>
          <w:p w14:paraId="68AE2B8C"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229 834</w:t>
            </w:r>
          </w:p>
        </w:tc>
        <w:tc>
          <w:tcPr>
            <w:tcW w:w="1416" w:type="dxa"/>
            <w:shd w:val="clear" w:color="auto" w:fill="B2D9EC"/>
          </w:tcPr>
          <w:p w14:paraId="4C579210" w14:textId="09C142B1"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229 834</w:t>
            </w:r>
          </w:p>
        </w:tc>
      </w:tr>
      <w:tr w:rsidR="00A939DB" w:rsidRPr="00307028" w14:paraId="634BA95E" w14:textId="568B575D" w:rsidTr="00034E19">
        <w:trPr>
          <w:trHeight w:val="79"/>
        </w:trPr>
        <w:tc>
          <w:tcPr>
            <w:cnfStyle w:val="001000000000" w:firstRow="0" w:lastRow="0" w:firstColumn="1" w:lastColumn="0" w:oddVBand="0" w:evenVBand="0" w:oddHBand="0" w:evenHBand="0" w:firstRowFirstColumn="0" w:firstRowLastColumn="0" w:lastRowFirstColumn="0" w:lastRowLastColumn="0"/>
            <w:tcW w:w="2268" w:type="dxa"/>
            <w:hideMark/>
          </w:tcPr>
          <w:p w14:paraId="59B5B130"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KM</w:t>
            </w:r>
          </w:p>
        </w:tc>
        <w:tc>
          <w:tcPr>
            <w:tcW w:w="1416" w:type="dxa"/>
            <w:hideMark/>
          </w:tcPr>
          <w:p w14:paraId="2A5B5714"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color w:val="000000"/>
                <w:kern w:val="2"/>
                <w:szCs w:val="22"/>
                <w:lang w:val="lv-LV" w:eastAsia="en-US"/>
                <w14:ligatures w14:val="standardContextual"/>
              </w:rPr>
              <w:t>2 041 624</w:t>
            </w:r>
          </w:p>
        </w:tc>
        <w:tc>
          <w:tcPr>
            <w:tcW w:w="1416" w:type="dxa"/>
            <w:hideMark/>
          </w:tcPr>
          <w:p w14:paraId="0D286F8A"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color w:val="000000"/>
                <w:kern w:val="2"/>
                <w:szCs w:val="22"/>
                <w:lang w:val="lv-LV" w:eastAsia="en-US"/>
                <w14:ligatures w14:val="standardContextual"/>
              </w:rPr>
              <w:t>2 041 624</w:t>
            </w:r>
          </w:p>
        </w:tc>
        <w:tc>
          <w:tcPr>
            <w:tcW w:w="1416" w:type="dxa"/>
          </w:tcPr>
          <w:p w14:paraId="3AA365AC" w14:textId="08889CAD"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color w:val="000000"/>
                <w:kern w:val="2"/>
                <w:szCs w:val="22"/>
                <w:lang w:val="lv-LV" w:eastAsia="en-US"/>
                <w14:ligatures w14:val="standardContextual"/>
              </w:rPr>
            </w:pPr>
            <w:r w:rsidRPr="00307028">
              <w:rPr>
                <w:rFonts w:eastAsiaTheme="minorHAnsi" w:cstheme="minorBidi"/>
                <w:color w:val="000000"/>
                <w:kern w:val="2"/>
                <w:szCs w:val="22"/>
                <w:lang w:val="lv-LV" w:eastAsia="en-US"/>
                <w14:ligatures w14:val="standardContextual"/>
              </w:rPr>
              <w:t>2 041 624</w:t>
            </w:r>
          </w:p>
        </w:tc>
      </w:tr>
      <w:tr w:rsidR="00A939DB" w:rsidRPr="00307028" w14:paraId="460F54B5" w14:textId="29805DFD" w:rsidTr="00034E19">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68AD69BE"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LM</w:t>
            </w:r>
          </w:p>
        </w:tc>
        <w:tc>
          <w:tcPr>
            <w:tcW w:w="1416" w:type="dxa"/>
            <w:shd w:val="clear" w:color="auto" w:fill="B2D9EC"/>
            <w:hideMark/>
          </w:tcPr>
          <w:p w14:paraId="5FBE7BC2"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Calibri"/>
                <w:kern w:val="2"/>
                <w:szCs w:val="22"/>
                <w:lang w:val="lv-LV" w:eastAsia="en-US"/>
                <w14:ligatures w14:val="standardContextual"/>
              </w:rPr>
              <w:t>140 106</w:t>
            </w:r>
          </w:p>
        </w:tc>
        <w:tc>
          <w:tcPr>
            <w:tcW w:w="1416" w:type="dxa"/>
            <w:shd w:val="clear" w:color="auto" w:fill="B2D9EC"/>
            <w:hideMark/>
          </w:tcPr>
          <w:p w14:paraId="299EA43C"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Calibri"/>
                <w:kern w:val="2"/>
                <w:szCs w:val="22"/>
                <w:lang w:val="lv-LV" w:eastAsia="en-US"/>
                <w14:ligatures w14:val="standardContextual"/>
              </w:rPr>
              <w:t>140 106</w:t>
            </w:r>
          </w:p>
        </w:tc>
        <w:tc>
          <w:tcPr>
            <w:tcW w:w="1416" w:type="dxa"/>
            <w:shd w:val="clear" w:color="auto" w:fill="B2D9EC"/>
          </w:tcPr>
          <w:p w14:paraId="3CA278F8" w14:textId="4B261731"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kern w:val="2"/>
                <w:szCs w:val="22"/>
                <w:lang w:val="lv-LV" w:eastAsia="en-US"/>
                <w14:ligatures w14:val="standardContextual"/>
              </w:rPr>
            </w:pPr>
            <w:r w:rsidRPr="00307028">
              <w:rPr>
                <w:rFonts w:eastAsia="Calibri"/>
                <w:kern w:val="2"/>
                <w:szCs w:val="22"/>
                <w:lang w:val="lv-LV" w:eastAsia="en-US"/>
                <w14:ligatures w14:val="standardContextual"/>
              </w:rPr>
              <w:t>140 106</w:t>
            </w:r>
          </w:p>
        </w:tc>
      </w:tr>
      <w:tr w:rsidR="00A939DB" w:rsidRPr="00307028" w14:paraId="28D854DC" w14:textId="40079590" w:rsidTr="00034E19">
        <w:trPr>
          <w:trHeight w:val="173"/>
        </w:trPr>
        <w:tc>
          <w:tcPr>
            <w:cnfStyle w:val="001000000000" w:firstRow="0" w:lastRow="0" w:firstColumn="1" w:lastColumn="0" w:oddVBand="0" w:evenVBand="0" w:oddHBand="0" w:evenHBand="0" w:firstRowFirstColumn="0" w:firstRowLastColumn="0" w:lastRowFirstColumn="0" w:lastRowLastColumn="0"/>
            <w:tcW w:w="2268" w:type="dxa"/>
            <w:hideMark/>
          </w:tcPr>
          <w:p w14:paraId="55318576"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SM</w:t>
            </w:r>
          </w:p>
        </w:tc>
        <w:tc>
          <w:tcPr>
            <w:tcW w:w="1416" w:type="dxa"/>
            <w:hideMark/>
          </w:tcPr>
          <w:p w14:paraId="67D9D44F"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0</w:t>
            </w:r>
          </w:p>
        </w:tc>
        <w:tc>
          <w:tcPr>
            <w:tcW w:w="1416" w:type="dxa"/>
            <w:hideMark/>
          </w:tcPr>
          <w:p w14:paraId="2AB2CFBD"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82 828</w:t>
            </w:r>
          </w:p>
        </w:tc>
        <w:tc>
          <w:tcPr>
            <w:tcW w:w="1416" w:type="dxa"/>
          </w:tcPr>
          <w:p w14:paraId="7E019C7C" w14:textId="1A953EEA"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82 828</w:t>
            </w:r>
          </w:p>
        </w:tc>
      </w:tr>
      <w:tr w:rsidR="00A939DB" w:rsidRPr="00307028" w14:paraId="0A2F4FCE" w14:textId="1EDD45D2" w:rsidTr="00034E19">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0E3C558A"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VM</w:t>
            </w:r>
          </w:p>
        </w:tc>
        <w:tc>
          <w:tcPr>
            <w:tcW w:w="1416" w:type="dxa"/>
            <w:shd w:val="clear" w:color="auto" w:fill="B2D9EC"/>
            <w:hideMark/>
          </w:tcPr>
          <w:p w14:paraId="3BAA4BE6"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29 460</w:t>
            </w:r>
          </w:p>
        </w:tc>
        <w:tc>
          <w:tcPr>
            <w:tcW w:w="1416" w:type="dxa"/>
            <w:shd w:val="clear" w:color="auto" w:fill="B2D9EC"/>
            <w:hideMark/>
          </w:tcPr>
          <w:p w14:paraId="0F2E9C50"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25 514</w:t>
            </w:r>
          </w:p>
        </w:tc>
        <w:tc>
          <w:tcPr>
            <w:tcW w:w="1416" w:type="dxa"/>
            <w:shd w:val="clear" w:color="auto" w:fill="B2D9EC"/>
          </w:tcPr>
          <w:p w14:paraId="29CC5E09" w14:textId="10C933FA"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21 963</w:t>
            </w:r>
          </w:p>
        </w:tc>
      </w:tr>
      <w:tr w:rsidR="00A939DB" w:rsidRPr="00307028" w14:paraId="5EAB5CA2" w14:textId="20404375" w:rsidTr="00034E19">
        <w:trPr>
          <w:trHeight w:val="70"/>
        </w:trPr>
        <w:tc>
          <w:tcPr>
            <w:cnfStyle w:val="001000000000" w:firstRow="0" w:lastRow="0" w:firstColumn="1" w:lastColumn="0" w:oddVBand="0" w:evenVBand="0" w:oddHBand="0" w:evenHBand="0" w:firstRowFirstColumn="0" w:firstRowLastColumn="0" w:lastRowFirstColumn="0" w:lastRowLastColumn="0"/>
            <w:tcW w:w="2268" w:type="dxa"/>
          </w:tcPr>
          <w:p w14:paraId="541541CA"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VARAM</w:t>
            </w:r>
          </w:p>
        </w:tc>
        <w:tc>
          <w:tcPr>
            <w:tcW w:w="1416" w:type="dxa"/>
          </w:tcPr>
          <w:p w14:paraId="4E89C5D0"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15 008</w:t>
            </w:r>
          </w:p>
        </w:tc>
        <w:tc>
          <w:tcPr>
            <w:tcW w:w="1416" w:type="dxa"/>
          </w:tcPr>
          <w:p w14:paraId="167697D4"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15 008</w:t>
            </w:r>
          </w:p>
        </w:tc>
        <w:tc>
          <w:tcPr>
            <w:tcW w:w="1416" w:type="dxa"/>
          </w:tcPr>
          <w:p w14:paraId="5C689E38" w14:textId="7F0100B2"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15 008</w:t>
            </w:r>
          </w:p>
        </w:tc>
      </w:tr>
      <w:tr w:rsidR="00A939DB" w:rsidRPr="00307028" w14:paraId="0034AD88" w14:textId="348AA575" w:rsidTr="00034E19">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6F0D8AAA"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ZM</w:t>
            </w:r>
          </w:p>
        </w:tc>
        <w:tc>
          <w:tcPr>
            <w:tcW w:w="1416" w:type="dxa"/>
            <w:shd w:val="clear" w:color="auto" w:fill="B2D9EC"/>
            <w:hideMark/>
          </w:tcPr>
          <w:p w14:paraId="758D9776"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46 918 370</w:t>
            </w:r>
          </w:p>
        </w:tc>
        <w:tc>
          <w:tcPr>
            <w:tcW w:w="1416" w:type="dxa"/>
            <w:shd w:val="clear" w:color="auto" w:fill="B2D9EC"/>
            <w:hideMark/>
          </w:tcPr>
          <w:p w14:paraId="53F885DF"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0</w:t>
            </w:r>
          </w:p>
        </w:tc>
        <w:tc>
          <w:tcPr>
            <w:tcW w:w="1416" w:type="dxa"/>
            <w:shd w:val="clear" w:color="auto" w:fill="B2D9EC"/>
          </w:tcPr>
          <w:p w14:paraId="45FA4E8C" w14:textId="648499F2"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0</w:t>
            </w:r>
          </w:p>
        </w:tc>
      </w:tr>
      <w:tr w:rsidR="00A939DB" w:rsidRPr="00307028" w14:paraId="3C81FB52" w14:textId="2EA430EB" w:rsidTr="00034E19">
        <w:trPr>
          <w:trHeight w:val="219"/>
        </w:trPr>
        <w:tc>
          <w:tcPr>
            <w:cnfStyle w:val="001000000000" w:firstRow="0" w:lastRow="0" w:firstColumn="1" w:lastColumn="0" w:oddVBand="0" w:evenVBand="0" w:oddHBand="0" w:evenHBand="0" w:firstRowFirstColumn="0" w:firstRowLastColumn="0" w:lastRowFirstColumn="0" w:lastRowLastColumn="0"/>
            <w:tcW w:w="2268" w:type="dxa"/>
            <w:hideMark/>
          </w:tcPr>
          <w:p w14:paraId="7FF1F4FF" w14:textId="6607B3FF"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Citi priekšlikumi</w:t>
            </w:r>
          </w:p>
        </w:tc>
        <w:tc>
          <w:tcPr>
            <w:tcW w:w="1416" w:type="dxa"/>
            <w:hideMark/>
          </w:tcPr>
          <w:p w14:paraId="0050DC7E"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464 222</w:t>
            </w:r>
          </w:p>
        </w:tc>
        <w:tc>
          <w:tcPr>
            <w:tcW w:w="1416" w:type="dxa"/>
            <w:hideMark/>
          </w:tcPr>
          <w:p w14:paraId="39278765" w14:textId="77777777"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464 222</w:t>
            </w:r>
          </w:p>
        </w:tc>
        <w:tc>
          <w:tcPr>
            <w:tcW w:w="1416" w:type="dxa"/>
          </w:tcPr>
          <w:p w14:paraId="6BF57BF6" w14:textId="54A3B064" w:rsidR="00A939DB" w:rsidRPr="00307028" w:rsidRDefault="00A939DB" w:rsidP="00EE3DB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464 222</w:t>
            </w:r>
          </w:p>
        </w:tc>
      </w:tr>
      <w:tr w:rsidR="00A939DB" w:rsidRPr="00307028" w14:paraId="0D573284" w14:textId="43A18F58" w:rsidTr="00034E19">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268" w:type="dxa"/>
            <w:shd w:val="clear" w:color="auto" w:fill="B2D9EC"/>
            <w:hideMark/>
          </w:tcPr>
          <w:p w14:paraId="6193418B" w14:textId="77777777" w:rsidR="00A939DB" w:rsidRPr="00307028" w:rsidRDefault="00A939DB" w:rsidP="00EE3DBD">
            <w:pPr>
              <w:spacing w:line="259" w:lineRule="auto"/>
              <w:jc w:val="center"/>
              <w:rPr>
                <w:rFonts w:eastAsiaTheme="minorHAnsi" w:cstheme="minorBidi"/>
                <w:kern w:val="2"/>
                <w:szCs w:val="22"/>
                <w:lang w:val="lv-LV" w:eastAsia="en-US"/>
                <w14:ligatures w14:val="standardContextual"/>
              </w:rPr>
            </w:pPr>
            <w:r w:rsidRPr="00307028">
              <w:rPr>
                <w:rFonts w:eastAsiaTheme="minorHAnsi" w:cstheme="minorBidi"/>
                <w:kern w:val="2"/>
                <w:szCs w:val="22"/>
                <w:lang w:val="lv-LV" w:eastAsia="en-US"/>
                <w14:ligatures w14:val="standardContextual"/>
              </w:rPr>
              <w:t>KOPĀ:</w:t>
            </w:r>
          </w:p>
        </w:tc>
        <w:tc>
          <w:tcPr>
            <w:tcW w:w="1416" w:type="dxa"/>
            <w:shd w:val="clear" w:color="auto" w:fill="B2D9EC"/>
            <w:hideMark/>
          </w:tcPr>
          <w:p w14:paraId="694659A5" w14:textId="245469A6" w:rsidR="00A939DB" w:rsidRPr="00307028" w:rsidRDefault="00D64FC3"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b/>
                <w:bCs/>
                <w:kern w:val="2"/>
                <w:szCs w:val="22"/>
                <w:lang w:val="lv-LV" w:eastAsia="en-US"/>
                <w14:ligatures w14:val="standardContextual"/>
              </w:rPr>
            </w:pPr>
            <w:r w:rsidRPr="00307028">
              <w:rPr>
                <w:rFonts w:eastAsiaTheme="minorHAnsi" w:cstheme="minorBidi"/>
                <w:b/>
                <w:bCs/>
                <w:kern w:val="2"/>
                <w:szCs w:val="22"/>
                <w:lang w:val="lv-LV" w:eastAsia="en-US"/>
                <w14:ligatures w14:val="standardContextual"/>
              </w:rPr>
              <w:t>101 529 895</w:t>
            </w:r>
          </w:p>
        </w:tc>
        <w:tc>
          <w:tcPr>
            <w:tcW w:w="1416" w:type="dxa"/>
            <w:shd w:val="clear" w:color="auto" w:fill="B2D9EC"/>
            <w:hideMark/>
          </w:tcPr>
          <w:p w14:paraId="4AE9FB36" w14:textId="77777777"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b/>
                <w:bCs/>
                <w:kern w:val="2"/>
                <w:szCs w:val="22"/>
                <w:lang w:val="lv-LV" w:eastAsia="en-US"/>
                <w14:ligatures w14:val="standardContextual"/>
              </w:rPr>
            </w:pPr>
            <w:r w:rsidRPr="00307028">
              <w:rPr>
                <w:rFonts w:eastAsiaTheme="minorHAnsi" w:cstheme="minorBidi"/>
                <w:b/>
                <w:bCs/>
                <w:kern w:val="2"/>
                <w:szCs w:val="22"/>
                <w:lang w:val="lv-LV" w:eastAsia="en-US"/>
                <w14:ligatures w14:val="standardContextual"/>
              </w:rPr>
              <w:t>54 685 730</w:t>
            </w:r>
          </w:p>
        </w:tc>
        <w:tc>
          <w:tcPr>
            <w:tcW w:w="1416" w:type="dxa"/>
            <w:shd w:val="clear" w:color="auto" w:fill="B2D9EC"/>
          </w:tcPr>
          <w:p w14:paraId="2804E9ED" w14:textId="708DAC39" w:rsidR="00A939DB" w:rsidRPr="00307028" w:rsidRDefault="00A939DB" w:rsidP="00EE3DBD">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cstheme="minorBidi"/>
                <w:b/>
                <w:bCs/>
                <w:kern w:val="2"/>
                <w:szCs w:val="22"/>
                <w:lang w:val="lv-LV" w:eastAsia="en-US"/>
                <w14:ligatures w14:val="standardContextual"/>
              </w:rPr>
            </w:pPr>
            <w:r w:rsidRPr="00307028">
              <w:rPr>
                <w:rFonts w:eastAsiaTheme="minorHAnsi" w:cstheme="minorBidi"/>
                <w:b/>
                <w:bCs/>
                <w:kern w:val="2"/>
                <w:szCs w:val="22"/>
                <w:lang w:val="lv-LV" w:eastAsia="en-US"/>
                <w14:ligatures w14:val="standardContextual"/>
              </w:rPr>
              <w:t>53</w:t>
            </w:r>
            <w:r w:rsidR="003C6EC8" w:rsidRPr="00307028">
              <w:rPr>
                <w:rFonts w:eastAsiaTheme="minorHAnsi" w:cstheme="minorBidi"/>
                <w:b/>
                <w:bCs/>
                <w:kern w:val="2"/>
                <w:szCs w:val="22"/>
                <w:lang w:val="lv-LV" w:eastAsia="en-US"/>
                <w14:ligatures w14:val="standardContextual"/>
              </w:rPr>
              <w:t> 890 915</w:t>
            </w:r>
          </w:p>
        </w:tc>
      </w:tr>
    </w:tbl>
    <w:p w14:paraId="6539BB02" w14:textId="77777777" w:rsidR="00EE3DBD" w:rsidRPr="00307028" w:rsidRDefault="00EE3DBD" w:rsidP="00EE3DBD">
      <w:pPr>
        <w:spacing w:after="120" w:line="259" w:lineRule="auto"/>
        <w:jc w:val="both"/>
        <w:rPr>
          <w:rFonts w:eastAsiaTheme="minorHAnsi" w:cstheme="minorBidi"/>
          <w:kern w:val="2"/>
          <w:szCs w:val="22"/>
          <w:lang w:eastAsia="en-US"/>
          <w14:ligatures w14:val="standardContextual"/>
        </w:rPr>
      </w:pPr>
    </w:p>
    <w:p w14:paraId="72C81962" w14:textId="77777777" w:rsidR="00EE3DBD" w:rsidRPr="00307028" w:rsidRDefault="00EE3DBD" w:rsidP="00EE3DBD">
      <w:pPr>
        <w:keepNext/>
        <w:keepLines/>
        <w:spacing w:after="120" w:line="259" w:lineRule="auto"/>
        <w:jc w:val="center"/>
        <w:rPr>
          <w:rFonts w:eastAsia="Calibri"/>
          <w:b/>
          <w:bCs/>
          <w:szCs w:val="22"/>
          <w:lang w:eastAsia="en-US"/>
        </w:rPr>
      </w:pPr>
      <w:r w:rsidRPr="00307028">
        <w:rPr>
          <w:rFonts w:eastAsia="Calibri"/>
          <w:b/>
          <w:bCs/>
          <w:szCs w:val="22"/>
          <w:lang w:eastAsia="en-US"/>
        </w:rPr>
        <w:lastRenderedPageBreak/>
        <w:t>Aizsardzības ministrija</w:t>
      </w:r>
    </w:p>
    <w:p w14:paraId="0182C6C2" w14:textId="77777777" w:rsidR="00EE3DBD" w:rsidRPr="00307028" w:rsidRDefault="00EE3DBD" w:rsidP="004618F2">
      <w:pPr>
        <w:spacing w:after="120" w:line="259" w:lineRule="auto"/>
        <w:jc w:val="both"/>
        <w:rPr>
          <w:rFonts w:eastAsiaTheme="minorHAnsi"/>
          <w:b/>
          <w:bCs/>
          <w:kern w:val="2"/>
          <w:lang w:eastAsia="en-US"/>
          <w14:ligatures w14:val="standardContextual"/>
        </w:rPr>
      </w:pPr>
      <w:r w:rsidRPr="00307028">
        <w:rPr>
          <w:rFonts w:eastAsiaTheme="minorHAnsi"/>
          <w:b/>
          <w:bCs/>
          <w:kern w:val="2"/>
          <w:lang w:eastAsia="en-US"/>
          <w14:ligatures w14:val="standardContextual"/>
        </w:rPr>
        <w:t>AiM – karavīru atlīdzība un sociālās garantijas</w:t>
      </w:r>
    </w:p>
    <w:p w14:paraId="110FA139" w14:textId="63EF40B8" w:rsidR="00EE3DBD" w:rsidRPr="00307028" w:rsidRDefault="00EE3DBD" w:rsidP="004618F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Saskaņā ar grozījumiem (MK 2023. gada 27. jūnija noteikumi Nr.</w:t>
      </w:r>
      <w:r w:rsidR="008E4BBD"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328) MK 2014. gada 26. augusta noteikumos Nr. 509 “Noteikumi par karavīru mēnešalgas un speciālo piemaksu noteikšanas kārtību un to apmēru” (turpmāk – MK noteikumi Nr.</w:t>
      </w:r>
      <w:r w:rsidR="008E4BBD"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509) ir paredzēts aktualizēt karavīru mēnešalgu likmes, kā arī noteikt kārtību, kādā aprēķina sociālo garantiju apmēru no amata atbrīvotam karavīram likumā noteiktajos gadījumos.</w:t>
      </w:r>
    </w:p>
    <w:p w14:paraId="1FA8C9A6" w14:textId="77777777" w:rsidR="00EE3DBD" w:rsidRPr="00307028" w:rsidRDefault="00EE3DBD" w:rsidP="004618F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Lai nodrošinātu papildu nepieciešamo finansējumu karavīru atlīdzībai atbilstoši MK noteikumos Nr. 509 noteiktajam, AiM, pārskatot NBS un Zemessardzes uzturēšanas un attīstības izdevumus, ir radusi iespēju no budžeta apakšprogrammas 22.12.00 “Nacionālo bruņoto spēku uzturēšana” (izdevumiem precēm un pakalpojumiem) pārdalīt finansējumu 2024. gadam 38 659 309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2025. gadam un turpmāk ik gadu 39 679 686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uz: </w:t>
      </w:r>
    </w:p>
    <w:p w14:paraId="294C9E4A" w14:textId="77777777" w:rsidR="00EE3DBD" w:rsidRPr="00307028" w:rsidRDefault="00EE3DBD" w:rsidP="00070D5F">
      <w:pPr>
        <w:numPr>
          <w:ilvl w:val="0"/>
          <w:numId w:val="30"/>
        </w:numPr>
        <w:spacing w:after="120" w:line="259" w:lineRule="auto"/>
        <w:jc w:val="both"/>
        <w:rPr>
          <w:rFonts w:eastAsiaTheme="minorHAnsi"/>
          <w:lang w:eastAsia="en-US"/>
        </w:rPr>
      </w:pPr>
      <w:r w:rsidRPr="00307028">
        <w:rPr>
          <w:rFonts w:eastAsiaTheme="minorHAnsi"/>
          <w:lang w:eastAsia="en-US"/>
        </w:rPr>
        <w:t xml:space="preserve">budžeta apakšprogrammu 22.10.00 “Starptautisko operāciju un Nacionālo bruņoto spēku personālsastāva centralizētais atalgojums” 2024. gadā 38 357 488 </w:t>
      </w:r>
      <w:r w:rsidRPr="00307028">
        <w:rPr>
          <w:rFonts w:eastAsiaTheme="minorHAnsi"/>
          <w:i/>
          <w:iCs/>
          <w:lang w:eastAsia="en-US"/>
        </w:rPr>
        <w:t>euro</w:t>
      </w:r>
      <w:r w:rsidRPr="00307028">
        <w:rPr>
          <w:rFonts w:eastAsiaTheme="minorHAnsi"/>
          <w:lang w:eastAsia="en-US"/>
        </w:rPr>
        <w:t xml:space="preserve"> apmērā un 2025. gadā un turpmāk ik gadu 39 377 865 </w:t>
      </w:r>
      <w:r w:rsidRPr="00307028">
        <w:rPr>
          <w:rFonts w:eastAsiaTheme="minorHAnsi"/>
          <w:i/>
          <w:iCs/>
          <w:lang w:eastAsia="en-US"/>
        </w:rPr>
        <w:t>euro</w:t>
      </w:r>
      <w:r w:rsidRPr="00307028">
        <w:rPr>
          <w:rFonts w:eastAsiaTheme="minorHAnsi"/>
          <w:lang w:eastAsia="en-US"/>
        </w:rPr>
        <w:t xml:space="preserve"> apmērā;</w:t>
      </w:r>
    </w:p>
    <w:p w14:paraId="7B6148D2" w14:textId="2FA048BD" w:rsidR="00EE3DBD" w:rsidRPr="00307028" w:rsidRDefault="00EE3DBD" w:rsidP="00070D5F">
      <w:pPr>
        <w:numPr>
          <w:ilvl w:val="0"/>
          <w:numId w:val="30"/>
        </w:numPr>
        <w:spacing w:after="120" w:line="259" w:lineRule="auto"/>
        <w:jc w:val="both"/>
        <w:rPr>
          <w:rFonts w:eastAsiaTheme="minorHAnsi"/>
          <w:lang w:eastAsia="en-US"/>
        </w:rPr>
      </w:pPr>
      <w:r w:rsidRPr="00307028">
        <w:rPr>
          <w:rFonts w:eastAsiaTheme="minorHAnsi"/>
          <w:lang w:eastAsia="en-US"/>
        </w:rPr>
        <w:t>budžeta programmu 34.00.00 “Jaunsardzes centrs” 2024. gadā turpmāk ik gadu 245</w:t>
      </w:r>
      <w:r w:rsidR="0034757D" w:rsidRPr="00307028">
        <w:rPr>
          <w:rFonts w:eastAsiaTheme="minorHAnsi"/>
          <w:lang w:eastAsia="en-US"/>
        </w:rPr>
        <w:t> </w:t>
      </w:r>
      <w:r w:rsidRPr="00307028">
        <w:rPr>
          <w:rFonts w:eastAsiaTheme="minorHAnsi"/>
          <w:lang w:eastAsia="en-US"/>
        </w:rPr>
        <w:t>510</w:t>
      </w:r>
      <w:r w:rsidR="0034757D" w:rsidRPr="00307028">
        <w:rPr>
          <w:rFonts w:eastAsiaTheme="minorHAnsi"/>
          <w:lang w:eastAsia="en-US"/>
        </w:rPr>
        <w:t> </w:t>
      </w:r>
      <w:r w:rsidRPr="00307028">
        <w:rPr>
          <w:rFonts w:eastAsiaTheme="minorHAnsi"/>
          <w:i/>
          <w:iCs/>
          <w:lang w:eastAsia="en-US"/>
        </w:rPr>
        <w:t>euro</w:t>
      </w:r>
      <w:r w:rsidRPr="00307028">
        <w:rPr>
          <w:rFonts w:eastAsiaTheme="minorHAnsi"/>
          <w:lang w:eastAsia="en-US"/>
        </w:rPr>
        <w:t xml:space="preserve"> apmērā;</w:t>
      </w:r>
    </w:p>
    <w:p w14:paraId="5E3390DE" w14:textId="77777777" w:rsidR="00EE3DBD" w:rsidRPr="00307028" w:rsidRDefault="00EE3DBD" w:rsidP="00070D5F">
      <w:pPr>
        <w:numPr>
          <w:ilvl w:val="0"/>
          <w:numId w:val="30"/>
        </w:numPr>
        <w:spacing w:after="120" w:line="259" w:lineRule="auto"/>
        <w:jc w:val="both"/>
        <w:rPr>
          <w:rFonts w:eastAsiaTheme="minorHAnsi"/>
          <w:lang w:eastAsia="en-US"/>
        </w:rPr>
      </w:pPr>
      <w:r w:rsidRPr="00307028">
        <w:rPr>
          <w:rFonts w:eastAsiaTheme="minorHAnsi"/>
          <w:lang w:eastAsia="en-US"/>
        </w:rPr>
        <w:t xml:space="preserve">budžeta programmu 97.00.00 “Nozaru vadība un politikas plānošana” 2024. gadā turpmāk ik gadu 56 311 </w:t>
      </w:r>
      <w:r w:rsidRPr="00307028">
        <w:rPr>
          <w:rFonts w:eastAsiaTheme="minorHAnsi"/>
          <w:i/>
          <w:iCs/>
          <w:lang w:eastAsia="en-US"/>
        </w:rPr>
        <w:t>euro</w:t>
      </w:r>
      <w:r w:rsidRPr="00307028">
        <w:rPr>
          <w:rFonts w:eastAsiaTheme="minorHAnsi"/>
          <w:lang w:eastAsia="en-US"/>
        </w:rPr>
        <w:t xml:space="preserve"> apmērā.</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460E0382" w14:textId="77777777" w:rsidTr="0033230F">
        <w:trPr>
          <w:jc w:val="center"/>
        </w:trPr>
        <w:tc>
          <w:tcPr>
            <w:tcW w:w="709" w:type="dxa"/>
            <w:shd w:val="clear" w:color="auto" w:fill="B2D9EC"/>
            <w:vAlign w:val="center"/>
          </w:tcPr>
          <w:p w14:paraId="7B497E85"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4D87A768" w14:textId="77777777" w:rsidR="00EE3DBD" w:rsidRPr="00307028" w:rsidRDefault="00EE3DBD" w:rsidP="00EE3DBD">
            <w:pPr>
              <w:jc w:val="center"/>
              <w:rPr>
                <w:rFonts w:eastAsia="Calibri"/>
                <w:szCs w:val="22"/>
                <w:lang w:eastAsia="en-US"/>
              </w:rPr>
            </w:pPr>
            <w:r w:rsidRPr="00307028">
              <w:rPr>
                <w:rFonts w:eastAsia="Calibri"/>
                <w:szCs w:val="22"/>
                <w:lang w:eastAsia="en-US"/>
              </w:rPr>
              <w:t>38 659 309</w:t>
            </w:r>
          </w:p>
        </w:tc>
        <w:tc>
          <w:tcPr>
            <w:tcW w:w="696" w:type="dxa"/>
            <w:shd w:val="clear" w:color="auto" w:fill="B2D9EC"/>
            <w:vAlign w:val="center"/>
          </w:tcPr>
          <w:p w14:paraId="682E1A9E"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4BC0176F" w14:textId="77777777" w:rsidR="00EE3DBD" w:rsidRPr="00307028" w:rsidRDefault="00EE3DBD" w:rsidP="00EE3DBD">
            <w:pPr>
              <w:jc w:val="center"/>
              <w:rPr>
                <w:rFonts w:eastAsia="Calibri"/>
                <w:szCs w:val="22"/>
                <w:lang w:eastAsia="en-US"/>
              </w:rPr>
            </w:pPr>
            <w:r w:rsidRPr="00307028">
              <w:rPr>
                <w:rFonts w:eastAsia="Calibri"/>
                <w:szCs w:val="22"/>
                <w:lang w:eastAsia="en-US"/>
              </w:rPr>
              <w:t>39 679 686</w:t>
            </w:r>
          </w:p>
        </w:tc>
        <w:tc>
          <w:tcPr>
            <w:tcW w:w="696" w:type="dxa"/>
            <w:shd w:val="clear" w:color="auto" w:fill="B2D9EC"/>
            <w:vAlign w:val="center"/>
          </w:tcPr>
          <w:p w14:paraId="234FD6B7"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48ECF8B5" w14:textId="77777777" w:rsidR="00EE3DBD" w:rsidRPr="00307028" w:rsidRDefault="00EE3DBD" w:rsidP="00EE3DBD">
            <w:pPr>
              <w:jc w:val="center"/>
              <w:rPr>
                <w:rFonts w:eastAsia="Calibri"/>
                <w:szCs w:val="22"/>
                <w:lang w:eastAsia="en-US"/>
              </w:rPr>
            </w:pPr>
            <w:r w:rsidRPr="00307028">
              <w:rPr>
                <w:rFonts w:eastAsia="Calibri"/>
                <w:szCs w:val="22"/>
                <w:lang w:eastAsia="en-US"/>
              </w:rPr>
              <w:t>39 679 686</w:t>
            </w:r>
          </w:p>
        </w:tc>
      </w:tr>
    </w:tbl>
    <w:p w14:paraId="22A95E35" w14:textId="77777777" w:rsidR="00EE3DBD" w:rsidRPr="00307028" w:rsidRDefault="00EE3DBD" w:rsidP="00EE3DBD">
      <w:pPr>
        <w:keepNext/>
        <w:keepLines/>
        <w:spacing w:after="120" w:line="259" w:lineRule="auto"/>
        <w:jc w:val="both"/>
        <w:rPr>
          <w:rFonts w:eastAsia="Calibri"/>
          <w:b/>
          <w:bCs/>
          <w:szCs w:val="22"/>
          <w:lang w:eastAsia="en-US"/>
        </w:rPr>
      </w:pPr>
    </w:p>
    <w:p w14:paraId="568FD1C6" w14:textId="77777777" w:rsidR="00EE3DBD" w:rsidRPr="00307028" w:rsidRDefault="00EE3DBD" w:rsidP="00EE3DBD">
      <w:pPr>
        <w:keepNext/>
        <w:keepLines/>
        <w:spacing w:after="120" w:line="259" w:lineRule="auto"/>
        <w:jc w:val="center"/>
        <w:rPr>
          <w:rFonts w:eastAsia="Calibri"/>
          <w:b/>
          <w:bCs/>
          <w:szCs w:val="22"/>
          <w:lang w:eastAsia="en-US"/>
        </w:rPr>
      </w:pPr>
      <w:r w:rsidRPr="00307028">
        <w:rPr>
          <w:rFonts w:eastAsia="Calibri"/>
          <w:b/>
          <w:bCs/>
          <w:szCs w:val="22"/>
          <w:lang w:eastAsia="en-US"/>
        </w:rPr>
        <w:t>Ārlietu ministrija</w:t>
      </w:r>
    </w:p>
    <w:p w14:paraId="666F6D72" w14:textId="77777777" w:rsidR="00EE3DBD" w:rsidRPr="00307028" w:rsidRDefault="00EE3DBD" w:rsidP="00EE3DBD">
      <w:pPr>
        <w:spacing w:after="120" w:line="259" w:lineRule="auto"/>
        <w:jc w:val="both"/>
        <w:rPr>
          <w:rFonts w:eastAsiaTheme="minorHAnsi"/>
          <w:b/>
          <w:bCs/>
          <w:color w:val="000000"/>
          <w:kern w:val="2"/>
          <w:shd w:val="clear" w:color="auto" w:fill="FFFFFF"/>
          <w:lang w:eastAsia="en-US"/>
          <w14:ligatures w14:val="standardContextual"/>
        </w:rPr>
      </w:pPr>
      <w:r w:rsidRPr="00307028">
        <w:rPr>
          <w:rFonts w:eastAsiaTheme="minorHAnsi"/>
          <w:b/>
          <w:bCs/>
          <w:kern w:val="2"/>
          <w:lang w:eastAsia="en-US"/>
          <w14:ligatures w14:val="standardContextual"/>
        </w:rPr>
        <w:t xml:space="preserve">ĀM – </w:t>
      </w:r>
      <w:r w:rsidRPr="00307028">
        <w:rPr>
          <w:rFonts w:eastAsiaTheme="minorHAnsi"/>
          <w:b/>
          <w:bCs/>
          <w:color w:val="000000"/>
          <w:kern w:val="2"/>
          <w:shd w:val="clear" w:color="auto" w:fill="FFFFFF"/>
          <w:lang w:eastAsia="en-US"/>
          <w14:ligatures w14:val="standardContextual"/>
        </w:rPr>
        <w:t>budžeta programmu (apakšprogrammu) struktūras izmaiņas</w:t>
      </w:r>
    </w:p>
    <w:p w14:paraId="5BC6AA6B" w14:textId="503DB24A" w:rsidR="00EE3DBD" w:rsidRPr="00307028" w:rsidRDefault="00EE3DBD" w:rsidP="004618F2">
      <w:pPr>
        <w:spacing w:after="120" w:line="259" w:lineRule="auto"/>
        <w:ind w:firstLine="720"/>
        <w:jc w:val="both"/>
        <w:rPr>
          <w:rFonts w:eastAsiaTheme="minorHAnsi"/>
          <w:kern w:val="2"/>
          <w:lang w:eastAsia="en-US"/>
        </w:rPr>
      </w:pPr>
      <w:r w:rsidRPr="00307028">
        <w:rPr>
          <w:rFonts w:eastAsiaTheme="minorHAnsi"/>
          <w:kern w:val="2"/>
          <w:lang w:eastAsia="en-US"/>
        </w:rPr>
        <w:t>ĀM budžeta apakšprogrammās 01.04.00 “Diplomātiskās misijas ārvalstīs” un 01.06.00 ‘‘Konsulārais nodrošinājums” ik gadu tiek plānots finansējums diplomātisko misiju ārvalstīs darbības nodrošināšanai un konsulār</w:t>
      </w:r>
      <w:r w:rsidR="008938FF" w:rsidRPr="00307028">
        <w:rPr>
          <w:rFonts w:eastAsiaTheme="minorHAnsi"/>
          <w:kern w:val="2"/>
          <w:lang w:eastAsia="en-US"/>
        </w:rPr>
        <w:t>a</w:t>
      </w:r>
      <w:r w:rsidRPr="00307028">
        <w:rPr>
          <w:rFonts w:eastAsiaTheme="minorHAnsi"/>
          <w:kern w:val="2"/>
          <w:lang w:eastAsia="en-US"/>
        </w:rPr>
        <w:t>jam nodrošinājumam. Lai efektivizētu budžeta izdevumu administrēšanas procesus, ĀM rosina diplomātisko misiju ārvalstīs darbības nodrošināšanas un konsulārā nodrošinājuma finansējumu sākot ar 2024. gadu plānot vienā jaunā budžeta programmā 03.00.00 ‘‘Diplomātisko un konsulāro misiju nodrošinājums”, attiecīgi veicot finansējuma pārdali no budžeta apakšprogrammām 01.04.00 “Diplomātiskās misijas ārvalstīs” un 01.06.00 ‘‘Konsulārais nodrošinājums”.</w:t>
      </w:r>
    </w:p>
    <w:p w14:paraId="51B3A295" w14:textId="77777777" w:rsidR="00DB4AD2" w:rsidRPr="00307028" w:rsidRDefault="00DB4AD2" w:rsidP="00063164">
      <w:pPr>
        <w:spacing w:line="259" w:lineRule="auto"/>
        <w:ind w:firstLine="720"/>
        <w:jc w:val="both"/>
        <w:rPr>
          <w:rFonts w:eastAsiaTheme="minorHAnsi"/>
          <w:kern w:val="2"/>
          <w:lang w:eastAsia="en-US"/>
        </w:rPr>
      </w:pPr>
    </w:p>
    <w:p w14:paraId="6F84BC4F" w14:textId="77777777" w:rsidR="00EE3DBD" w:rsidRPr="00307028" w:rsidRDefault="00EE3DBD" w:rsidP="00EE3DBD">
      <w:pPr>
        <w:spacing w:after="120" w:line="259" w:lineRule="auto"/>
        <w:jc w:val="center"/>
        <w:rPr>
          <w:rFonts w:eastAsiaTheme="minorHAnsi"/>
          <w:b/>
          <w:bCs/>
          <w:kern w:val="2"/>
          <w:lang w:eastAsia="en-US"/>
        </w:rPr>
      </w:pPr>
      <w:r w:rsidRPr="00307028">
        <w:rPr>
          <w:rFonts w:eastAsiaTheme="minorHAnsi"/>
          <w:b/>
          <w:bCs/>
          <w:kern w:val="2"/>
          <w:lang w:eastAsia="en-US"/>
        </w:rPr>
        <w:t>Ekonomikas ministrija</w:t>
      </w:r>
    </w:p>
    <w:p w14:paraId="5239230D" w14:textId="77777777" w:rsidR="00EE3DBD" w:rsidRPr="00307028" w:rsidRDefault="00EE3DBD" w:rsidP="004618F2">
      <w:pPr>
        <w:spacing w:after="120" w:line="259" w:lineRule="auto"/>
        <w:jc w:val="both"/>
        <w:rPr>
          <w:rFonts w:eastAsiaTheme="minorHAnsi"/>
          <w:b/>
          <w:bCs/>
          <w:kern w:val="2"/>
          <w:lang w:eastAsia="en-US"/>
          <w14:ligatures w14:val="standardContextual"/>
        </w:rPr>
      </w:pPr>
      <w:r w:rsidRPr="00307028">
        <w:rPr>
          <w:rFonts w:eastAsiaTheme="minorHAnsi"/>
          <w:b/>
          <w:bCs/>
          <w:kern w:val="2"/>
          <w:lang w:eastAsia="en-US"/>
          <w14:ligatures w14:val="standardContextual"/>
        </w:rPr>
        <w:t>EM – akciju sabiedrības “Latvenergo” iemaksājamo dividenžu apmēra pārskatīšana, lai nodrošinātu finansēšanas avotu neatliekamo pasākumu turpināšanai EM resorā</w:t>
      </w:r>
    </w:p>
    <w:p w14:paraId="75028967" w14:textId="087F9B6D" w:rsidR="00EE3DBD" w:rsidRPr="00307028" w:rsidRDefault="00EE3DBD" w:rsidP="004618F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Pamatojoties uz MK 2020. gada 22. septembra sēdes protokola Nr. 55 38.§ “Informatīvais ziņojums “Par priekšlikumiem valsts budžeta ieņēmumiem un izdevumiem 2021. gadam un ietvaram 2021.</w:t>
      </w:r>
      <w:r w:rsidR="00BC5DE5" w:rsidRPr="00307028">
        <w:rPr>
          <w:rFonts w:eastAsiaTheme="minorHAnsi"/>
          <w:kern w:val="2"/>
          <w:lang w:eastAsia="en-US"/>
          <w14:ligatures w14:val="standardContextual"/>
        </w:rPr>
        <w:t xml:space="preserve"> – </w:t>
      </w:r>
      <w:r w:rsidRPr="00307028">
        <w:rPr>
          <w:rFonts w:eastAsiaTheme="minorHAnsi"/>
          <w:kern w:val="2"/>
          <w:lang w:eastAsia="en-US"/>
          <w14:ligatures w14:val="standardContextual"/>
        </w:rPr>
        <w:t>2023. gadam” 11. punktu</w:t>
      </w:r>
      <w:r w:rsidR="008E4BBD"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likumā “Par valsts budžetu 2023.</w:t>
      </w:r>
      <w:r w:rsidR="008E4BBD" w:rsidRPr="00307028">
        <w:rPr>
          <w:rFonts w:eastAsiaTheme="minorHAnsi"/>
          <w:kern w:val="2"/>
          <w:lang w:eastAsia="en-US"/>
          <w14:ligatures w14:val="standardContextual"/>
        </w:rPr>
        <w:t> </w:t>
      </w:r>
      <w:r w:rsidRPr="00307028">
        <w:rPr>
          <w:rFonts w:eastAsiaTheme="minorHAnsi"/>
          <w:kern w:val="2"/>
          <w:lang w:eastAsia="en-US"/>
          <w14:ligatures w14:val="standardContextual"/>
        </w:rPr>
        <w:t xml:space="preserve">gadam un budžeta ietvaru 2023., 2024. un 2025. gadam” 2023. gadā EM budžetā ir ieplānots finansējums 12 604 630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EM neatliekamo pasākumu īstenošanai. Atbilstoši minētā protokola 10. punktam attiecīgā apmērā 2023. gadam tika palielināti pamatbudžeta prognozējamie ieņēmumi no </w:t>
      </w:r>
      <w:r w:rsidR="00BC5DE5" w:rsidRPr="00307028">
        <w:rPr>
          <w:rFonts w:eastAsiaTheme="minorHAnsi"/>
          <w:kern w:val="2"/>
          <w:lang w:eastAsia="en-US"/>
          <w14:ligatures w14:val="standardContextual"/>
        </w:rPr>
        <w:t xml:space="preserve">AS </w:t>
      </w:r>
      <w:r w:rsidRPr="00307028">
        <w:rPr>
          <w:rFonts w:eastAsiaTheme="minorHAnsi"/>
          <w:kern w:val="2"/>
          <w:lang w:eastAsia="en-US"/>
          <w14:ligatures w14:val="standardContextual"/>
        </w:rPr>
        <w:t xml:space="preserve">“Latvenergo” dividendēm. Vienlaikus EM tika </w:t>
      </w:r>
      <w:r w:rsidRPr="00307028">
        <w:rPr>
          <w:rFonts w:eastAsiaTheme="minorHAnsi"/>
          <w:kern w:val="2"/>
          <w:lang w:eastAsia="en-US"/>
          <w14:ligatures w14:val="standardContextual"/>
        </w:rPr>
        <w:lastRenderedPageBreak/>
        <w:t xml:space="preserve">dots uzdevums, </w:t>
      </w:r>
      <w:r w:rsidR="00BC5DE5" w:rsidRPr="00307028">
        <w:rPr>
          <w:rFonts w:eastAsiaTheme="minorHAnsi"/>
          <w:kern w:val="2"/>
          <w:lang w:eastAsia="en-US"/>
          <w14:ligatures w14:val="standardContextual"/>
        </w:rPr>
        <w:t xml:space="preserve">kas paredz, </w:t>
      </w:r>
      <w:r w:rsidRPr="00307028">
        <w:rPr>
          <w:rFonts w:eastAsiaTheme="minorHAnsi"/>
          <w:kern w:val="2"/>
          <w:lang w:eastAsia="en-US"/>
          <w14:ligatures w14:val="standardContextual"/>
        </w:rPr>
        <w:t xml:space="preserve">ja tiek precizēts </w:t>
      </w:r>
      <w:r w:rsidR="00BC5DE5" w:rsidRPr="00307028">
        <w:rPr>
          <w:rFonts w:eastAsiaTheme="minorHAnsi"/>
          <w:kern w:val="2"/>
          <w:lang w:eastAsia="en-US"/>
          <w14:ligatures w14:val="standardContextual"/>
        </w:rPr>
        <w:t>AS</w:t>
      </w:r>
      <w:r w:rsidRPr="00307028">
        <w:rPr>
          <w:rFonts w:eastAsiaTheme="minorHAnsi"/>
          <w:kern w:val="2"/>
          <w:lang w:eastAsia="en-US"/>
          <w14:ligatures w14:val="standardContextual"/>
        </w:rPr>
        <w:t xml:space="preserve"> “Latvenergo” iemaksājamo dividenžu apmērs 2024. un turpmākajiem gadiem, sagatavot priekšlikumus, lai nodrošinātu finansēšanas avotu neatliekamo pasākumu turpināšanai.</w:t>
      </w:r>
    </w:p>
    <w:p w14:paraId="7D5E32E5" w14:textId="227A487E" w:rsidR="00EE3DBD" w:rsidRPr="00307028" w:rsidRDefault="00EE3DBD" w:rsidP="004618F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Ņemot vērā operatīvos datus par 2023. gadā </w:t>
      </w:r>
      <w:r w:rsidR="00BC5DE5" w:rsidRPr="00307028">
        <w:rPr>
          <w:rFonts w:eastAsiaTheme="minorHAnsi"/>
          <w:kern w:val="2"/>
          <w:lang w:eastAsia="en-US"/>
          <w14:ligatures w14:val="standardContextual"/>
        </w:rPr>
        <w:t xml:space="preserve">AS </w:t>
      </w:r>
      <w:r w:rsidRPr="00307028">
        <w:rPr>
          <w:rFonts w:eastAsiaTheme="minorHAnsi"/>
          <w:kern w:val="2"/>
          <w:lang w:eastAsia="en-US"/>
          <w14:ligatures w14:val="standardContextual"/>
        </w:rPr>
        <w:t xml:space="preserve">“Latvenergo” valsts budžetā iemaksāto dividenžu apjomu, EM secina ka 2024. gadā un turpmākajos gados faktiski iemaksātais dividenžu apjoms pārsniegs šobrīd plānoto. Ievērojot minēto, EM iesniedza priekšlikumu </w:t>
      </w:r>
      <w:bookmarkStart w:id="60" w:name="_Hlk140758224"/>
      <w:r w:rsidRPr="00307028">
        <w:rPr>
          <w:rFonts w:eastAsiaTheme="minorHAnsi"/>
          <w:kern w:val="2"/>
          <w:lang w:eastAsia="en-US"/>
          <w14:ligatures w14:val="standardContextual"/>
        </w:rPr>
        <w:t xml:space="preserve">2024. gadā un turpmāk ik gadu </w:t>
      </w:r>
      <w:bookmarkEnd w:id="60"/>
      <w:r w:rsidRPr="00307028">
        <w:rPr>
          <w:rFonts w:eastAsiaTheme="minorHAnsi"/>
          <w:kern w:val="2"/>
          <w:lang w:eastAsia="en-US"/>
          <w14:ligatures w14:val="standardContextual"/>
        </w:rPr>
        <w:t>palielināt pamatbudžeta</w:t>
      </w:r>
      <w:r w:rsidRPr="00307028">
        <w:rPr>
          <w:rFonts w:eastAsia="Calibri" w:cstheme="minorBidi"/>
          <w:kern w:val="2"/>
          <w:szCs w:val="22"/>
          <w:lang w:eastAsia="en-US"/>
          <w14:ligatures w14:val="standardContextual"/>
        </w:rPr>
        <w:t xml:space="preserve"> </w:t>
      </w:r>
      <w:r w:rsidRPr="00307028">
        <w:rPr>
          <w:rFonts w:eastAsiaTheme="minorHAnsi"/>
          <w:kern w:val="2"/>
          <w:lang w:eastAsia="en-US"/>
          <w14:ligatures w14:val="standardContextual"/>
        </w:rPr>
        <w:t xml:space="preserve">prognozējamos ieņēmumos valsts budžetā no </w:t>
      </w:r>
      <w:r w:rsidR="00BC5DE5" w:rsidRPr="00307028">
        <w:rPr>
          <w:rFonts w:eastAsiaTheme="minorHAnsi"/>
          <w:kern w:val="2"/>
          <w:lang w:eastAsia="en-US"/>
          <w14:ligatures w14:val="standardContextual"/>
        </w:rPr>
        <w:t xml:space="preserve">AS </w:t>
      </w:r>
      <w:r w:rsidRPr="00307028">
        <w:rPr>
          <w:rFonts w:eastAsiaTheme="minorHAnsi"/>
          <w:kern w:val="2"/>
          <w:lang w:eastAsia="en-US"/>
          <w14:ligatures w14:val="standardContextual"/>
        </w:rPr>
        <w:t>“Latvenergo” dividendēm 9</w:t>
      </w:r>
      <w:r w:rsidR="008E4BBD" w:rsidRPr="00307028">
        <w:rPr>
          <w:rFonts w:eastAsiaTheme="minorHAnsi"/>
          <w:kern w:val="2"/>
          <w:lang w:eastAsia="en-US"/>
          <w14:ligatures w14:val="standardContextual"/>
        </w:rPr>
        <w:t> </w:t>
      </w:r>
      <w:r w:rsidRPr="00307028">
        <w:rPr>
          <w:rFonts w:eastAsiaTheme="minorHAnsi"/>
          <w:kern w:val="2"/>
          <w:lang w:eastAsia="en-US"/>
          <w14:ligatures w14:val="standardContextual"/>
        </w:rPr>
        <w:t xml:space="preserve">998 930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vienlaikus 2024. gadā un turpmāk ik gadu attiecīgā apmērā palielinot izdevum</w:t>
      </w:r>
      <w:r w:rsidR="00C66CAC" w:rsidRPr="00307028">
        <w:rPr>
          <w:rFonts w:eastAsiaTheme="minorHAnsi"/>
          <w:kern w:val="2"/>
          <w:lang w:eastAsia="en-US"/>
          <w14:ligatures w14:val="standardContextual"/>
        </w:rPr>
        <w:t>u</w:t>
      </w:r>
      <w:r w:rsidRPr="00307028">
        <w:rPr>
          <w:rFonts w:eastAsiaTheme="minorHAnsi"/>
          <w:kern w:val="2"/>
          <w:lang w:eastAsia="en-US"/>
          <w14:ligatures w14:val="standardContextual"/>
        </w:rPr>
        <w:t xml:space="preserve">s EM budžetā un novirzot finansējumu šādu resora neatliekamo pasākumu turpināšanai: </w:t>
      </w:r>
    </w:p>
    <w:p w14:paraId="21D36C69" w14:textId="43FA9432"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mājokļu garantiju atbalsta programmas īstenošanai</w:t>
      </w:r>
      <w:r w:rsidR="000F28A8" w:rsidRPr="00307028">
        <w:rPr>
          <w:rFonts w:eastAsiaTheme="minorHAnsi"/>
          <w:lang w:eastAsia="en-US"/>
        </w:rPr>
        <w:t xml:space="preserve"> </w:t>
      </w:r>
      <w:r w:rsidRPr="00307028">
        <w:rPr>
          <w:rFonts w:eastAsiaTheme="minorHAnsi"/>
          <w:lang w:eastAsia="en-US"/>
        </w:rPr>
        <w:t>5 500 000 </w:t>
      </w:r>
      <w:r w:rsidRPr="00307028">
        <w:rPr>
          <w:rFonts w:eastAsiaTheme="minorHAnsi"/>
          <w:i/>
          <w:iCs/>
          <w:lang w:eastAsia="en-US"/>
        </w:rPr>
        <w:t>euro</w:t>
      </w:r>
      <w:r w:rsidRPr="00307028">
        <w:rPr>
          <w:rFonts w:eastAsiaTheme="minorHAnsi"/>
          <w:lang w:eastAsia="en-US"/>
        </w:rPr>
        <w:t xml:space="preserve"> apmērā, lai nodrošinātu valsts galvojumus bankas aizdevumiem mājokļa iegādei vai būvniecībai;</w:t>
      </w:r>
    </w:p>
    <w:p w14:paraId="46F2BD4E" w14:textId="77777777"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tiešo investīciju pieauguma veicināšanai, veidojot izcilu uzņēmējdarbības vidi 1 474 880 </w:t>
      </w:r>
      <w:r w:rsidRPr="00307028">
        <w:rPr>
          <w:rFonts w:eastAsiaTheme="minorHAnsi"/>
          <w:i/>
          <w:iCs/>
          <w:lang w:eastAsia="en-US"/>
        </w:rPr>
        <w:t>euro</w:t>
      </w:r>
      <w:r w:rsidRPr="00307028">
        <w:rPr>
          <w:rFonts w:eastAsiaTheme="minorHAnsi"/>
          <w:lang w:eastAsia="en-US"/>
        </w:rPr>
        <w:t xml:space="preserve"> apmērā, t.sk. lai apkalpotu esošos un identificētu potenciālos investīciju projektus, izveidojot regulējumu ārvalstu tiešo ieguldījumu izvērtēšanai atbilstoši Eiropas Parlamenta un Eiropas Padomes regulai (ES) 2019/452;</w:t>
      </w:r>
    </w:p>
    <w:p w14:paraId="695525E9" w14:textId="2037245D"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Latvijas uzņēmēju eksportspēju stiprināšanai, ieviešot valsts ekonomisko tēlu 823 602 </w:t>
      </w:r>
      <w:r w:rsidRPr="00307028">
        <w:rPr>
          <w:rFonts w:eastAsiaTheme="minorHAnsi"/>
          <w:i/>
          <w:iCs/>
          <w:lang w:eastAsia="en-US"/>
        </w:rPr>
        <w:t>euro</w:t>
      </w:r>
      <w:r w:rsidRPr="00307028">
        <w:rPr>
          <w:rFonts w:eastAsiaTheme="minorHAnsi"/>
          <w:lang w:eastAsia="en-US"/>
        </w:rPr>
        <w:t xml:space="preserve"> apmērā, izstrādājot Latvijas valsts tēla komunikācijas stratēģiju un nodrošin</w:t>
      </w:r>
      <w:r w:rsidR="00BC5DE5" w:rsidRPr="00307028">
        <w:rPr>
          <w:rFonts w:eastAsiaTheme="minorHAnsi"/>
          <w:lang w:eastAsia="en-US"/>
        </w:rPr>
        <w:t>o</w:t>
      </w:r>
      <w:r w:rsidRPr="00307028">
        <w:rPr>
          <w:rFonts w:eastAsiaTheme="minorHAnsi"/>
          <w:lang w:eastAsia="en-US"/>
        </w:rPr>
        <w:t>t valsts tēla kampaņu realizēšanu mērķa valstīs, veicinot tūrisma nozares konkurētspēju, ārvalstu investīciju piesaisti viedās specializācijas jomās un kāpinot Latvijas uzņēmēju eksportspēju;</w:t>
      </w:r>
    </w:p>
    <w:p w14:paraId="029C4DEA" w14:textId="77777777"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statistikas modernizācijai, datu pieejamības veicināšanai un absolventu monitoringam 385 915 </w:t>
      </w:r>
      <w:r w:rsidRPr="00307028">
        <w:rPr>
          <w:rFonts w:eastAsiaTheme="minorHAnsi"/>
          <w:i/>
          <w:iCs/>
          <w:lang w:eastAsia="en-US"/>
        </w:rPr>
        <w:t>euro</w:t>
      </w:r>
      <w:r w:rsidRPr="00307028">
        <w:rPr>
          <w:rFonts w:eastAsiaTheme="minorHAnsi"/>
          <w:lang w:eastAsia="en-US"/>
        </w:rPr>
        <w:t xml:space="preserve"> apmērā, lai veicinātu jaunu datu ieguvi un analīzes procesa efektivitāti datu lietotājiem, samazinot administratīvo slogu uzņēmējiem, kā arī veiktu augstskolu un profesionālās izglītības iestāžu absolventu monitoringu;</w:t>
      </w:r>
    </w:p>
    <w:p w14:paraId="4165BD8F" w14:textId="2413882A"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PTAC kapacitātes saglabāšanai, būvizstrādājumu uzraudzības, kuģu aprīkojuma atbilstības un pārrobežu pārkāpumu novēršanas procedūras nodrošināšanai 831</w:t>
      </w:r>
      <w:r w:rsidR="00E441C1" w:rsidRPr="00307028">
        <w:rPr>
          <w:rFonts w:eastAsiaTheme="minorHAnsi"/>
          <w:lang w:eastAsia="en-US"/>
        </w:rPr>
        <w:t> </w:t>
      </w:r>
      <w:r w:rsidRPr="00307028">
        <w:rPr>
          <w:rFonts w:eastAsiaTheme="minorHAnsi"/>
          <w:lang w:eastAsia="en-US"/>
        </w:rPr>
        <w:t>312</w:t>
      </w:r>
      <w:r w:rsidR="00E441C1" w:rsidRPr="00307028">
        <w:rPr>
          <w:rFonts w:eastAsiaTheme="minorHAnsi"/>
          <w:lang w:eastAsia="en-US"/>
        </w:rPr>
        <w:t> </w:t>
      </w:r>
      <w:r w:rsidRPr="00307028">
        <w:rPr>
          <w:rFonts w:eastAsiaTheme="minorHAnsi"/>
          <w:i/>
          <w:iCs/>
          <w:lang w:eastAsia="en-US"/>
        </w:rPr>
        <w:t>euro</w:t>
      </w:r>
      <w:r w:rsidRPr="00307028">
        <w:rPr>
          <w:rFonts w:eastAsiaTheme="minorHAnsi"/>
          <w:lang w:eastAsia="en-US"/>
        </w:rPr>
        <w:t xml:space="preserve"> apmērā, lai nodrošinātu efektīvu patērētāju tiesību un tirgus uzraudzību, jauno uzraudzības jomu attīstīšanu, kā arī pārrobežu pārkāpumu novēršanu un tirdzniecības platformu uzraudzību; </w:t>
      </w:r>
    </w:p>
    <w:p w14:paraId="7725EF97" w14:textId="77777777" w:rsidR="00EE3DBD" w:rsidRPr="00307028" w:rsidRDefault="00EE3DBD" w:rsidP="00070D5F">
      <w:pPr>
        <w:numPr>
          <w:ilvl w:val="0"/>
          <w:numId w:val="29"/>
        </w:numPr>
        <w:spacing w:after="120" w:line="259" w:lineRule="auto"/>
        <w:ind w:left="709" w:hanging="426"/>
        <w:jc w:val="both"/>
        <w:rPr>
          <w:rFonts w:eastAsiaTheme="minorHAnsi"/>
          <w:lang w:eastAsia="en-US"/>
        </w:rPr>
      </w:pPr>
      <w:r w:rsidRPr="00307028">
        <w:rPr>
          <w:rFonts w:eastAsiaTheme="minorHAnsi"/>
          <w:lang w:eastAsia="en-US"/>
        </w:rPr>
        <w:t>EM kapacitātes saglabāšanai 983 221 </w:t>
      </w:r>
      <w:r w:rsidRPr="00307028">
        <w:rPr>
          <w:rFonts w:eastAsiaTheme="minorHAnsi"/>
          <w:i/>
          <w:iCs/>
          <w:lang w:eastAsia="en-US"/>
        </w:rPr>
        <w:t>euro</w:t>
      </w:r>
      <w:r w:rsidRPr="00307028">
        <w:rPr>
          <w:rFonts w:eastAsiaTheme="minorHAnsi"/>
          <w:lang w:eastAsia="en-US"/>
        </w:rPr>
        <w:t xml:space="preserve"> apmērā, lai saglabātu EM atlīdzību esošajā līmenī. </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45A9279B" w14:textId="77777777" w:rsidTr="0033230F">
        <w:trPr>
          <w:jc w:val="center"/>
        </w:trPr>
        <w:tc>
          <w:tcPr>
            <w:tcW w:w="709" w:type="dxa"/>
            <w:shd w:val="clear" w:color="auto" w:fill="B2D9EC"/>
            <w:vAlign w:val="center"/>
          </w:tcPr>
          <w:p w14:paraId="05656021"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1D259799" w14:textId="77777777" w:rsidR="00EE3DBD" w:rsidRPr="00307028" w:rsidRDefault="00EE3DBD" w:rsidP="00EE3DBD">
            <w:pPr>
              <w:jc w:val="center"/>
              <w:rPr>
                <w:rFonts w:eastAsia="Calibri"/>
                <w:szCs w:val="22"/>
                <w:lang w:eastAsia="en-US"/>
              </w:rPr>
            </w:pPr>
            <w:r w:rsidRPr="00307028">
              <w:rPr>
                <w:rFonts w:eastAsia="Calibri"/>
                <w:szCs w:val="22"/>
                <w:lang w:eastAsia="en-US"/>
              </w:rPr>
              <w:t>9 998 930</w:t>
            </w:r>
          </w:p>
        </w:tc>
        <w:tc>
          <w:tcPr>
            <w:tcW w:w="696" w:type="dxa"/>
            <w:shd w:val="clear" w:color="auto" w:fill="B2D9EC"/>
            <w:vAlign w:val="center"/>
          </w:tcPr>
          <w:p w14:paraId="4635989B"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112C4BDA" w14:textId="77777777" w:rsidR="00EE3DBD" w:rsidRPr="00307028" w:rsidRDefault="00EE3DBD" w:rsidP="00EE3DBD">
            <w:pPr>
              <w:jc w:val="center"/>
              <w:rPr>
                <w:rFonts w:eastAsia="Calibri"/>
                <w:szCs w:val="22"/>
                <w:lang w:eastAsia="en-US"/>
              </w:rPr>
            </w:pPr>
            <w:r w:rsidRPr="00307028">
              <w:rPr>
                <w:rFonts w:eastAsia="Calibri"/>
                <w:szCs w:val="22"/>
                <w:lang w:eastAsia="en-US"/>
              </w:rPr>
              <w:t>9 998 930</w:t>
            </w:r>
          </w:p>
        </w:tc>
        <w:tc>
          <w:tcPr>
            <w:tcW w:w="696" w:type="dxa"/>
            <w:shd w:val="clear" w:color="auto" w:fill="B2D9EC"/>
            <w:vAlign w:val="center"/>
          </w:tcPr>
          <w:p w14:paraId="6B669FFE"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5B14BD25" w14:textId="77777777" w:rsidR="00EE3DBD" w:rsidRPr="00307028" w:rsidRDefault="00EE3DBD" w:rsidP="00EE3DBD">
            <w:pPr>
              <w:jc w:val="center"/>
              <w:rPr>
                <w:rFonts w:eastAsia="Calibri"/>
                <w:szCs w:val="22"/>
                <w:lang w:eastAsia="en-US"/>
              </w:rPr>
            </w:pPr>
            <w:r w:rsidRPr="00307028">
              <w:rPr>
                <w:rFonts w:eastAsia="Calibri"/>
                <w:szCs w:val="22"/>
                <w:lang w:eastAsia="en-US"/>
              </w:rPr>
              <w:t>9 998 930</w:t>
            </w:r>
          </w:p>
        </w:tc>
      </w:tr>
    </w:tbl>
    <w:p w14:paraId="0561461F" w14:textId="77777777" w:rsidR="00EE3DBD" w:rsidRPr="00307028" w:rsidRDefault="00EE3DBD" w:rsidP="00EE3DBD">
      <w:pPr>
        <w:keepNext/>
        <w:keepLines/>
        <w:spacing w:after="120" w:line="259" w:lineRule="auto"/>
        <w:jc w:val="center"/>
        <w:rPr>
          <w:rFonts w:eastAsia="Calibri"/>
          <w:b/>
          <w:bCs/>
          <w:szCs w:val="22"/>
          <w:lang w:eastAsia="en-US"/>
        </w:rPr>
      </w:pPr>
    </w:p>
    <w:p w14:paraId="7FCBBA72" w14:textId="77777777" w:rsidR="00EE3DBD" w:rsidRPr="00307028" w:rsidRDefault="00EE3DBD" w:rsidP="00EE3DBD">
      <w:pPr>
        <w:spacing w:after="120" w:line="259" w:lineRule="auto"/>
        <w:jc w:val="center"/>
        <w:rPr>
          <w:rFonts w:eastAsiaTheme="minorHAnsi"/>
          <w:b/>
          <w:bCs/>
          <w:lang w:eastAsia="en-US"/>
        </w:rPr>
      </w:pPr>
      <w:r w:rsidRPr="00307028">
        <w:rPr>
          <w:rFonts w:eastAsiaTheme="minorHAnsi"/>
          <w:b/>
          <w:bCs/>
          <w:lang w:eastAsia="en-US"/>
        </w:rPr>
        <w:t>Finanšu ministrija</w:t>
      </w:r>
    </w:p>
    <w:p w14:paraId="45BCA78B" w14:textId="77777777" w:rsidR="00EE3DBD" w:rsidRPr="00307028" w:rsidRDefault="00EE3DBD" w:rsidP="0033230F">
      <w:pPr>
        <w:spacing w:before="120" w:after="120" w:line="259" w:lineRule="auto"/>
        <w:jc w:val="both"/>
        <w:rPr>
          <w:rFonts w:eastAsiaTheme="minorHAnsi" w:cstheme="minorBidi"/>
          <w:b/>
          <w:kern w:val="2"/>
          <w:szCs w:val="22"/>
          <w:lang w:eastAsia="en-US"/>
          <w14:ligatures w14:val="standardContextual"/>
        </w:rPr>
      </w:pPr>
      <w:r w:rsidRPr="00307028">
        <w:rPr>
          <w:rFonts w:eastAsiaTheme="minorHAnsi"/>
          <w:b/>
          <w:bCs/>
          <w:lang w:eastAsia="en-US"/>
        </w:rPr>
        <w:t xml:space="preserve">FM – </w:t>
      </w:r>
      <w:r w:rsidRPr="00307028">
        <w:rPr>
          <w:rFonts w:eastAsia="Calibri"/>
          <w:b/>
          <w:bCs/>
          <w:kern w:val="2"/>
          <w:szCs w:val="22"/>
          <w:lang w:eastAsia="en-US"/>
          <w14:ligatures w14:val="standardContextual"/>
        </w:rPr>
        <w:t>pārdale budžeta apakšprogrammas 31.02.00 “Valsts parāda vadība” ietvaros</w:t>
      </w:r>
      <w:r w:rsidRPr="00307028" w:rsidDel="003131CB">
        <w:rPr>
          <w:rFonts w:eastAsiaTheme="minorHAnsi" w:cstheme="minorBidi"/>
          <w:b/>
          <w:kern w:val="2"/>
          <w:szCs w:val="22"/>
          <w:lang w:eastAsia="en-US"/>
          <w14:ligatures w14:val="standardContextual"/>
        </w:rPr>
        <w:t xml:space="preserve"> </w:t>
      </w:r>
    </w:p>
    <w:p w14:paraId="71744A59" w14:textId="41C820EE" w:rsidR="00EE3DBD" w:rsidRPr="00307028" w:rsidRDefault="00EE3DBD" w:rsidP="004618F2">
      <w:pPr>
        <w:widowControl w:val="0"/>
        <w:spacing w:after="120" w:line="259" w:lineRule="auto"/>
        <w:ind w:firstLine="720"/>
        <w:jc w:val="both"/>
        <w:rPr>
          <w:rFonts w:eastAsia="Calibri"/>
          <w:lang w:eastAsia="en-US"/>
        </w:rPr>
      </w:pPr>
      <w:r w:rsidRPr="00307028">
        <w:rPr>
          <w:rFonts w:eastAsia="Calibri"/>
          <w:lang w:eastAsia="en-US"/>
        </w:rPr>
        <w:t xml:space="preserve">FM, veicot 2024. – 2026. gada bāzē plānoto izdevumu pārskatīšanu, ir identificējusi iespēju budžeta apakšprogrammā 31.02.00 “Valsts parāda vadība” </w:t>
      </w:r>
      <w:r w:rsidR="00BC5DE5" w:rsidRPr="00307028">
        <w:rPr>
          <w:rFonts w:eastAsia="Calibri"/>
          <w:lang w:eastAsia="en-US"/>
        </w:rPr>
        <w:t xml:space="preserve">samazināt </w:t>
      </w:r>
      <w:r w:rsidRPr="00307028">
        <w:rPr>
          <w:rFonts w:eastAsia="Calibri"/>
          <w:lang w:eastAsia="en-US"/>
        </w:rPr>
        <w:t>plānoto finansējumu procentu izdevumiem 2024. gadā 1 020 000 </w:t>
      </w:r>
      <w:r w:rsidRPr="00307028">
        <w:rPr>
          <w:rFonts w:eastAsia="Calibri"/>
          <w:i/>
          <w:iCs/>
          <w:lang w:eastAsia="en-US"/>
        </w:rPr>
        <w:t>euro</w:t>
      </w:r>
      <w:r w:rsidRPr="00307028">
        <w:rPr>
          <w:rFonts w:eastAsia="Calibri"/>
          <w:lang w:eastAsia="en-US"/>
        </w:rPr>
        <w:t xml:space="preserve"> apmērā un 2025. gadā 1 240 000 </w:t>
      </w:r>
      <w:r w:rsidRPr="00307028">
        <w:rPr>
          <w:rFonts w:eastAsia="Calibri"/>
          <w:i/>
          <w:iCs/>
          <w:lang w:eastAsia="en-US"/>
        </w:rPr>
        <w:t>euro</w:t>
      </w:r>
      <w:r w:rsidRPr="00307028">
        <w:rPr>
          <w:rFonts w:eastAsia="Calibri"/>
          <w:lang w:eastAsia="en-US"/>
        </w:rPr>
        <w:t xml:space="preserve"> apmērā, ņemot vērā, ka 2023. gada 5. jūlijā V</w:t>
      </w:r>
      <w:r w:rsidR="00BC5DE5" w:rsidRPr="00307028">
        <w:rPr>
          <w:rFonts w:eastAsia="Calibri"/>
          <w:lang w:eastAsia="en-US"/>
        </w:rPr>
        <w:t>alsts kase</w:t>
      </w:r>
      <w:r w:rsidRPr="00307028">
        <w:rPr>
          <w:rFonts w:eastAsia="Calibri"/>
          <w:lang w:eastAsia="en-US"/>
        </w:rPr>
        <w:t xml:space="preserve"> starptautiskajos finanšu tirgos emitēja jaunas 10 gadu eiroobligācijas, piesaistot finansējumu 750 milj. </w:t>
      </w:r>
      <w:r w:rsidRPr="00307028">
        <w:rPr>
          <w:rFonts w:eastAsia="Calibri"/>
          <w:i/>
          <w:iCs/>
          <w:lang w:eastAsia="en-US"/>
        </w:rPr>
        <w:t>euro</w:t>
      </w:r>
      <w:r w:rsidRPr="00307028">
        <w:rPr>
          <w:rFonts w:eastAsia="Calibri"/>
          <w:lang w:eastAsia="en-US"/>
        </w:rPr>
        <w:t xml:space="preserve"> apmērā ar ienesīgumu 3,910% un fiksējot kupona likmi 3,875%, kas ir zemāka nekā tika prognozēta, kā rezultātā ir izveidojies ietaupījums procentu izdevumos. Vienlaikus, lai nodrošinātu izdevumu pieauguma segšanu saistībā ar vidējā termiņā prognozēto aizņemšanās apjomu pieaugumu, </w:t>
      </w:r>
      <w:r w:rsidRPr="00307028">
        <w:rPr>
          <w:rFonts w:eastAsia="Calibri"/>
          <w:lang w:eastAsia="en-US"/>
        </w:rPr>
        <w:lastRenderedPageBreak/>
        <w:t>nepieciešams palielināt izdevumus precēm un pakalpojumiem 2024. gadā 1 020 000 </w:t>
      </w:r>
      <w:r w:rsidRPr="00307028">
        <w:rPr>
          <w:rFonts w:eastAsia="Calibri"/>
          <w:i/>
          <w:iCs/>
          <w:lang w:eastAsia="en-US"/>
        </w:rPr>
        <w:t>euro</w:t>
      </w:r>
      <w:r w:rsidRPr="00307028">
        <w:rPr>
          <w:rFonts w:eastAsia="Calibri"/>
          <w:lang w:eastAsia="en-US"/>
        </w:rPr>
        <w:t xml:space="preserve"> apmērā un 2025. gadā 1 240 000 </w:t>
      </w:r>
      <w:r w:rsidRPr="00307028">
        <w:rPr>
          <w:rFonts w:eastAsia="Calibri"/>
          <w:i/>
          <w:iCs/>
          <w:lang w:eastAsia="en-US"/>
        </w:rPr>
        <w:t>euro</w:t>
      </w:r>
      <w:r w:rsidRPr="00307028">
        <w:rPr>
          <w:rFonts w:eastAsia="Calibri"/>
          <w:lang w:eastAsia="en-US"/>
        </w:rPr>
        <w:t xml:space="preserve"> apmērā, attiecīgi budžeta apakšprogrammas 31.02.00</w:t>
      </w:r>
      <w:r w:rsidR="000F28A8" w:rsidRPr="00307028">
        <w:rPr>
          <w:rFonts w:eastAsia="Calibri"/>
          <w:lang w:eastAsia="en-US"/>
        </w:rPr>
        <w:t> </w:t>
      </w:r>
      <w:r w:rsidRPr="00307028">
        <w:rPr>
          <w:rFonts w:eastAsia="Calibri"/>
          <w:lang w:eastAsia="en-US"/>
        </w:rPr>
        <w:t>“Valsts parāda vadība” ietvaros veicot pārdali starp izdevumu EKK.</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7433190E" w14:textId="77777777" w:rsidTr="0033230F">
        <w:trPr>
          <w:jc w:val="center"/>
        </w:trPr>
        <w:tc>
          <w:tcPr>
            <w:tcW w:w="709" w:type="dxa"/>
            <w:shd w:val="clear" w:color="auto" w:fill="B2D9EC"/>
            <w:vAlign w:val="center"/>
          </w:tcPr>
          <w:p w14:paraId="155523C8" w14:textId="77777777" w:rsidR="00EE3DBD" w:rsidRPr="00307028" w:rsidRDefault="00EE3DBD" w:rsidP="00EE3DBD">
            <w:pPr>
              <w:jc w:val="center"/>
              <w:rPr>
                <w:rFonts w:eastAsia="Calibri"/>
                <w:szCs w:val="22"/>
                <w:lang w:eastAsia="en-US"/>
              </w:rPr>
            </w:pPr>
            <w:bookmarkStart w:id="61" w:name="_Hlk140241340"/>
            <w:r w:rsidRPr="00307028">
              <w:rPr>
                <w:rFonts w:eastAsia="Calibri"/>
                <w:szCs w:val="22"/>
                <w:lang w:eastAsia="en-US"/>
              </w:rPr>
              <w:t>2024</w:t>
            </w:r>
          </w:p>
        </w:tc>
        <w:tc>
          <w:tcPr>
            <w:tcW w:w="1413" w:type="dxa"/>
            <w:vAlign w:val="center"/>
          </w:tcPr>
          <w:p w14:paraId="7E4A7569" w14:textId="77777777" w:rsidR="00EE3DBD" w:rsidRPr="00307028" w:rsidRDefault="00EE3DBD" w:rsidP="00EE3DBD">
            <w:pPr>
              <w:jc w:val="center"/>
              <w:rPr>
                <w:rFonts w:eastAsia="Calibri"/>
                <w:szCs w:val="22"/>
                <w:lang w:eastAsia="en-US"/>
              </w:rPr>
            </w:pPr>
            <w:r w:rsidRPr="00307028">
              <w:rPr>
                <w:rFonts w:eastAsia="Calibri"/>
                <w:szCs w:val="22"/>
                <w:lang w:eastAsia="en-US"/>
              </w:rPr>
              <w:t>1 020 000</w:t>
            </w:r>
          </w:p>
        </w:tc>
        <w:tc>
          <w:tcPr>
            <w:tcW w:w="696" w:type="dxa"/>
            <w:shd w:val="clear" w:color="auto" w:fill="B2D9EC"/>
            <w:vAlign w:val="center"/>
          </w:tcPr>
          <w:p w14:paraId="09874179"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24E76A0B" w14:textId="77777777" w:rsidR="00EE3DBD" w:rsidRPr="00307028" w:rsidRDefault="00EE3DBD" w:rsidP="00EE3DBD">
            <w:pPr>
              <w:jc w:val="center"/>
              <w:rPr>
                <w:rFonts w:eastAsia="Calibri"/>
                <w:szCs w:val="22"/>
                <w:lang w:eastAsia="en-US"/>
              </w:rPr>
            </w:pPr>
            <w:r w:rsidRPr="00307028">
              <w:rPr>
                <w:rFonts w:eastAsia="Calibri"/>
                <w:szCs w:val="22"/>
                <w:lang w:eastAsia="en-US"/>
              </w:rPr>
              <w:t>1 240 000</w:t>
            </w:r>
          </w:p>
        </w:tc>
        <w:tc>
          <w:tcPr>
            <w:tcW w:w="696" w:type="dxa"/>
            <w:shd w:val="clear" w:color="auto" w:fill="B2D9EC"/>
            <w:vAlign w:val="center"/>
          </w:tcPr>
          <w:p w14:paraId="5CDBEC7B"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7C0C0545"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r>
    </w:tbl>
    <w:bookmarkEnd w:id="61"/>
    <w:p w14:paraId="620133A8" w14:textId="2170B6CB" w:rsidR="00EE3DBD" w:rsidRPr="00307028" w:rsidRDefault="00EE3DBD" w:rsidP="0033230F">
      <w:pPr>
        <w:spacing w:before="240" w:after="120" w:line="259" w:lineRule="auto"/>
        <w:jc w:val="both"/>
        <w:rPr>
          <w:rFonts w:eastAsiaTheme="minorHAnsi"/>
          <w:b/>
          <w:bCs/>
          <w:lang w:eastAsia="en-US"/>
        </w:rPr>
      </w:pPr>
      <w:r w:rsidRPr="00307028">
        <w:rPr>
          <w:rFonts w:eastAsiaTheme="minorHAnsi"/>
          <w:b/>
          <w:bCs/>
          <w:lang w:eastAsia="en-US"/>
        </w:rPr>
        <w:t>FM – nekustamā īpašuma Kuldīgas ielā 2, Ventspilī</w:t>
      </w:r>
      <w:r w:rsidR="00BC5DE5" w:rsidRPr="00307028">
        <w:rPr>
          <w:rFonts w:eastAsiaTheme="minorHAnsi"/>
          <w:b/>
          <w:bCs/>
          <w:lang w:eastAsia="en-US"/>
        </w:rPr>
        <w:t>,</w:t>
      </w:r>
      <w:r w:rsidRPr="00307028">
        <w:rPr>
          <w:rFonts w:eastAsiaTheme="minorHAnsi"/>
          <w:b/>
          <w:bCs/>
          <w:lang w:eastAsia="en-US"/>
        </w:rPr>
        <w:t xml:space="preserve"> nomas maksai, papildu maksājumiem un komunālo pakalpojumu izdevumu segšanai paredzētā finansējuma pārdale</w:t>
      </w:r>
    </w:p>
    <w:p w14:paraId="63279403" w14:textId="483BBD79" w:rsidR="00EE3DBD" w:rsidRPr="00307028" w:rsidRDefault="00EE3DBD" w:rsidP="004618F2">
      <w:pPr>
        <w:widowControl w:val="0"/>
        <w:spacing w:after="120" w:line="259" w:lineRule="auto"/>
        <w:ind w:firstLine="720"/>
        <w:jc w:val="both"/>
        <w:rPr>
          <w:rFonts w:eastAsia="Calibri"/>
          <w:lang w:eastAsia="en-US"/>
        </w:rPr>
      </w:pPr>
      <w:r w:rsidRPr="00307028">
        <w:rPr>
          <w:rFonts w:eastAsia="Calibri"/>
          <w:lang w:eastAsia="en-US"/>
        </w:rPr>
        <w:t>FM ir identificējusi iespēju 2024. – 2026. gadā samazināt plānoto finansējumu nekustamā īpašuma Kuldīgas ielā 2, Ventspilī</w:t>
      </w:r>
      <w:r w:rsidR="00BC5DE5" w:rsidRPr="00307028">
        <w:rPr>
          <w:rFonts w:eastAsia="Calibri"/>
          <w:lang w:eastAsia="en-US"/>
        </w:rPr>
        <w:t>,</w:t>
      </w:r>
      <w:r w:rsidRPr="00307028">
        <w:rPr>
          <w:rFonts w:eastAsia="Calibri"/>
          <w:lang w:eastAsia="en-US"/>
        </w:rPr>
        <w:t xml:space="preserve"> nomas maksas, papildu maksājumu un komunālo pakalpojumu izdevumu segšanai budžeta programmā 33.00.00 “Valsts ieņēmumu un muitas politikas nodrošināšana” 2024. gadā un turpmāk ik gadu 149 536 </w:t>
      </w:r>
      <w:r w:rsidRPr="00307028">
        <w:rPr>
          <w:rFonts w:eastAsia="Calibri"/>
          <w:i/>
          <w:iCs/>
          <w:lang w:eastAsia="en-US"/>
        </w:rPr>
        <w:t>euro</w:t>
      </w:r>
      <w:r w:rsidRPr="00307028">
        <w:rPr>
          <w:rFonts w:eastAsia="Calibri"/>
          <w:lang w:eastAsia="en-US"/>
        </w:rPr>
        <w:t xml:space="preserve"> apmērā, ņemot vērā, ka VID ir pieņēmis lēmumu atteikties no dalības VPVKAC izveidē, kas tika plānota saskaņā ar MK 2018. gada 19. septembra rīkojumu Nr. 448 “Par nekustamā īpašuma Kuldīgas ielā 2, Ventspilī, pielāgošanu VPVKAC izveidei un valsts institūciju vajadzībām un nepieciešamo finansējumu nomas maksas, papildu maksājumu, komunālo pakalpojumu, aprīkojuma iegādes un pārcelšanās izdevumu segšanai”. Ar rīkojumu tika paredzēts pārdalīt finansējumu šim mērķim arī VID esošā budžeta ietvaros, </w:t>
      </w:r>
      <w:r w:rsidR="00100C0A" w:rsidRPr="00307028">
        <w:rPr>
          <w:rFonts w:eastAsia="Calibri"/>
          <w:lang w:eastAsia="en-US"/>
        </w:rPr>
        <w:t xml:space="preserve">kā rezultātā </w:t>
      </w:r>
      <w:r w:rsidRPr="00307028">
        <w:rPr>
          <w:rFonts w:eastAsia="Calibri"/>
          <w:lang w:eastAsia="en-US"/>
        </w:rPr>
        <w:t>tas tiks saglabāts esošo telpu uzturēšanas izdevumu un komunālo pakalpojumu izdevumu segšanai.</w:t>
      </w:r>
    </w:p>
    <w:p w14:paraId="00662B15" w14:textId="77777777" w:rsidR="00EE3DBD" w:rsidRPr="00307028" w:rsidRDefault="00EE3DBD" w:rsidP="000F28A8">
      <w:pPr>
        <w:widowControl w:val="0"/>
        <w:spacing w:before="120" w:after="120" w:line="259" w:lineRule="auto"/>
        <w:ind w:firstLine="720"/>
        <w:jc w:val="both"/>
        <w:rPr>
          <w:rFonts w:eastAsia="Calibri"/>
          <w:lang w:eastAsia="en-US"/>
        </w:rPr>
      </w:pPr>
      <w:r w:rsidRPr="00307028">
        <w:rPr>
          <w:rFonts w:eastAsiaTheme="minorEastAsia" w:cstheme="minorBidi"/>
          <w:lang w:eastAsia="en-US"/>
        </w:rPr>
        <w:t>Vienlaikus FM piedāvā identificētos resursus novirzīt šādu pasākumu īstenošan</w:t>
      </w:r>
      <w:r w:rsidRPr="00307028">
        <w:rPr>
          <w:rFonts w:eastAsia="Calibri"/>
          <w:lang w:eastAsia="en-US"/>
        </w:rPr>
        <w:t>ai:</w:t>
      </w:r>
    </w:p>
    <w:p w14:paraId="6A8F7EFF" w14:textId="4A451B7D" w:rsidR="00EE3DBD" w:rsidRPr="00307028" w:rsidRDefault="00EE3DBD" w:rsidP="000F28A8">
      <w:pPr>
        <w:numPr>
          <w:ilvl w:val="0"/>
          <w:numId w:val="35"/>
        </w:numPr>
        <w:spacing w:after="120" w:line="259" w:lineRule="auto"/>
        <w:ind w:left="0" w:firstLine="284"/>
        <w:jc w:val="both"/>
        <w:rPr>
          <w:rFonts w:eastAsiaTheme="minorHAnsi"/>
          <w:lang w:eastAsia="en-US"/>
        </w:rPr>
      </w:pPr>
      <w:r w:rsidRPr="00307028">
        <w:rPr>
          <w:rFonts w:eastAsiaTheme="minorHAnsi"/>
          <w:lang w:eastAsia="en-US"/>
        </w:rPr>
        <w:t xml:space="preserve">budžeta programmā 33.00.00 </w:t>
      </w:r>
      <w:r w:rsidR="008B6E98" w:rsidRPr="00307028">
        <w:rPr>
          <w:rFonts w:eastAsiaTheme="minorHAnsi"/>
          <w:lang w:eastAsia="en-US"/>
        </w:rPr>
        <w:t>“</w:t>
      </w:r>
      <w:r w:rsidRPr="00307028">
        <w:rPr>
          <w:rFonts w:eastAsiaTheme="minorHAnsi"/>
          <w:lang w:eastAsia="en-US"/>
        </w:rPr>
        <w:t>Valsts ieņēmumu un muitas politikas nodrošināšana</w:t>
      </w:r>
      <w:r w:rsidR="008B6E98" w:rsidRPr="00307028">
        <w:rPr>
          <w:rFonts w:eastAsiaTheme="minorHAnsi"/>
          <w:lang w:eastAsia="en-US"/>
        </w:rPr>
        <w:t>”</w:t>
      </w:r>
      <w:r w:rsidRPr="00307028">
        <w:rPr>
          <w:rFonts w:eastAsiaTheme="minorHAnsi"/>
          <w:lang w:eastAsia="en-US"/>
        </w:rPr>
        <w:t xml:space="preserve"> 2024. gadā 41 915 </w:t>
      </w:r>
      <w:r w:rsidRPr="00307028">
        <w:rPr>
          <w:rFonts w:eastAsiaTheme="minorHAnsi"/>
          <w:i/>
          <w:iCs/>
          <w:lang w:eastAsia="en-US"/>
        </w:rPr>
        <w:t>euro</w:t>
      </w:r>
      <w:r w:rsidRPr="00307028">
        <w:rPr>
          <w:rFonts w:eastAsiaTheme="minorHAnsi"/>
          <w:lang w:eastAsia="en-US"/>
        </w:rPr>
        <w:t xml:space="preserve"> apmērā automātiskās ugunsgrēka atklāšanas un trauksmes signalizācijas sistēmas projekta izstrādei un izbūvei, kā arī bēniņu pārseguma siltināšanai un ventilācijas izbūvei nekustamajā īpašumā Dzintaru ielā 18, Ventspilī, 2025. gadā un turpmāk ik gadu 149 536 </w:t>
      </w:r>
      <w:r w:rsidRPr="00307028">
        <w:rPr>
          <w:rFonts w:eastAsiaTheme="minorHAnsi"/>
          <w:i/>
          <w:iCs/>
          <w:lang w:eastAsia="en-US"/>
        </w:rPr>
        <w:t>euro</w:t>
      </w:r>
      <w:r w:rsidRPr="00307028">
        <w:rPr>
          <w:rFonts w:eastAsiaTheme="minorHAnsi"/>
          <w:lang w:eastAsia="en-US"/>
        </w:rPr>
        <w:t xml:space="preserve"> apmērā daļējai izdevumu segšanai saistībā ar pāriešanu no apsaimniekošanas un lietošanas līgumiem uz telpu nomas attiecībām Dzintaru ielā 18, Ventspilī, Atbrīvošanas alejā 160C, Rēzeknē</w:t>
      </w:r>
      <w:r w:rsidR="00100C0A" w:rsidRPr="00307028">
        <w:rPr>
          <w:rFonts w:eastAsiaTheme="minorHAnsi"/>
          <w:lang w:eastAsia="en-US"/>
        </w:rPr>
        <w:t>,</w:t>
      </w:r>
      <w:r w:rsidRPr="00307028">
        <w:rPr>
          <w:rFonts w:eastAsiaTheme="minorHAnsi"/>
          <w:lang w:eastAsia="en-US"/>
        </w:rPr>
        <w:t xml:space="preserve"> un Draudzības alejā 2, Jēkabpilī;</w:t>
      </w:r>
    </w:p>
    <w:p w14:paraId="1E07E996" w14:textId="1ADACFE7" w:rsidR="00EE3DBD" w:rsidRPr="00307028" w:rsidRDefault="00EE3DBD" w:rsidP="000F28A8">
      <w:pPr>
        <w:numPr>
          <w:ilvl w:val="0"/>
          <w:numId w:val="35"/>
        </w:numPr>
        <w:spacing w:after="120" w:line="259" w:lineRule="auto"/>
        <w:ind w:left="0" w:firstLine="284"/>
        <w:jc w:val="both"/>
        <w:rPr>
          <w:rFonts w:eastAsiaTheme="minorHAnsi"/>
          <w:lang w:eastAsia="en-US"/>
        </w:rPr>
      </w:pPr>
      <w:r w:rsidRPr="00307028">
        <w:rPr>
          <w:rFonts w:eastAsiaTheme="minorHAnsi"/>
          <w:lang w:eastAsia="en-US"/>
        </w:rPr>
        <w:t xml:space="preserve">budžeta apakšprogrammā 39.02.00 “Izložu un azartspēļu organizēšanas un norises uzraudzība” 2024. gadā 107 621 </w:t>
      </w:r>
      <w:r w:rsidRPr="00307028">
        <w:rPr>
          <w:rFonts w:eastAsiaTheme="minorHAnsi"/>
          <w:i/>
          <w:iCs/>
          <w:lang w:eastAsia="en-US"/>
        </w:rPr>
        <w:t>euro</w:t>
      </w:r>
      <w:r w:rsidRPr="00307028">
        <w:rPr>
          <w:rFonts w:eastAsiaTheme="minorHAnsi"/>
          <w:lang w:eastAsia="en-US"/>
        </w:rPr>
        <w:t xml:space="preserve"> apmērā </w:t>
      </w:r>
      <w:r w:rsidR="00100C0A" w:rsidRPr="00307028">
        <w:rPr>
          <w:rFonts w:eastAsiaTheme="minorHAnsi"/>
          <w:lang w:eastAsia="en-US"/>
        </w:rPr>
        <w:t xml:space="preserve">IAUI </w:t>
      </w:r>
      <w:r w:rsidR="00506B88" w:rsidRPr="00307028">
        <w:rPr>
          <w:rFonts w:eastAsiaTheme="minorHAnsi"/>
          <w:lang w:eastAsia="en-US"/>
        </w:rPr>
        <w:t>VA</w:t>
      </w:r>
      <w:r w:rsidRPr="00307028">
        <w:rPr>
          <w:rFonts w:eastAsiaTheme="minorHAnsi"/>
          <w:lang w:eastAsia="en-US"/>
        </w:rPr>
        <w:t>IS pilnveidošanai likumprojektā “Grozījumi Azartspēļu un izložu likumā” ietverto normu īstenošanai.</w:t>
      </w:r>
    </w:p>
    <w:tbl>
      <w:tblPr>
        <w:tblStyle w:val="TableGrid11"/>
        <w:tblpPr w:leftFromText="180" w:rightFromText="180" w:vertAnchor="text" w:horzAnchor="margin" w:tblpXSpec="center" w:tblpY="-22"/>
        <w:tblW w:w="0" w:type="auto"/>
        <w:tblLook w:val="04A0" w:firstRow="1" w:lastRow="0" w:firstColumn="1" w:lastColumn="0" w:noHBand="0" w:noVBand="1"/>
      </w:tblPr>
      <w:tblGrid>
        <w:gridCol w:w="709"/>
        <w:gridCol w:w="1413"/>
        <w:gridCol w:w="696"/>
        <w:gridCol w:w="1430"/>
        <w:gridCol w:w="696"/>
        <w:gridCol w:w="1430"/>
      </w:tblGrid>
      <w:tr w:rsidR="00EE3DBD" w:rsidRPr="00307028" w14:paraId="1A3E18AB" w14:textId="77777777" w:rsidTr="0033230F">
        <w:tc>
          <w:tcPr>
            <w:tcW w:w="709" w:type="dxa"/>
            <w:shd w:val="clear" w:color="auto" w:fill="B2D9EC"/>
            <w:vAlign w:val="center"/>
          </w:tcPr>
          <w:p w14:paraId="3098E567"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74A565F3" w14:textId="77777777" w:rsidR="00EE3DBD" w:rsidRPr="00307028" w:rsidRDefault="00EE3DBD" w:rsidP="00EE3DBD">
            <w:pPr>
              <w:jc w:val="center"/>
              <w:rPr>
                <w:rFonts w:eastAsia="Calibri"/>
                <w:szCs w:val="22"/>
                <w:lang w:eastAsia="en-US"/>
              </w:rPr>
            </w:pPr>
            <w:r w:rsidRPr="00307028">
              <w:rPr>
                <w:rFonts w:eastAsiaTheme="minorEastAsia" w:cstheme="minorBidi"/>
                <w:lang w:eastAsia="en-US"/>
              </w:rPr>
              <w:t>149 536</w:t>
            </w:r>
          </w:p>
        </w:tc>
        <w:tc>
          <w:tcPr>
            <w:tcW w:w="696" w:type="dxa"/>
            <w:shd w:val="clear" w:color="auto" w:fill="B2D9EC"/>
            <w:vAlign w:val="center"/>
          </w:tcPr>
          <w:p w14:paraId="08450AB3"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5BB82C66" w14:textId="77777777" w:rsidR="00EE3DBD" w:rsidRPr="00307028" w:rsidRDefault="00EE3DBD" w:rsidP="00EE3DBD">
            <w:pPr>
              <w:jc w:val="center"/>
              <w:rPr>
                <w:rFonts w:eastAsia="Calibri"/>
                <w:szCs w:val="22"/>
                <w:lang w:eastAsia="en-US"/>
              </w:rPr>
            </w:pPr>
            <w:r w:rsidRPr="00307028">
              <w:rPr>
                <w:rFonts w:eastAsiaTheme="minorEastAsia" w:cstheme="minorBidi"/>
                <w:lang w:eastAsia="en-US"/>
              </w:rPr>
              <w:t>149 536</w:t>
            </w:r>
          </w:p>
        </w:tc>
        <w:tc>
          <w:tcPr>
            <w:tcW w:w="696" w:type="dxa"/>
            <w:shd w:val="clear" w:color="auto" w:fill="B2D9EC"/>
            <w:vAlign w:val="center"/>
          </w:tcPr>
          <w:p w14:paraId="438C27CF"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72E01978" w14:textId="77777777" w:rsidR="00EE3DBD" w:rsidRPr="00307028" w:rsidRDefault="00EE3DBD" w:rsidP="00EE3DBD">
            <w:pPr>
              <w:jc w:val="center"/>
              <w:rPr>
                <w:rFonts w:eastAsia="Calibri"/>
                <w:szCs w:val="22"/>
                <w:lang w:eastAsia="en-US"/>
              </w:rPr>
            </w:pPr>
            <w:r w:rsidRPr="00307028">
              <w:rPr>
                <w:rFonts w:eastAsiaTheme="minorEastAsia" w:cstheme="minorBidi"/>
                <w:lang w:eastAsia="en-US"/>
              </w:rPr>
              <w:t>149 536</w:t>
            </w:r>
          </w:p>
        </w:tc>
      </w:tr>
    </w:tbl>
    <w:p w14:paraId="5B450633" w14:textId="77777777" w:rsidR="00EE3DBD" w:rsidRPr="00307028" w:rsidRDefault="00EE3DBD" w:rsidP="00EE3DBD">
      <w:pPr>
        <w:spacing w:after="160" w:line="259" w:lineRule="auto"/>
        <w:jc w:val="both"/>
        <w:rPr>
          <w:rFonts w:eastAsiaTheme="minorHAnsi"/>
          <w:b/>
          <w:bCs/>
          <w:lang w:eastAsia="en-US"/>
        </w:rPr>
      </w:pPr>
    </w:p>
    <w:p w14:paraId="020BC792" w14:textId="016B1A54" w:rsidR="00EE3DBD" w:rsidRPr="00307028" w:rsidRDefault="00EE3DBD" w:rsidP="0033230F">
      <w:pPr>
        <w:spacing w:after="120" w:line="259" w:lineRule="auto"/>
        <w:jc w:val="both"/>
        <w:rPr>
          <w:rFonts w:eastAsia="Calibri"/>
          <w:lang w:eastAsia="en-US"/>
        </w:rPr>
      </w:pPr>
      <w:r w:rsidRPr="00307028">
        <w:rPr>
          <w:rFonts w:eastAsiaTheme="minorHAnsi"/>
          <w:b/>
          <w:bCs/>
          <w:lang w:eastAsia="en-US"/>
        </w:rPr>
        <w:t xml:space="preserve">FM </w:t>
      </w:r>
      <w:r w:rsidR="00100C0A" w:rsidRPr="00307028">
        <w:rPr>
          <w:rFonts w:eastAsiaTheme="minorHAnsi"/>
          <w:b/>
          <w:bCs/>
          <w:lang w:eastAsia="en-US"/>
        </w:rPr>
        <w:t>–</w:t>
      </w:r>
      <w:r w:rsidRPr="00307028">
        <w:rPr>
          <w:rFonts w:eastAsiaTheme="minorHAnsi"/>
          <w:b/>
          <w:bCs/>
          <w:lang w:eastAsia="en-US"/>
        </w:rPr>
        <w:t xml:space="preserve"> VAIS funkcionalitātes nodrošināšana</w:t>
      </w:r>
    </w:p>
    <w:p w14:paraId="18F3D4E1" w14:textId="36E0B189" w:rsidR="00EE3DBD" w:rsidRPr="00307028" w:rsidRDefault="00EE3DBD" w:rsidP="004618F2">
      <w:pPr>
        <w:widowControl w:val="0"/>
        <w:spacing w:after="120" w:line="259" w:lineRule="auto"/>
        <w:ind w:firstLine="720"/>
        <w:jc w:val="both"/>
        <w:rPr>
          <w:rFonts w:eastAsia="Calibri"/>
          <w:lang w:eastAsia="en-US"/>
        </w:rPr>
      </w:pPr>
      <w:r w:rsidRPr="00307028">
        <w:rPr>
          <w:rFonts w:eastAsia="Calibri"/>
          <w:lang w:eastAsia="en-US"/>
        </w:rPr>
        <w:t xml:space="preserve">Likumprojekts “Grozījumi Azartspēļu un izložu likumā” paredz pilnveidot VAIS, tajā iekļaujot finanšu datus, t.sk. azartspēļu nodokļa aprēķināšanai no interaktīvajām azartspēlēm un totalizatora vai derību likmju pieņemšanas vietām, azartspēļu iekārtām (kazino galdiem), nosakot, ka minētajās vietās iekārtas drīkst ekspluatēt tikai, ja dati tiek automatizēti nodoti VAIS, nodrošinot tiešsaistes datu apmaiņu ar Izložu un azartspēļu uzraudzības inspekciju. Savukārt interaktīvo azartspēļu organizēšanu atļauts veikt pēc tam, kad dati no interaktīvo azartspēļu organizēšanas sistēmas tiek nodoti VAIS, izmantojot lietojumprogrammas saskarni. Papildus paredzēts VAIS integrēt jaunu interaktīvo azartspēļu un izložu veidlapas (paziņojumu) šablonu, kas ietvers finanšu datu kopumu atbilstības izvērtēšanai. </w:t>
      </w:r>
    </w:p>
    <w:p w14:paraId="5D3A6EFD" w14:textId="7E21160D" w:rsidR="00EE3DBD" w:rsidRPr="00307028" w:rsidRDefault="00EE3DBD" w:rsidP="004618F2">
      <w:pPr>
        <w:widowControl w:val="0"/>
        <w:spacing w:after="120" w:line="259" w:lineRule="auto"/>
        <w:ind w:firstLine="720"/>
        <w:jc w:val="both"/>
        <w:rPr>
          <w:rFonts w:eastAsia="Calibri"/>
          <w:lang w:eastAsia="en-US"/>
        </w:rPr>
      </w:pPr>
      <w:r w:rsidRPr="00307028">
        <w:rPr>
          <w:rFonts w:eastAsia="Calibri"/>
          <w:lang w:eastAsia="en-US"/>
        </w:rPr>
        <w:t xml:space="preserve">Tādējādi nepieciešams palielināt valsts pamatbudžeta ieņēmumus no azartspēļu nodokļa 2025. gadā un turpmāk ik gadu 12 399 </w:t>
      </w:r>
      <w:r w:rsidRPr="00307028">
        <w:rPr>
          <w:rFonts w:eastAsia="Calibri"/>
          <w:i/>
          <w:iCs/>
          <w:lang w:eastAsia="en-US"/>
        </w:rPr>
        <w:t>euro</w:t>
      </w:r>
      <w:r w:rsidRPr="00307028">
        <w:rPr>
          <w:rFonts w:eastAsia="Calibri"/>
          <w:lang w:eastAsia="en-US"/>
        </w:rPr>
        <w:t xml:space="preserve"> apmērā un azartspēļu nodevas par azartspēļu organizēšanas licences izsniegšanu 2026. gadā 200 000 </w:t>
      </w:r>
      <w:r w:rsidRPr="00307028">
        <w:rPr>
          <w:rFonts w:eastAsia="Calibri"/>
          <w:i/>
          <w:iCs/>
          <w:lang w:eastAsia="en-US"/>
        </w:rPr>
        <w:t>euro</w:t>
      </w:r>
      <w:r w:rsidRPr="00307028">
        <w:rPr>
          <w:rFonts w:eastAsia="Calibri"/>
          <w:lang w:eastAsia="en-US"/>
        </w:rPr>
        <w:t xml:space="preserve"> un turpmāk ik gadu 37 000 </w:t>
      </w:r>
      <w:r w:rsidRPr="00307028">
        <w:rPr>
          <w:rFonts w:eastAsia="Calibri"/>
          <w:i/>
          <w:iCs/>
          <w:lang w:eastAsia="en-US"/>
        </w:rPr>
        <w:t>euro</w:t>
      </w:r>
      <w:r w:rsidRPr="00307028">
        <w:rPr>
          <w:rFonts w:eastAsia="Calibri"/>
          <w:lang w:eastAsia="en-US"/>
        </w:rPr>
        <w:t xml:space="preserve"> apmērā, vienlaikus palielinot dotāciju no vispārējiem ieņēmumiem un izdevumus FM budžeta </w:t>
      </w:r>
      <w:r w:rsidRPr="00307028">
        <w:rPr>
          <w:rFonts w:eastAsia="Calibri"/>
          <w:lang w:eastAsia="en-US"/>
        </w:rPr>
        <w:lastRenderedPageBreak/>
        <w:t xml:space="preserve">apakšprogrammā 39.02.00 “Izložu un azartspēļu organizēšanas un norises uzraudzība” 2025. gadā un turpmāk ik gadu 11 616 </w:t>
      </w:r>
      <w:r w:rsidRPr="00307028">
        <w:rPr>
          <w:rFonts w:eastAsia="Calibri"/>
          <w:i/>
          <w:iCs/>
          <w:lang w:eastAsia="en-US"/>
        </w:rPr>
        <w:t>euro</w:t>
      </w:r>
      <w:r w:rsidRPr="00307028">
        <w:rPr>
          <w:rFonts w:eastAsia="Calibri"/>
          <w:lang w:eastAsia="en-US"/>
        </w:rPr>
        <w:t xml:space="preserve"> apmērā, lai </w:t>
      </w:r>
      <w:r w:rsidR="00100C0A" w:rsidRPr="00307028">
        <w:rPr>
          <w:rFonts w:eastAsia="Calibri"/>
          <w:lang w:eastAsia="en-US"/>
        </w:rPr>
        <w:t xml:space="preserve">IAUI </w:t>
      </w:r>
      <w:r w:rsidRPr="00307028">
        <w:rPr>
          <w:rFonts w:eastAsia="Calibri"/>
          <w:lang w:eastAsia="en-US"/>
        </w:rPr>
        <w:t>nodrošinātu VAIS funkcionalitātes uzturēšanu likumprojektā</w:t>
      </w:r>
      <w:r w:rsidR="00F240E3" w:rsidRPr="00307028">
        <w:rPr>
          <w:rFonts w:eastAsia="Calibri"/>
          <w:lang w:eastAsia="en-US"/>
        </w:rPr>
        <w:t xml:space="preserve"> </w:t>
      </w:r>
      <w:r w:rsidRPr="00307028">
        <w:rPr>
          <w:rFonts w:eastAsia="Calibri"/>
          <w:lang w:eastAsia="en-US"/>
        </w:rPr>
        <w:t>“Grozījumi Azartspēļu un izložu likumā” ietverto normu īstenošanai.</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2B40AE91" w14:textId="77777777" w:rsidTr="0033230F">
        <w:trPr>
          <w:jc w:val="center"/>
        </w:trPr>
        <w:tc>
          <w:tcPr>
            <w:tcW w:w="709" w:type="dxa"/>
            <w:shd w:val="clear" w:color="auto" w:fill="B2D9EC"/>
            <w:vAlign w:val="center"/>
          </w:tcPr>
          <w:p w14:paraId="25C0DA0C"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7279B4AE"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c>
          <w:tcPr>
            <w:tcW w:w="696" w:type="dxa"/>
            <w:shd w:val="clear" w:color="auto" w:fill="B2D9EC"/>
            <w:vAlign w:val="center"/>
          </w:tcPr>
          <w:p w14:paraId="42156B80"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4AC9E3BE" w14:textId="77777777" w:rsidR="00EE3DBD" w:rsidRPr="00307028" w:rsidRDefault="00EE3DBD" w:rsidP="00EE3DBD">
            <w:pPr>
              <w:jc w:val="center"/>
              <w:rPr>
                <w:rFonts w:eastAsia="Calibri"/>
                <w:szCs w:val="22"/>
                <w:lang w:eastAsia="en-US"/>
              </w:rPr>
            </w:pPr>
            <w:r w:rsidRPr="00307028">
              <w:rPr>
                <w:rFonts w:eastAsia="Calibri"/>
                <w:szCs w:val="22"/>
                <w:lang w:eastAsia="en-US"/>
              </w:rPr>
              <w:t>12 399</w:t>
            </w:r>
          </w:p>
        </w:tc>
        <w:tc>
          <w:tcPr>
            <w:tcW w:w="696" w:type="dxa"/>
            <w:shd w:val="clear" w:color="auto" w:fill="B2D9EC"/>
            <w:vAlign w:val="center"/>
          </w:tcPr>
          <w:p w14:paraId="3E32CC7C"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3DDB906E" w14:textId="2F84A035" w:rsidR="00EE3DBD" w:rsidRPr="00307028" w:rsidRDefault="003C6EC8" w:rsidP="00EE3DBD">
            <w:pPr>
              <w:jc w:val="center"/>
              <w:rPr>
                <w:rFonts w:eastAsia="Calibri"/>
                <w:szCs w:val="22"/>
                <w:lang w:eastAsia="en-US"/>
              </w:rPr>
            </w:pPr>
            <w:r w:rsidRPr="00307028">
              <w:rPr>
                <w:rFonts w:eastAsia="Calibri"/>
                <w:szCs w:val="22"/>
                <w:lang w:eastAsia="en-US"/>
              </w:rPr>
              <w:t>212 399</w:t>
            </w:r>
          </w:p>
        </w:tc>
      </w:tr>
    </w:tbl>
    <w:p w14:paraId="6B75CC03" w14:textId="70FC2724" w:rsidR="00EE3DBD" w:rsidRPr="00307028" w:rsidRDefault="00EE3DBD" w:rsidP="00EE3DBD">
      <w:pPr>
        <w:spacing w:before="120" w:after="120" w:line="259" w:lineRule="auto"/>
        <w:jc w:val="both"/>
        <w:rPr>
          <w:rFonts w:eastAsiaTheme="minorHAnsi"/>
          <w:b/>
          <w:bCs/>
          <w:lang w:eastAsia="en-US"/>
        </w:rPr>
      </w:pPr>
      <w:r w:rsidRPr="00307028">
        <w:rPr>
          <w:rFonts w:eastAsiaTheme="minorHAnsi"/>
          <w:b/>
          <w:bCs/>
          <w:lang w:eastAsia="en-US"/>
        </w:rPr>
        <w:t xml:space="preserve">FM </w:t>
      </w:r>
      <w:r w:rsidR="00100C0A" w:rsidRPr="00307028">
        <w:rPr>
          <w:rFonts w:eastAsiaTheme="minorHAnsi"/>
          <w:b/>
          <w:bCs/>
          <w:lang w:eastAsia="en-US"/>
        </w:rPr>
        <w:t>–</w:t>
      </w:r>
      <w:r w:rsidRPr="00307028">
        <w:rPr>
          <w:rFonts w:eastAsiaTheme="minorHAnsi"/>
          <w:b/>
          <w:bCs/>
          <w:lang w:eastAsia="en-US"/>
        </w:rPr>
        <w:t xml:space="preserve"> grozījumos Biedrību un nodibinājumu likumā paredzētā nodrošināšana</w:t>
      </w:r>
    </w:p>
    <w:p w14:paraId="2120790A" w14:textId="4DB9DD4A"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TM izstrādātais likumprojekts “Grozījumi Biedrību un nodibinājumu likumā” (turpmāk</w:t>
      </w:r>
      <w:r w:rsidR="00E441C1" w:rsidRPr="00307028">
        <w:rPr>
          <w:rFonts w:eastAsiaTheme="minorEastAsia"/>
          <w:szCs w:val="22"/>
          <w:lang w:eastAsia="en-US"/>
        </w:rPr>
        <w:t> </w:t>
      </w:r>
      <w:r w:rsidR="00100C0A" w:rsidRPr="00307028">
        <w:rPr>
          <w:rFonts w:eastAsiaTheme="minorHAnsi"/>
          <w:b/>
          <w:bCs/>
          <w:lang w:eastAsia="en-US"/>
        </w:rPr>
        <w:t>–</w:t>
      </w:r>
      <w:r w:rsidR="00E441C1" w:rsidRPr="00307028">
        <w:rPr>
          <w:rFonts w:eastAsiaTheme="minorEastAsia"/>
          <w:szCs w:val="22"/>
          <w:lang w:eastAsia="en-US"/>
        </w:rPr>
        <w:t xml:space="preserve"> </w:t>
      </w:r>
      <w:r w:rsidRPr="00307028">
        <w:rPr>
          <w:rFonts w:eastAsiaTheme="minorEastAsia"/>
          <w:szCs w:val="22"/>
          <w:lang w:eastAsia="en-US"/>
        </w:rPr>
        <w:t>likumprojekts) paredz noteikt obligātu prasību biedrībām un nodibinājumiem norādīt savu darbības jomu, kam ir nepieciešams pielāgot VID EDS, lai biedrības un nodibinājumi, iesniedzot gada pārskatus varētu norādīt savu darbības jomu, kā arī, lai VID varētu nodot šo informāciju UR, kas iekļaus šo informāciju biedrību un nodibinājumu reģistrā un nodrošinās to publisku pieejamību.</w:t>
      </w:r>
    </w:p>
    <w:p w14:paraId="75D0487A" w14:textId="77777777"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Likumprojekts paredz arī tiesības UR vai VID vienkāršotā veidā likvidēt tās biedrības un nodibinājumus, kuri ir reģistrēti UR, bet praktiski savu darbību ilgstoši neveic un pienākumus nepilda. Gadījumā, ja neviena biedrības vai nodibinājuma likvidācijā ieinteresētā persona nav pieteikusies UR, un biedrība tiek izslēgta no biedrību un nodibinājumu reģistra, biedrības manta, kas palikusi, piekrīt valstij. Likvidēto biedrību mantas pārņemšanas nodrošināšanai VID ir nepieciešams finansējums vienas amata vietas darbības nodrošināšanai, kā arī piemaksām par papildu darbu esošajiem darbiniekiem.</w:t>
      </w:r>
    </w:p>
    <w:p w14:paraId="527953F9" w14:textId="08FC471A"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Uz 2021. gada 1. novembri bija 4 414 biedrības</w:t>
      </w:r>
      <w:r w:rsidR="00100C0A" w:rsidRPr="00307028">
        <w:rPr>
          <w:rFonts w:eastAsiaTheme="minorEastAsia"/>
          <w:szCs w:val="22"/>
          <w:lang w:eastAsia="en-US"/>
        </w:rPr>
        <w:t xml:space="preserve"> un 404 nodibinājumi</w:t>
      </w:r>
      <w:r w:rsidRPr="00307028">
        <w:rPr>
          <w:rFonts w:eastAsiaTheme="minorEastAsia"/>
          <w:szCs w:val="22"/>
          <w:lang w:eastAsia="en-US"/>
        </w:rPr>
        <w:t>, kur</w:t>
      </w:r>
      <w:r w:rsidR="00100C0A" w:rsidRPr="00307028">
        <w:rPr>
          <w:rFonts w:eastAsiaTheme="minorEastAsia"/>
          <w:szCs w:val="22"/>
          <w:lang w:eastAsia="en-US"/>
        </w:rPr>
        <w:t>iem</w:t>
      </w:r>
      <w:r w:rsidRPr="00307028">
        <w:rPr>
          <w:rFonts w:eastAsiaTheme="minorEastAsia"/>
          <w:szCs w:val="22"/>
          <w:lang w:eastAsia="en-US"/>
        </w:rPr>
        <w:t xml:space="preserve"> nav iesniegts gada pārskats par 20</w:t>
      </w:r>
      <w:r w:rsidR="00100C0A" w:rsidRPr="00307028">
        <w:rPr>
          <w:rFonts w:eastAsiaTheme="minorEastAsia"/>
          <w:szCs w:val="22"/>
          <w:lang w:eastAsia="en-US"/>
        </w:rPr>
        <w:t>18</w:t>
      </w:r>
      <w:r w:rsidRPr="00307028">
        <w:rPr>
          <w:rFonts w:eastAsiaTheme="minorEastAsia"/>
          <w:szCs w:val="22"/>
          <w:lang w:eastAsia="en-US"/>
        </w:rPr>
        <w:t>., 2019. un 20</w:t>
      </w:r>
      <w:r w:rsidR="00100C0A" w:rsidRPr="00307028">
        <w:rPr>
          <w:rFonts w:eastAsiaTheme="minorEastAsia"/>
          <w:szCs w:val="22"/>
          <w:lang w:eastAsia="en-US"/>
        </w:rPr>
        <w:t>20</w:t>
      </w:r>
      <w:r w:rsidRPr="00307028">
        <w:rPr>
          <w:rFonts w:eastAsiaTheme="minorEastAsia"/>
          <w:szCs w:val="22"/>
          <w:lang w:eastAsia="en-US"/>
        </w:rPr>
        <w:t xml:space="preserve">. gadu. </w:t>
      </w:r>
      <w:r w:rsidR="00100C0A" w:rsidRPr="00307028">
        <w:rPr>
          <w:rFonts w:eastAsiaTheme="minorEastAsia"/>
          <w:szCs w:val="22"/>
          <w:lang w:eastAsia="en-US"/>
        </w:rPr>
        <w:t xml:space="preserve">Bez </w:t>
      </w:r>
      <w:r w:rsidRPr="00307028">
        <w:rPr>
          <w:rFonts w:eastAsiaTheme="minorEastAsia"/>
          <w:szCs w:val="22"/>
          <w:lang w:eastAsia="en-US"/>
        </w:rPr>
        <w:t>neviena</w:t>
      </w:r>
      <w:r w:rsidR="00100C0A" w:rsidRPr="00307028">
        <w:rPr>
          <w:rFonts w:eastAsiaTheme="minorEastAsia"/>
          <w:szCs w:val="22"/>
          <w:lang w:eastAsia="en-US"/>
        </w:rPr>
        <w:t>s</w:t>
      </w:r>
      <w:r w:rsidRPr="00307028">
        <w:rPr>
          <w:rFonts w:eastAsiaTheme="minorEastAsia"/>
          <w:szCs w:val="22"/>
          <w:lang w:eastAsia="en-US"/>
        </w:rPr>
        <w:t xml:space="preserve"> pārstāvēt tiesīg</w:t>
      </w:r>
      <w:r w:rsidR="00100C0A" w:rsidRPr="00307028">
        <w:rPr>
          <w:rFonts w:eastAsiaTheme="minorEastAsia"/>
          <w:szCs w:val="22"/>
          <w:lang w:eastAsia="en-US"/>
        </w:rPr>
        <w:t>as</w:t>
      </w:r>
      <w:r w:rsidRPr="00307028">
        <w:rPr>
          <w:rFonts w:eastAsiaTheme="minorEastAsia"/>
          <w:szCs w:val="22"/>
          <w:lang w:eastAsia="en-US"/>
        </w:rPr>
        <w:t xml:space="preserve"> persona</w:t>
      </w:r>
      <w:r w:rsidR="00100C0A" w:rsidRPr="00307028">
        <w:rPr>
          <w:rFonts w:eastAsiaTheme="minorEastAsia"/>
          <w:szCs w:val="22"/>
          <w:lang w:eastAsia="en-US"/>
        </w:rPr>
        <w:t>s</w:t>
      </w:r>
      <w:r w:rsidRPr="00307028">
        <w:rPr>
          <w:rFonts w:eastAsiaTheme="minorEastAsia"/>
          <w:szCs w:val="22"/>
          <w:lang w:eastAsia="en-US"/>
        </w:rPr>
        <w:t xml:space="preserve"> ir 343</w:t>
      </w:r>
      <w:r w:rsidR="00100C0A" w:rsidRPr="00307028">
        <w:rPr>
          <w:rFonts w:eastAsiaTheme="minorEastAsia"/>
          <w:szCs w:val="22"/>
          <w:lang w:eastAsia="en-US"/>
        </w:rPr>
        <w:t xml:space="preserve"> biedrības un 21 nodibinājums</w:t>
      </w:r>
      <w:r w:rsidRPr="00307028">
        <w:rPr>
          <w:rFonts w:eastAsiaTheme="minorEastAsia"/>
          <w:szCs w:val="22"/>
          <w:lang w:eastAsia="en-US"/>
        </w:rPr>
        <w:t>. Pēc 343 biedrību likvidācijas tiek prognozēti valsts budžeta ieņēmumi no valstij piekritīgās mantas realizācijas 1% apmērā (nekustamais īpašums, finanšu līdzekļi norēķinu kontos).</w:t>
      </w:r>
    </w:p>
    <w:p w14:paraId="139767C7" w14:textId="329FEC6E"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 xml:space="preserve">Tādējādi nepieciešams palielināt valsts pamatbudžeta ieņēmumus no valstij piekritīgās mantas </w:t>
      </w:r>
      <w:r w:rsidR="00210054" w:rsidRPr="00307028">
        <w:rPr>
          <w:rFonts w:eastAsiaTheme="minorEastAsia"/>
          <w:szCs w:val="22"/>
          <w:lang w:eastAsia="en-US"/>
        </w:rPr>
        <w:t xml:space="preserve">realizācijas </w:t>
      </w:r>
      <w:r w:rsidRPr="00307028">
        <w:rPr>
          <w:rFonts w:eastAsiaTheme="minorEastAsia"/>
          <w:szCs w:val="22"/>
          <w:lang w:eastAsia="en-US"/>
        </w:rPr>
        <w:t>2024. gadā 35 220 </w:t>
      </w:r>
      <w:r w:rsidRPr="00307028">
        <w:rPr>
          <w:rFonts w:eastAsiaTheme="minorEastAsia"/>
          <w:i/>
          <w:iCs/>
          <w:szCs w:val="22"/>
          <w:lang w:eastAsia="en-US"/>
        </w:rPr>
        <w:t>euro</w:t>
      </w:r>
      <w:r w:rsidRPr="00307028">
        <w:rPr>
          <w:rFonts w:eastAsiaTheme="minorEastAsia"/>
          <w:szCs w:val="22"/>
          <w:lang w:eastAsia="en-US"/>
        </w:rPr>
        <w:t xml:space="preserve"> apmērā, 2025. gadā 59 900 </w:t>
      </w:r>
      <w:r w:rsidRPr="00307028">
        <w:rPr>
          <w:rFonts w:eastAsiaTheme="minorEastAsia"/>
          <w:i/>
          <w:iCs/>
          <w:szCs w:val="22"/>
          <w:lang w:eastAsia="en-US"/>
        </w:rPr>
        <w:t>euro</w:t>
      </w:r>
      <w:r w:rsidRPr="00307028">
        <w:rPr>
          <w:rFonts w:eastAsiaTheme="minorEastAsia"/>
          <w:szCs w:val="22"/>
          <w:lang w:eastAsia="en-US"/>
        </w:rPr>
        <w:t xml:space="preserve"> apmērā, 2026. gadā un turpmāk ik gadu 47 650 </w:t>
      </w:r>
      <w:r w:rsidRPr="00307028">
        <w:rPr>
          <w:rFonts w:eastAsiaTheme="minorEastAsia"/>
          <w:i/>
          <w:iCs/>
          <w:szCs w:val="22"/>
          <w:lang w:eastAsia="en-US"/>
        </w:rPr>
        <w:t>euro</w:t>
      </w:r>
      <w:r w:rsidRPr="00307028">
        <w:rPr>
          <w:rFonts w:eastAsiaTheme="minorEastAsia"/>
          <w:szCs w:val="22"/>
          <w:lang w:eastAsia="en-US"/>
        </w:rPr>
        <w:t xml:space="preserve"> apmērā, vienlaikus palielinot dotāciju no vispārējiem ieņēmumiem un izdevumus </w:t>
      </w:r>
      <w:bookmarkStart w:id="62" w:name="_Hlk139965083"/>
      <w:r w:rsidRPr="00307028">
        <w:rPr>
          <w:rFonts w:eastAsiaTheme="minorEastAsia"/>
          <w:szCs w:val="22"/>
          <w:lang w:eastAsia="en-US"/>
        </w:rPr>
        <w:t>FM budžeta programmā 33.00.00 “Valsts ieņēmumu un muitas politikas nodrošināšana”</w:t>
      </w:r>
      <w:bookmarkEnd w:id="62"/>
      <w:r w:rsidRPr="00307028">
        <w:rPr>
          <w:rFonts w:eastAsiaTheme="minorEastAsia"/>
          <w:szCs w:val="22"/>
          <w:lang w:eastAsia="en-US"/>
        </w:rPr>
        <w:t xml:space="preserve"> 2024. gadā 34 071 </w:t>
      </w:r>
      <w:r w:rsidRPr="00307028">
        <w:rPr>
          <w:rFonts w:eastAsiaTheme="minorEastAsia"/>
          <w:i/>
          <w:iCs/>
          <w:szCs w:val="22"/>
          <w:lang w:eastAsia="en-US"/>
        </w:rPr>
        <w:t>euro</w:t>
      </w:r>
      <w:r w:rsidRPr="00307028">
        <w:rPr>
          <w:rFonts w:eastAsiaTheme="minorEastAsia"/>
          <w:szCs w:val="22"/>
          <w:lang w:eastAsia="en-US"/>
        </w:rPr>
        <w:t xml:space="preserve"> apmērā, 2025.</w:t>
      </w:r>
      <w:r w:rsidR="00100C0A" w:rsidRPr="00307028">
        <w:rPr>
          <w:rFonts w:eastAsiaTheme="minorEastAsia"/>
          <w:szCs w:val="22"/>
          <w:lang w:eastAsia="en-US"/>
        </w:rPr>
        <w:t xml:space="preserve"> </w:t>
      </w:r>
      <w:r w:rsidRPr="00307028">
        <w:rPr>
          <w:rFonts w:eastAsiaTheme="minorEastAsia"/>
          <w:szCs w:val="22"/>
          <w:lang w:eastAsia="en-US"/>
        </w:rPr>
        <w:t xml:space="preserve">gadā 58 890 </w:t>
      </w:r>
      <w:r w:rsidRPr="00307028">
        <w:rPr>
          <w:rFonts w:eastAsiaTheme="minorEastAsia"/>
          <w:i/>
          <w:iCs/>
          <w:szCs w:val="22"/>
          <w:lang w:eastAsia="en-US"/>
        </w:rPr>
        <w:t>euro</w:t>
      </w:r>
      <w:r w:rsidRPr="00307028">
        <w:rPr>
          <w:rFonts w:eastAsiaTheme="minorEastAsia"/>
          <w:szCs w:val="22"/>
          <w:lang w:eastAsia="en-US"/>
        </w:rPr>
        <w:t xml:space="preserve"> apmērā, 2026.</w:t>
      </w:r>
      <w:r w:rsidR="00100C0A" w:rsidRPr="00307028">
        <w:rPr>
          <w:rFonts w:eastAsiaTheme="minorEastAsia"/>
          <w:szCs w:val="22"/>
          <w:lang w:eastAsia="en-US"/>
        </w:rPr>
        <w:t xml:space="preserve"> </w:t>
      </w:r>
      <w:r w:rsidRPr="00307028">
        <w:rPr>
          <w:rFonts w:eastAsiaTheme="minorEastAsia"/>
          <w:szCs w:val="22"/>
          <w:lang w:eastAsia="en-US"/>
        </w:rPr>
        <w:t xml:space="preserve">gadā un turpmāk ik gadu 46 538 </w:t>
      </w:r>
      <w:r w:rsidRPr="00307028">
        <w:rPr>
          <w:rFonts w:eastAsiaTheme="minorEastAsia"/>
          <w:i/>
          <w:iCs/>
          <w:szCs w:val="22"/>
          <w:lang w:eastAsia="en-US"/>
        </w:rPr>
        <w:t>euro</w:t>
      </w:r>
      <w:r w:rsidRPr="00307028">
        <w:rPr>
          <w:rFonts w:eastAsiaTheme="minorEastAsia"/>
          <w:szCs w:val="22"/>
          <w:lang w:eastAsia="en-US"/>
        </w:rPr>
        <w:t xml:space="preserve"> apmērā, lai nodrošinātu likumprojektā paredzēto.</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6FCEF192" w14:textId="77777777" w:rsidTr="0033230F">
        <w:trPr>
          <w:jc w:val="center"/>
        </w:trPr>
        <w:tc>
          <w:tcPr>
            <w:tcW w:w="709" w:type="dxa"/>
            <w:shd w:val="clear" w:color="auto" w:fill="B2D9EC"/>
            <w:vAlign w:val="center"/>
          </w:tcPr>
          <w:p w14:paraId="3274FB7C"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4CE094BF" w14:textId="77777777" w:rsidR="00EE3DBD" w:rsidRPr="00307028" w:rsidRDefault="00EE3DBD" w:rsidP="00EE3DBD">
            <w:pPr>
              <w:jc w:val="center"/>
              <w:rPr>
                <w:rFonts w:eastAsia="Calibri"/>
                <w:szCs w:val="22"/>
                <w:lang w:eastAsia="en-US"/>
              </w:rPr>
            </w:pPr>
            <w:r w:rsidRPr="00307028">
              <w:rPr>
                <w:rFonts w:eastAsia="Calibri"/>
                <w:szCs w:val="22"/>
                <w:lang w:eastAsia="en-US"/>
              </w:rPr>
              <w:t>35 220</w:t>
            </w:r>
          </w:p>
        </w:tc>
        <w:tc>
          <w:tcPr>
            <w:tcW w:w="696" w:type="dxa"/>
            <w:shd w:val="clear" w:color="auto" w:fill="B2D9EC"/>
            <w:vAlign w:val="center"/>
          </w:tcPr>
          <w:p w14:paraId="5EB72EEA"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348FA472" w14:textId="77777777" w:rsidR="00EE3DBD" w:rsidRPr="00307028" w:rsidRDefault="00EE3DBD" w:rsidP="00EE3DBD">
            <w:pPr>
              <w:jc w:val="center"/>
              <w:rPr>
                <w:rFonts w:eastAsia="Calibri"/>
                <w:szCs w:val="22"/>
                <w:lang w:eastAsia="en-US"/>
              </w:rPr>
            </w:pPr>
            <w:r w:rsidRPr="00307028">
              <w:rPr>
                <w:rFonts w:eastAsia="Calibri"/>
                <w:szCs w:val="22"/>
                <w:lang w:eastAsia="en-US"/>
              </w:rPr>
              <w:t>59 900</w:t>
            </w:r>
          </w:p>
        </w:tc>
        <w:tc>
          <w:tcPr>
            <w:tcW w:w="696" w:type="dxa"/>
            <w:shd w:val="clear" w:color="auto" w:fill="B2D9EC"/>
            <w:vAlign w:val="center"/>
          </w:tcPr>
          <w:p w14:paraId="05A4704D"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1074E702" w14:textId="77777777" w:rsidR="00EE3DBD" w:rsidRPr="00307028" w:rsidRDefault="00EE3DBD" w:rsidP="00EE3DBD">
            <w:pPr>
              <w:jc w:val="center"/>
              <w:rPr>
                <w:rFonts w:eastAsia="Calibri"/>
                <w:szCs w:val="22"/>
                <w:lang w:eastAsia="en-US"/>
              </w:rPr>
            </w:pPr>
            <w:r w:rsidRPr="00307028">
              <w:rPr>
                <w:rFonts w:eastAsia="Calibri"/>
                <w:szCs w:val="22"/>
                <w:lang w:eastAsia="en-US"/>
              </w:rPr>
              <w:t>47 650</w:t>
            </w:r>
          </w:p>
        </w:tc>
      </w:tr>
    </w:tbl>
    <w:p w14:paraId="71165091" w14:textId="23F6A8B3" w:rsidR="00EE3DBD" w:rsidRPr="00307028" w:rsidRDefault="00EE3DBD" w:rsidP="00EE3DBD">
      <w:pPr>
        <w:spacing w:before="120" w:after="120" w:line="259" w:lineRule="auto"/>
        <w:jc w:val="both"/>
        <w:rPr>
          <w:rFonts w:eastAsiaTheme="minorHAnsi"/>
          <w:b/>
          <w:bCs/>
          <w:lang w:eastAsia="en-US"/>
        </w:rPr>
      </w:pPr>
      <w:r w:rsidRPr="00307028">
        <w:rPr>
          <w:rFonts w:eastAsiaTheme="minorHAnsi"/>
          <w:b/>
          <w:bCs/>
          <w:lang w:eastAsia="en-US"/>
        </w:rPr>
        <w:t xml:space="preserve">FM, IZM </w:t>
      </w:r>
      <w:r w:rsidR="00100C0A" w:rsidRPr="00307028">
        <w:rPr>
          <w:rFonts w:eastAsiaTheme="minorHAnsi"/>
          <w:b/>
          <w:bCs/>
          <w:lang w:eastAsia="en-US"/>
        </w:rPr>
        <w:t>–</w:t>
      </w:r>
      <w:r w:rsidRPr="00307028">
        <w:rPr>
          <w:rFonts w:eastAsiaTheme="minorHAnsi"/>
          <w:b/>
          <w:bCs/>
          <w:lang w:eastAsia="en-US"/>
        </w:rPr>
        <w:t xml:space="preserve"> Latvijas simtgadei veltītās loterijas, interaktīvās izlozes “Sporto visi!”, momentloterijas “Sporta loterija”, kā arī stipendiju piešķiršanas un projektu “Sporto visa klase” un “Personības akadēmija” turpināšana </w:t>
      </w:r>
    </w:p>
    <w:p w14:paraId="5937CE55" w14:textId="29BBCF9F" w:rsidR="00201F20" w:rsidRPr="00307028" w:rsidRDefault="00201F20"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 xml:space="preserve">Ņemot vērā VAS “Latvijas Loto” aktualizēto peļņas prognozi, ir iespējams palielināt maksājumu par valsts kapitāla izmantošanu ieņēmumu prognozes 2024. gadā 1 757 133 </w:t>
      </w:r>
      <w:r w:rsidRPr="00307028">
        <w:rPr>
          <w:rFonts w:eastAsiaTheme="minorEastAsia"/>
          <w:i/>
          <w:iCs/>
          <w:szCs w:val="22"/>
          <w:lang w:eastAsia="en-US"/>
        </w:rPr>
        <w:t>euro</w:t>
      </w:r>
      <w:r w:rsidRPr="00307028">
        <w:rPr>
          <w:rFonts w:eastAsiaTheme="minorEastAsia"/>
          <w:szCs w:val="22"/>
          <w:lang w:eastAsia="en-US"/>
        </w:rPr>
        <w:t xml:space="preserve"> apmērā un turpmāk ik gadu par 475 000 </w:t>
      </w:r>
      <w:r w:rsidRPr="00307028">
        <w:rPr>
          <w:rFonts w:eastAsiaTheme="minorEastAsia"/>
          <w:i/>
          <w:iCs/>
          <w:szCs w:val="22"/>
          <w:lang w:eastAsia="en-US"/>
        </w:rPr>
        <w:t>euro</w:t>
      </w:r>
      <w:r w:rsidRPr="00307028">
        <w:rPr>
          <w:rFonts w:eastAsiaTheme="minorEastAsia"/>
          <w:szCs w:val="22"/>
          <w:lang w:eastAsia="en-US"/>
        </w:rPr>
        <w:t xml:space="preserve"> no VAS “Latvijas Loto” dividendēs izmaksājamās peļņas daļas un pamatbudžeta prognozējamos ieņēmumos valsts budžetā no VAS “Latvijas Loto” dividendēm un vienlaikus novirzīt 2024.</w:t>
      </w:r>
      <w:r w:rsidR="00100C0A" w:rsidRPr="00307028">
        <w:rPr>
          <w:rFonts w:eastAsiaTheme="minorEastAsia"/>
          <w:szCs w:val="22"/>
          <w:lang w:eastAsia="en-US"/>
        </w:rPr>
        <w:t xml:space="preserve"> </w:t>
      </w:r>
      <w:r w:rsidRPr="00307028">
        <w:rPr>
          <w:rFonts w:eastAsiaTheme="minorEastAsia"/>
          <w:szCs w:val="22"/>
          <w:lang w:eastAsia="en-US"/>
        </w:rPr>
        <w:t>gadā 1</w:t>
      </w:r>
      <w:r w:rsidR="00E6209C" w:rsidRPr="00307028">
        <w:rPr>
          <w:rFonts w:eastAsiaTheme="minorEastAsia"/>
          <w:szCs w:val="22"/>
          <w:lang w:eastAsia="en-US"/>
        </w:rPr>
        <w:t> 162</w:t>
      </w:r>
      <w:r w:rsidRPr="00307028">
        <w:rPr>
          <w:rFonts w:eastAsiaTheme="minorEastAsia"/>
          <w:szCs w:val="22"/>
          <w:lang w:eastAsia="en-US"/>
        </w:rPr>
        <w:t xml:space="preserve"> 133 </w:t>
      </w:r>
      <w:r w:rsidRPr="00307028">
        <w:rPr>
          <w:rFonts w:eastAsiaTheme="minorEastAsia"/>
          <w:i/>
          <w:iCs/>
          <w:szCs w:val="22"/>
          <w:lang w:eastAsia="en-US"/>
        </w:rPr>
        <w:t>euro</w:t>
      </w:r>
      <w:r w:rsidRPr="00307028">
        <w:rPr>
          <w:rFonts w:eastAsiaTheme="minorEastAsia"/>
          <w:szCs w:val="22"/>
          <w:lang w:eastAsia="en-US"/>
        </w:rPr>
        <w:t xml:space="preserve"> kopējās fiskālās telpas uzlabošanai, kā arī palielināt 2024. gadā un turpmāk ik gadu izdevumus FM budžetā </w:t>
      </w:r>
      <w:r w:rsidR="00E6209C" w:rsidRPr="00307028">
        <w:rPr>
          <w:rFonts w:eastAsiaTheme="minorEastAsia"/>
          <w:szCs w:val="22"/>
          <w:lang w:eastAsia="en-US"/>
        </w:rPr>
        <w:t>22</w:t>
      </w:r>
      <w:r w:rsidRPr="00307028">
        <w:rPr>
          <w:rFonts w:eastAsiaTheme="minorEastAsia"/>
          <w:szCs w:val="22"/>
          <w:lang w:eastAsia="en-US"/>
        </w:rPr>
        <w:t>0</w:t>
      </w:r>
      <w:r w:rsidR="00F0751E" w:rsidRPr="00307028">
        <w:rPr>
          <w:rFonts w:eastAsiaTheme="minorEastAsia"/>
          <w:szCs w:val="22"/>
          <w:lang w:eastAsia="en-US"/>
        </w:rPr>
        <w:t> </w:t>
      </w:r>
      <w:r w:rsidRPr="00307028">
        <w:rPr>
          <w:rFonts w:eastAsiaTheme="minorEastAsia"/>
          <w:szCs w:val="22"/>
          <w:lang w:eastAsia="en-US"/>
        </w:rPr>
        <w:t>000</w:t>
      </w:r>
      <w:r w:rsidR="00F0751E" w:rsidRPr="00307028">
        <w:rPr>
          <w:rFonts w:eastAsiaTheme="minorEastAsia"/>
          <w:szCs w:val="22"/>
          <w:lang w:eastAsia="en-US"/>
        </w:rPr>
        <w:t> </w:t>
      </w:r>
      <w:r w:rsidRPr="00307028">
        <w:rPr>
          <w:rFonts w:eastAsiaTheme="minorEastAsia"/>
          <w:i/>
          <w:iCs/>
          <w:szCs w:val="22"/>
          <w:lang w:eastAsia="en-US"/>
        </w:rPr>
        <w:t>euro</w:t>
      </w:r>
      <w:r w:rsidRPr="00307028">
        <w:rPr>
          <w:rFonts w:eastAsiaTheme="minorEastAsia"/>
          <w:szCs w:val="22"/>
          <w:lang w:eastAsia="en-US"/>
        </w:rPr>
        <w:t xml:space="preserve"> apmērā un IZM budžetā 375 000 </w:t>
      </w:r>
      <w:r w:rsidRPr="00307028">
        <w:rPr>
          <w:rFonts w:eastAsiaTheme="minorEastAsia"/>
          <w:i/>
          <w:iCs/>
          <w:szCs w:val="22"/>
          <w:lang w:eastAsia="en-US"/>
        </w:rPr>
        <w:t>euro</w:t>
      </w:r>
      <w:r w:rsidRPr="00307028">
        <w:rPr>
          <w:rFonts w:eastAsiaTheme="minorEastAsia"/>
          <w:szCs w:val="22"/>
          <w:lang w:eastAsia="en-US"/>
        </w:rPr>
        <w:t xml:space="preserve"> apmērā.</w:t>
      </w:r>
    </w:p>
    <w:p w14:paraId="352BBBB8" w14:textId="3B522430" w:rsidR="00E6209C" w:rsidRPr="00307028" w:rsidRDefault="00E6209C"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 xml:space="preserve">Lai veiktu pasākumus normatīvo aktu sistēmas pilnveidei nodrošinot pierādījumos balstītu lēmumu pieņemšanu valsts budžeta procesā, pilnveidojot budžeta resoru uz rezultātu </w:t>
      </w:r>
      <w:r w:rsidRPr="00307028">
        <w:rPr>
          <w:rFonts w:eastAsiaTheme="minorEastAsia"/>
          <w:szCs w:val="22"/>
          <w:lang w:eastAsia="en-US"/>
        </w:rPr>
        <w:lastRenderedPageBreak/>
        <w:t xml:space="preserve">orientētu budžeta plānošanu un nodrošinot izpildes kontroli, kā arī budžeta pēcizpildes izvērtējamu sasniegtajiem rezultātiem, savienojot politikas plānošanas dokumentu sistēmu ar vidējā termiņa budžeta plānošanu, 2024. gadā nepieciešams palielināt izdevumus 120 000 </w:t>
      </w:r>
      <w:r w:rsidRPr="00307028">
        <w:rPr>
          <w:rFonts w:eastAsiaTheme="minorEastAsia"/>
          <w:i/>
          <w:iCs/>
          <w:szCs w:val="22"/>
          <w:lang w:eastAsia="en-US"/>
        </w:rPr>
        <w:t>euro</w:t>
      </w:r>
      <w:r w:rsidRPr="00307028">
        <w:rPr>
          <w:rFonts w:eastAsiaTheme="minorEastAsia"/>
          <w:szCs w:val="22"/>
          <w:lang w:eastAsia="en-US"/>
        </w:rPr>
        <w:t xml:space="preserve"> apmērā FM budžetā.</w:t>
      </w:r>
    </w:p>
    <w:p w14:paraId="001DC57D" w14:textId="43EEA48E"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 xml:space="preserve">Lai nodrošinātu Simtgades loterijas sabiedriski nozīmīgā mērķa īstenošanu sākot </w:t>
      </w:r>
      <w:r w:rsidR="00100C0A" w:rsidRPr="00307028">
        <w:rPr>
          <w:rFonts w:eastAsiaTheme="minorEastAsia"/>
          <w:szCs w:val="22"/>
          <w:lang w:eastAsia="en-US"/>
        </w:rPr>
        <w:t>ar</w:t>
      </w:r>
      <w:r w:rsidRPr="00307028">
        <w:rPr>
          <w:rFonts w:eastAsiaTheme="minorEastAsia"/>
          <w:szCs w:val="22"/>
          <w:lang w:eastAsia="en-US"/>
        </w:rPr>
        <w:t xml:space="preserve"> 2023./2024.</w:t>
      </w:r>
      <w:r w:rsidR="00100C0A" w:rsidRPr="00307028">
        <w:rPr>
          <w:rFonts w:eastAsiaTheme="minorEastAsia"/>
          <w:szCs w:val="22"/>
          <w:lang w:eastAsia="en-US"/>
        </w:rPr>
        <w:t xml:space="preserve"> mācību gadu</w:t>
      </w:r>
      <w:r w:rsidRPr="00307028">
        <w:rPr>
          <w:rFonts w:eastAsiaTheme="minorEastAsia"/>
          <w:szCs w:val="22"/>
          <w:lang w:eastAsia="en-US"/>
        </w:rPr>
        <w:t xml:space="preserve"> un turpmāk bez termiņa ierobežojuma</w:t>
      </w:r>
      <w:r w:rsidR="00100C0A" w:rsidRPr="00307028">
        <w:rPr>
          <w:rFonts w:eastAsiaTheme="minorEastAsia"/>
          <w:szCs w:val="22"/>
          <w:lang w:eastAsia="en-US"/>
        </w:rPr>
        <w:t>,</w:t>
      </w:r>
      <w:r w:rsidRPr="00307028">
        <w:rPr>
          <w:rFonts w:eastAsiaTheme="minorEastAsia"/>
          <w:szCs w:val="22"/>
          <w:lang w:eastAsia="en-US"/>
        </w:rPr>
        <w:t xml:space="preserve"> noteikt, ka katra mācību gada beigās atbalsta stipendiju 750 </w:t>
      </w:r>
      <w:r w:rsidRPr="00307028">
        <w:rPr>
          <w:rFonts w:eastAsiaTheme="minorEastAsia"/>
          <w:i/>
          <w:iCs/>
          <w:szCs w:val="22"/>
          <w:lang w:eastAsia="en-US"/>
        </w:rPr>
        <w:t>euro</w:t>
      </w:r>
      <w:r w:rsidRPr="00307028">
        <w:rPr>
          <w:rFonts w:eastAsiaTheme="minorEastAsia"/>
          <w:szCs w:val="22"/>
          <w:lang w:eastAsia="en-US"/>
        </w:rPr>
        <w:t xml:space="preserve"> apmērā piešķir vienam katras Latvijas vidējās izglītības iestādes labākajam absolventam, ik gadu papildus līdzšinēji plānotajam 200 000 </w:t>
      </w:r>
      <w:r w:rsidRPr="00307028">
        <w:rPr>
          <w:rFonts w:eastAsiaTheme="minorEastAsia"/>
          <w:i/>
          <w:iCs/>
          <w:szCs w:val="22"/>
          <w:lang w:eastAsia="en-US"/>
        </w:rPr>
        <w:t>euro</w:t>
      </w:r>
      <w:r w:rsidRPr="00307028">
        <w:rPr>
          <w:rFonts w:eastAsiaTheme="minorEastAsia"/>
          <w:szCs w:val="22"/>
          <w:lang w:eastAsia="en-US"/>
        </w:rPr>
        <w:t xml:space="preserve"> apmērā ir jāparedz valsts budžeta finansējums 100 000 </w:t>
      </w:r>
      <w:r w:rsidRPr="00307028">
        <w:rPr>
          <w:rFonts w:eastAsiaTheme="minorEastAsia"/>
          <w:i/>
          <w:iCs/>
          <w:szCs w:val="22"/>
          <w:lang w:eastAsia="en-US"/>
        </w:rPr>
        <w:t>euro</w:t>
      </w:r>
      <w:r w:rsidRPr="00307028">
        <w:rPr>
          <w:rFonts w:eastAsiaTheme="minorEastAsia"/>
          <w:szCs w:val="22"/>
          <w:lang w:eastAsia="en-US"/>
        </w:rPr>
        <w:t xml:space="preserve"> apmērā. Projekta turpināšanas nepieciešamību pamato sekojoši argumenti:</w:t>
      </w:r>
    </w:p>
    <w:p w14:paraId="112DF4CD" w14:textId="77777777" w:rsidR="00EE3DBD" w:rsidRPr="00307028" w:rsidRDefault="00EE3DBD" w:rsidP="00070D5F">
      <w:pPr>
        <w:numPr>
          <w:ilvl w:val="0"/>
          <w:numId w:val="30"/>
        </w:numPr>
        <w:spacing w:after="120" w:line="259" w:lineRule="auto"/>
        <w:ind w:left="0" w:firstLine="426"/>
        <w:jc w:val="both"/>
        <w:rPr>
          <w:rFonts w:eastAsiaTheme="minorEastAsia"/>
          <w:szCs w:val="22"/>
          <w:lang w:eastAsia="en-US"/>
        </w:rPr>
      </w:pPr>
      <w:r w:rsidRPr="00307028">
        <w:rPr>
          <w:rFonts w:eastAsiaTheme="minorEastAsia"/>
          <w:szCs w:val="22"/>
          <w:lang w:eastAsia="en-US"/>
        </w:rPr>
        <w:t>Simtgades loterijas nosaukums un sabiedriski nozīmīgais mērķis turpina būt aktuāls;</w:t>
      </w:r>
    </w:p>
    <w:p w14:paraId="2B150C48" w14:textId="77777777" w:rsidR="00EE3DBD" w:rsidRPr="00307028" w:rsidRDefault="00EE3DBD" w:rsidP="00070D5F">
      <w:pPr>
        <w:numPr>
          <w:ilvl w:val="0"/>
          <w:numId w:val="30"/>
        </w:numPr>
        <w:spacing w:after="120" w:line="259" w:lineRule="auto"/>
        <w:ind w:left="0" w:firstLine="426"/>
        <w:jc w:val="both"/>
        <w:rPr>
          <w:rFonts w:eastAsiaTheme="minorEastAsia"/>
          <w:szCs w:val="22"/>
          <w:lang w:eastAsia="en-US"/>
        </w:rPr>
      </w:pPr>
      <w:r w:rsidRPr="00307028">
        <w:rPr>
          <w:rFonts w:eastAsiaTheme="minorEastAsia"/>
          <w:szCs w:val="22"/>
          <w:lang w:eastAsia="en-US"/>
        </w:rPr>
        <w:t xml:space="preserve">Simtgades loterijas pārdošanas prognozes ir stabilas; </w:t>
      </w:r>
    </w:p>
    <w:p w14:paraId="6184E3A7" w14:textId="7619260A" w:rsidR="00EE3DBD" w:rsidRPr="00307028" w:rsidRDefault="00EE3DBD" w:rsidP="00070D5F">
      <w:pPr>
        <w:numPr>
          <w:ilvl w:val="0"/>
          <w:numId w:val="30"/>
        </w:numPr>
        <w:spacing w:after="120" w:line="259" w:lineRule="auto"/>
        <w:ind w:left="0" w:firstLine="426"/>
        <w:jc w:val="both"/>
        <w:rPr>
          <w:rFonts w:eastAsiaTheme="minorEastAsia"/>
          <w:szCs w:val="22"/>
          <w:lang w:eastAsia="en-US"/>
        </w:rPr>
      </w:pPr>
      <w:r w:rsidRPr="00307028">
        <w:rPr>
          <w:rFonts w:eastAsiaTheme="minorEastAsia"/>
          <w:szCs w:val="22"/>
          <w:lang w:eastAsia="en-US"/>
        </w:rPr>
        <w:t>Projekta turpināšanai nav tiesisku un finansiālu šķēršu, jo iedzīvotāju ienākuma nodokļa nepiemērošana laimestiem jau ir nostiprināta likumā “Par iedzīvotāju ienākuma nodokli” (136.</w:t>
      </w:r>
      <w:r w:rsidR="00100C0A" w:rsidRPr="00307028">
        <w:rPr>
          <w:rFonts w:eastAsiaTheme="minorEastAsia"/>
          <w:szCs w:val="22"/>
          <w:lang w:eastAsia="en-US"/>
        </w:rPr>
        <w:t> </w:t>
      </w:r>
      <w:r w:rsidRPr="00307028">
        <w:rPr>
          <w:rFonts w:eastAsiaTheme="minorEastAsia"/>
          <w:szCs w:val="22"/>
          <w:lang w:eastAsia="en-US"/>
        </w:rPr>
        <w:t>pants).</w:t>
      </w:r>
    </w:p>
    <w:p w14:paraId="421E643F" w14:textId="51DBD6FB" w:rsidR="00EE3DBD" w:rsidRPr="00307028" w:rsidRDefault="00EE3DBD" w:rsidP="004618F2">
      <w:pPr>
        <w:spacing w:after="120" w:line="259" w:lineRule="auto"/>
        <w:ind w:firstLine="709"/>
        <w:jc w:val="both"/>
        <w:rPr>
          <w:rFonts w:eastAsiaTheme="minorEastAsia"/>
          <w:szCs w:val="22"/>
          <w:lang w:eastAsia="en-US"/>
        </w:rPr>
      </w:pPr>
      <w:r w:rsidRPr="00307028">
        <w:rPr>
          <w:rFonts w:eastAsiaTheme="minorEastAsia"/>
          <w:szCs w:val="22"/>
          <w:lang w:eastAsia="en-US"/>
        </w:rPr>
        <w:t xml:space="preserve">Lai nodrošinātu interaktīvās izlozes “Sporto visi!” un momentloterijas “Sporta loterija” sabiedriski nozīmīgā mērķa īstenošanu </w:t>
      </w:r>
      <w:r w:rsidR="00100C0A" w:rsidRPr="00307028">
        <w:rPr>
          <w:rFonts w:eastAsiaTheme="minorEastAsia"/>
          <w:szCs w:val="22"/>
          <w:lang w:eastAsia="en-US"/>
        </w:rPr>
        <w:t>(</w:t>
      </w:r>
      <w:r w:rsidRPr="00307028">
        <w:rPr>
          <w:rFonts w:eastAsiaTheme="minorEastAsia"/>
          <w:szCs w:val="22"/>
          <w:lang w:eastAsia="en-US"/>
        </w:rPr>
        <w:t>finansiāls atbalsts sporta dzīves veicināšanai Latvijas izglītības iestādēs</w:t>
      </w:r>
      <w:r w:rsidR="00100C0A" w:rsidRPr="00307028">
        <w:rPr>
          <w:rFonts w:eastAsiaTheme="minorEastAsia"/>
          <w:szCs w:val="22"/>
          <w:lang w:eastAsia="en-US"/>
        </w:rPr>
        <w:t>)</w:t>
      </w:r>
      <w:r w:rsidRPr="00307028">
        <w:rPr>
          <w:rFonts w:eastAsiaTheme="minorEastAsia"/>
          <w:szCs w:val="22"/>
          <w:lang w:eastAsia="en-US"/>
        </w:rPr>
        <w:t xml:space="preserve">, īstenojot LOK </w:t>
      </w:r>
      <w:bookmarkStart w:id="63" w:name="_Hlk140741405"/>
      <w:r w:rsidRPr="00307028">
        <w:rPr>
          <w:rFonts w:eastAsiaTheme="minorEastAsia"/>
          <w:szCs w:val="22"/>
          <w:lang w:eastAsia="en-US"/>
        </w:rPr>
        <w:t>projektu “Sporto visa klase” un “Personības akadēmija</w:t>
      </w:r>
      <w:bookmarkEnd w:id="63"/>
      <w:r w:rsidRPr="00307028">
        <w:rPr>
          <w:rFonts w:eastAsiaTheme="minorEastAsia"/>
          <w:szCs w:val="22"/>
          <w:lang w:eastAsia="en-US"/>
        </w:rPr>
        <w:t xml:space="preserve">”, sākot </w:t>
      </w:r>
      <w:r w:rsidR="00100C0A" w:rsidRPr="00307028">
        <w:rPr>
          <w:rFonts w:eastAsiaTheme="minorEastAsia"/>
          <w:szCs w:val="22"/>
          <w:lang w:eastAsia="en-US"/>
        </w:rPr>
        <w:t>ar</w:t>
      </w:r>
      <w:r w:rsidRPr="00307028">
        <w:rPr>
          <w:rFonts w:eastAsiaTheme="minorEastAsia"/>
          <w:szCs w:val="22"/>
          <w:lang w:eastAsia="en-US"/>
        </w:rPr>
        <w:t xml:space="preserve"> 2024. gad</w:t>
      </w:r>
      <w:r w:rsidR="00100C0A" w:rsidRPr="00307028">
        <w:rPr>
          <w:rFonts w:eastAsiaTheme="minorEastAsia"/>
          <w:szCs w:val="22"/>
          <w:lang w:eastAsia="en-US"/>
        </w:rPr>
        <w:t>u</w:t>
      </w:r>
      <w:r w:rsidRPr="00307028">
        <w:rPr>
          <w:rFonts w:eastAsiaTheme="minorEastAsia"/>
          <w:szCs w:val="22"/>
          <w:lang w:eastAsia="en-US"/>
        </w:rPr>
        <w:t xml:space="preserve"> un turpmāk ik gadu bez termiņa ierobežojuma IZM budžetā ir jāparedz finansējums 375 000 </w:t>
      </w:r>
      <w:r w:rsidRPr="00307028">
        <w:rPr>
          <w:rFonts w:eastAsiaTheme="minorEastAsia"/>
          <w:i/>
          <w:iCs/>
          <w:szCs w:val="22"/>
          <w:lang w:eastAsia="en-US"/>
        </w:rPr>
        <w:t>euro</w:t>
      </w:r>
      <w:r w:rsidRPr="00307028">
        <w:rPr>
          <w:rFonts w:eastAsiaTheme="minorEastAsia"/>
          <w:szCs w:val="22"/>
          <w:lang w:eastAsia="en-US"/>
        </w:rPr>
        <w:t xml:space="preserve"> apmērā, t.sk.:</w:t>
      </w:r>
    </w:p>
    <w:p w14:paraId="22F891EA" w14:textId="549A7B02" w:rsidR="00EE3DBD" w:rsidRPr="00307028" w:rsidRDefault="00EE3DBD" w:rsidP="00070D5F">
      <w:pPr>
        <w:numPr>
          <w:ilvl w:val="0"/>
          <w:numId w:val="38"/>
        </w:numPr>
        <w:spacing w:after="120" w:line="259" w:lineRule="auto"/>
        <w:ind w:left="709" w:hanging="357"/>
        <w:jc w:val="both"/>
        <w:rPr>
          <w:rFonts w:eastAsiaTheme="minorEastAsia"/>
          <w:szCs w:val="22"/>
          <w:lang w:eastAsia="en-US"/>
        </w:rPr>
      </w:pPr>
      <w:r w:rsidRPr="00307028">
        <w:rPr>
          <w:rFonts w:eastAsiaTheme="minorEastAsia"/>
          <w:szCs w:val="22"/>
          <w:lang w:eastAsia="en-US"/>
        </w:rPr>
        <w:t xml:space="preserve">260 000 </w:t>
      </w:r>
      <w:r w:rsidRPr="00307028">
        <w:rPr>
          <w:rFonts w:eastAsiaTheme="minorEastAsia"/>
          <w:i/>
          <w:iCs/>
          <w:szCs w:val="22"/>
          <w:lang w:eastAsia="en-US"/>
        </w:rPr>
        <w:t>euro</w:t>
      </w:r>
      <w:r w:rsidRPr="00307028">
        <w:rPr>
          <w:rFonts w:eastAsiaTheme="minorEastAsia"/>
          <w:szCs w:val="22"/>
          <w:lang w:eastAsia="en-US"/>
        </w:rPr>
        <w:t xml:space="preserve">, kas paredzēti atbalstam sporta dzīves veicināšanai Latvijas izglītības iestādēs. Katru nedēļu, turpinot interaktīvās izlozes “Sporto visi!” TV izlozes, tiek noteikta viena Latvijas izglītības iestāde, kura piedalās LOK projektā “Sporto visa klase” un kura saņem 5 000 </w:t>
      </w:r>
      <w:r w:rsidRPr="00307028">
        <w:rPr>
          <w:rFonts w:eastAsiaTheme="minorEastAsia"/>
          <w:i/>
          <w:iCs/>
          <w:szCs w:val="22"/>
          <w:lang w:eastAsia="en-US"/>
        </w:rPr>
        <w:t>euro</w:t>
      </w:r>
      <w:r w:rsidRPr="00307028">
        <w:rPr>
          <w:rFonts w:eastAsiaTheme="minorEastAsia"/>
          <w:szCs w:val="22"/>
          <w:lang w:eastAsia="en-US"/>
        </w:rPr>
        <w:t xml:space="preserve"> finansējumu sporta dzīves uzlabošanai. Gada laikā finansējumu paredzēts piešķirt 52 izglītības iestādēm, </w:t>
      </w:r>
      <w:r w:rsidR="00100C0A" w:rsidRPr="00307028">
        <w:rPr>
          <w:rFonts w:eastAsiaTheme="minorEastAsia"/>
          <w:szCs w:val="22"/>
          <w:lang w:eastAsia="en-US"/>
        </w:rPr>
        <w:t xml:space="preserve">proti, </w:t>
      </w:r>
      <w:r w:rsidRPr="00307028">
        <w:rPr>
          <w:rFonts w:eastAsiaTheme="minorEastAsia"/>
          <w:szCs w:val="22"/>
          <w:lang w:eastAsia="en-US"/>
        </w:rPr>
        <w:t xml:space="preserve">katru nedēļu 5 000 </w:t>
      </w:r>
      <w:r w:rsidRPr="00307028">
        <w:rPr>
          <w:rFonts w:eastAsiaTheme="minorEastAsia"/>
          <w:i/>
          <w:iCs/>
          <w:szCs w:val="22"/>
          <w:lang w:eastAsia="en-US"/>
        </w:rPr>
        <w:t>euro</w:t>
      </w:r>
      <w:r w:rsidRPr="00307028">
        <w:rPr>
          <w:rFonts w:eastAsiaTheme="minorEastAsia"/>
          <w:szCs w:val="22"/>
          <w:lang w:eastAsia="en-US"/>
        </w:rPr>
        <w:t xml:space="preserve"> vienai skolai;</w:t>
      </w:r>
    </w:p>
    <w:p w14:paraId="3DF5C39C" w14:textId="5F333BD8" w:rsidR="00EE3DBD" w:rsidRPr="00307028" w:rsidRDefault="00EE3DBD" w:rsidP="00070D5F">
      <w:pPr>
        <w:numPr>
          <w:ilvl w:val="0"/>
          <w:numId w:val="38"/>
        </w:numPr>
        <w:spacing w:after="120" w:line="259" w:lineRule="auto"/>
        <w:ind w:left="709" w:hanging="357"/>
        <w:jc w:val="both"/>
        <w:rPr>
          <w:rFonts w:eastAsiaTheme="minorEastAsia"/>
          <w:szCs w:val="22"/>
          <w:lang w:eastAsia="en-US"/>
        </w:rPr>
      </w:pPr>
      <w:r w:rsidRPr="00307028">
        <w:rPr>
          <w:rFonts w:eastAsiaTheme="minorEastAsia"/>
          <w:szCs w:val="22"/>
          <w:lang w:eastAsia="en-US"/>
        </w:rPr>
        <w:t>115 000 </w:t>
      </w:r>
      <w:r w:rsidRPr="00307028">
        <w:rPr>
          <w:rFonts w:eastAsiaTheme="minorEastAsia"/>
          <w:i/>
          <w:iCs/>
          <w:szCs w:val="22"/>
          <w:lang w:eastAsia="en-US"/>
        </w:rPr>
        <w:t>euro</w:t>
      </w:r>
      <w:r w:rsidRPr="00307028">
        <w:rPr>
          <w:rFonts w:eastAsiaTheme="minorEastAsia"/>
          <w:szCs w:val="22"/>
          <w:lang w:eastAsia="en-US"/>
        </w:rPr>
        <w:t>, kas paredzēti projekta “Personības akadēmija” realizēšanai, t.sk. 40 000 </w:t>
      </w:r>
      <w:r w:rsidRPr="00307028">
        <w:rPr>
          <w:rFonts w:eastAsiaTheme="minorEastAsia"/>
          <w:i/>
          <w:iCs/>
          <w:szCs w:val="22"/>
          <w:lang w:eastAsia="en-US"/>
        </w:rPr>
        <w:t>euro</w:t>
      </w:r>
      <w:r w:rsidRPr="00307028">
        <w:rPr>
          <w:rFonts w:eastAsiaTheme="minorEastAsia"/>
          <w:szCs w:val="22"/>
          <w:lang w:eastAsia="en-US"/>
        </w:rPr>
        <w:t xml:space="preserve"> projekta vadībai (t.sk. vizuālās identitātes izstrāde un producēšana, finālsacensību un nometnes satura izstrāde (ekspertu piesaiste), publicitātes pasākumi), 35 000 </w:t>
      </w:r>
      <w:r w:rsidRPr="00307028">
        <w:rPr>
          <w:rFonts w:eastAsiaTheme="minorEastAsia"/>
          <w:i/>
          <w:iCs/>
          <w:szCs w:val="22"/>
          <w:lang w:eastAsia="en-US"/>
        </w:rPr>
        <w:t>euro</w:t>
      </w:r>
      <w:r w:rsidRPr="00307028">
        <w:rPr>
          <w:rFonts w:eastAsiaTheme="minorEastAsia"/>
          <w:szCs w:val="22"/>
          <w:lang w:eastAsia="en-US"/>
        </w:rPr>
        <w:t xml:space="preserve"> finālsacensību organizēšanai kopā ar Olimpiskajiem centriem (t.sk. telpu noma, sacensību organizēšana un tiesāšana, sacensību noformējums), 40 000 </w:t>
      </w:r>
      <w:r w:rsidRPr="00307028">
        <w:rPr>
          <w:rFonts w:eastAsiaTheme="minorEastAsia"/>
          <w:i/>
          <w:iCs/>
          <w:szCs w:val="22"/>
          <w:lang w:eastAsia="en-US"/>
        </w:rPr>
        <w:t>euro</w:t>
      </w:r>
      <w:r w:rsidRPr="00307028">
        <w:rPr>
          <w:rFonts w:eastAsiaTheme="minorEastAsia"/>
          <w:szCs w:val="22"/>
          <w:lang w:eastAsia="en-US"/>
        </w:rPr>
        <w:t xml:space="preserve"> nometnes organizēšanai 50 bērniem (t.sk. uzturēšanas izmaksas, ēdināšana, ekskursijas un atpūtas pasākumi, inventāra noma, video un foto materiālu izgatavošana, dalībnieku un nometnes zīmola identitātes veidošana, treneru un pedagogu atalgojums).</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36BB007B" w14:textId="77777777" w:rsidTr="0033230F">
        <w:trPr>
          <w:jc w:val="center"/>
        </w:trPr>
        <w:tc>
          <w:tcPr>
            <w:tcW w:w="709"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185E1290"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BFADE73" w14:textId="68F3C4A5" w:rsidR="00EE3DBD" w:rsidRPr="00307028" w:rsidRDefault="00D64FC3" w:rsidP="00EE3DBD">
            <w:pPr>
              <w:jc w:val="center"/>
              <w:rPr>
                <w:rFonts w:eastAsia="Calibri"/>
                <w:szCs w:val="22"/>
                <w:lang w:eastAsia="en-US"/>
              </w:rPr>
            </w:pPr>
            <w:r w:rsidRPr="00307028">
              <w:rPr>
                <w:rFonts w:eastAsia="Calibri"/>
                <w:szCs w:val="22"/>
                <w:lang w:eastAsia="en-US"/>
              </w:rPr>
              <w:t> 1 757 133</w:t>
            </w:r>
          </w:p>
        </w:tc>
        <w:tc>
          <w:tcPr>
            <w:tcW w:w="696"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1234CE34"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ED74E13" w14:textId="77777777" w:rsidR="00EE3DBD" w:rsidRPr="00307028" w:rsidRDefault="00EE3DBD" w:rsidP="00EE3DBD">
            <w:pPr>
              <w:jc w:val="center"/>
              <w:rPr>
                <w:rFonts w:eastAsia="Calibri"/>
                <w:szCs w:val="22"/>
                <w:lang w:eastAsia="en-US"/>
              </w:rPr>
            </w:pPr>
            <w:r w:rsidRPr="00307028">
              <w:rPr>
                <w:rFonts w:eastAsia="Calibri"/>
                <w:szCs w:val="22"/>
                <w:lang w:eastAsia="en-US"/>
              </w:rPr>
              <w:t>475 000</w:t>
            </w:r>
          </w:p>
        </w:tc>
        <w:tc>
          <w:tcPr>
            <w:tcW w:w="696"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74DAF6AE"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F3671DE" w14:textId="77777777" w:rsidR="00EE3DBD" w:rsidRPr="00307028" w:rsidRDefault="00EE3DBD" w:rsidP="00EE3DBD">
            <w:pPr>
              <w:jc w:val="center"/>
              <w:rPr>
                <w:rFonts w:eastAsia="Calibri"/>
                <w:szCs w:val="22"/>
                <w:lang w:eastAsia="en-US"/>
              </w:rPr>
            </w:pPr>
            <w:r w:rsidRPr="00307028">
              <w:rPr>
                <w:rFonts w:eastAsia="Calibri"/>
                <w:szCs w:val="22"/>
                <w:lang w:eastAsia="en-US"/>
              </w:rPr>
              <w:t>475 000</w:t>
            </w:r>
          </w:p>
        </w:tc>
      </w:tr>
    </w:tbl>
    <w:p w14:paraId="3F0E3651" w14:textId="77777777" w:rsidR="00EE3DBD" w:rsidRPr="00307028" w:rsidRDefault="00EE3DBD" w:rsidP="007A7EFC">
      <w:pPr>
        <w:spacing w:line="259" w:lineRule="auto"/>
        <w:jc w:val="center"/>
        <w:rPr>
          <w:rFonts w:eastAsiaTheme="minorHAnsi"/>
          <w:b/>
          <w:bCs/>
          <w:lang w:eastAsia="en-US"/>
        </w:rPr>
      </w:pPr>
    </w:p>
    <w:p w14:paraId="1F468DC8" w14:textId="77777777" w:rsidR="00EE3DBD" w:rsidRPr="00307028" w:rsidRDefault="00EE3DBD" w:rsidP="00EE3DBD">
      <w:pPr>
        <w:spacing w:before="120" w:after="120" w:line="259" w:lineRule="auto"/>
        <w:jc w:val="center"/>
        <w:rPr>
          <w:rFonts w:eastAsiaTheme="minorHAnsi"/>
          <w:b/>
          <w:bCs/>
          <w:lang w:eastAsia="en-US"/>
        </w:rPr>
      </w:pPr>
      <w:r w:rsidRPr="00307028">
        <w:rPr>
          <w:rFonts w:eastAsiaTheme="minorHAnsi"/>
          <w:b/>
          <w:bCs/>
          <w:lang w:eastAsia="en-US"/>
        </w:rPr>
        <w:t>Iekšlietu ministrija</w:t>
      </w:r>
    </w:p>
    <w:p w14:paraId="70B9E8A7" w14:textId="77777777" w:rsidR="00EE3DBD" w:rsidRPr="00307028" w:rsidRDefault="00EE3DBD" w:rsidP="00EE3DBD">
      <w:pPr>
        <w:spacing w:after="120" w:line="259" w:lineRule="auto"/>
        <w:jc w:val="both"/>
        <w:rPr>
          <w:rFonts w:eastAsiaTheme="minorHAnsi"/>
          <w:b/>
          <w:bCs/>
          <w:lang w:eastAsia="en-US"/>
        </w:rPr>
      </w:pPr>
      <w:r w:rsidRPr="00307028">
        <w:rPr>
          <w:rFonts w:eastAsiaTheme="minorHAnsi"/>
          <w:b/>
          <w:bCs/>
          <w:lang w:eastAsia="en-US"/>
        </w:rPr>
        <w:t>IeM – materiālās un sociālās palīdzības piešķiršana patvēruma meklētājiem un bēgļa vai alternatīvā statusa ieguvušām personām</w:t>
      </w:r>
    </w:p>
    <w:p w14:paraId="271F34F2" w14:textId="0583FC5C" w:rsidR="00EE3DBD" w:rsidRPr="00307028" w:rsidRDefault="00EE3DBD" w:rsidP="004618F2">
      <w:pPr>
        <w:widowControl w:val="0"/>
        <w:spacing w:after="120" w:line="259" w:lineRule="auto"/>
        <w:ind w:firstLine="720"/>
        <w:jc w:val="both"/>
        <w:rPr>
          <w:rFonts w:eastAsia="Calibri"/>
          <w:color w:val="000000" w:themeColor="text1"/>
          <w:shd w:val="clear" w:color="auto" w:fill="FFFFFF"/>
          <w:lang w:eastAsia="en-US"/>
        </w:rPr>
      </w:pPr>
      <w:r w:rsidRPr="00307028">
        <w:rPr>
          <w:rFonts w:eastAsia="Calibri"/>
          <w:lang w:eastAsia="en-US"/>
        </w:rPr>
        <w:t>Saskaņā ar likumu “Grozījumi Imigrācijas likumā”</w:t>
      </w:r>
      <w:r w:rsidRPr="00307028">
        <w:rPr>
          <w:rFonts w:eastAsia="Calibri"/>
          <w:szCs w:val="22"/>
          <w:lang w:eastAsia="en-US"/>
        </w:rPr>
        <w:t xml:space="preserve"> (stājas spēkā no 2023. gada 1. jūlija) un likumu “Grozījumi Repatriācijas likumā” (stājas spēkā no 2023. gada 1. jūlija) no 2023.</w:t>
      </w:r>
      <w:r w:rsidR="00100C0A" w:rsidRPr="00307028">
        <w:rPr>
          <w:rFonts w:eastAsia="Calibri"/>
          <w:szCs w:val="22"/>
          <w:lang w:eastAsia="en-US"/>
        </w:rPr>
        <w:t> g</w:t>
      </w:r>
      <w:r w:rsidRPr="00307028">
        <w:rPr>
          <w:rFonts w:eastAsia="Calibri"/>
          <w:szCs w:val="22"/>
          <w:lang w:eastAsia="en-US"/>
        </w:rPr>
        <w:t xml:space="preserve">ada 1. jūlija tiek pārtraukta </w:t>
      </w:r>
      <w:bookmarkStart w:id="64" w:name="_Hlk139365997"/>
      <w:r w:rsidRPr="00307028">
        <w:rPr>
          <w:rFonts w:eastAsia="Calibri"/>
          <w:szCs w:val="22"/>
          <w:lang w:eastAsia="en-US"/>
        </w:rPr>
        <w:t>materiālās un sociālās palīdzības piešķiršana repatriantiem</w:t>
      </w:r>
      <w:bookmarkEnd w:id="64"/>
      <w:r w:rsidRPr="00307028">
        <w:rPr>
          <w:rFonts w:eastAsia="Calibri"/>
          <w:szCs w:val="22"/>
          <w:lang w:eastAsia="en-US"/>
        </w:rPr>
        <w:t xml:space="preserve">. </w:t>
      </w:r>
      <w:r w:rsidRPr="00307028">
        <w:rPr>
          <w:rFonts w:eastAsia="Calibri"/>
          <w:color w:val="000000" w:themeColor="text1"/>
          <w:shd w:val="clear" w:color="auto" w:fill="FFFFFF"/>
          <w:lang w:eastAsia="en-US"/>
        </w:rPr>
        <w:t>Pēc 2023.</w:t>
      </w:r>
      <w:r w:rsidR="0034757D" w:rsidRPr="00307028">
        <w:rPr>
          <w:rFonts w:eastAsia="Calibri"/>
          <w:color w:val="000000" w:themeColor="text1"/>
          <w:shd w:val="clear" w:color="auto" w:fill="FFFFFF"/>
          <w:lang w:eastAsia="en-US"/>
        </w:rPr>
        <w:t> </w:t>
      </w:r>
      <w:r w:rsidRPr="00307028">
        <w:rPr>
          <w:rFonts w:eastAsia="Calibri"/>
          <w:color w:val="000000" w:themeColor="text1"/>
          <w:shd w:val="clear" w:color="auto" w:fill="FFFFFF"/>
          <w:lang w:eastAsia="en-US"/>
        </w:rPr>
        <w:t xml:space="preserve">gada 1. jūlija repatrianti </w:t>
      </w:r>
      <w:r w:rsidR="00357356" w:rsidRPr="00307028">
        <w:rPr>
          <w:rFonts w:eastAsia="Calibri"/>
          <w:color w:val="000000" w:themeColor="text1"/>
          <w:shd w:val="clear" w:color="auto" w:fill="FFFFFF"/>
          <w:lang w:eastAsia="en-US"/>
        </w:rPr>
        <w:t>(</w:t>
      </w:r>
      <w:r w:rsidRPr="00307028">
        <w:rPr>
          <w:rFonts w:eastAsia="Calibri"/>
          <w:color w:val="000000" w:themeColor="text1"/>
          <w:shd w:val="clear" w:color="auto" w:fill="FFFFFF"/>
          <w:lang w:eastAsia="en-US"/>
        </w:rPr>
        <w:t>gan Latvijas pilsoņi, gan trešo valstu pilsoņi</w:t>
      </w:r>
      <w:r w:rsidR="00357356" w:rsidRPr="00307028">
        <w:rPr>
          <w:rFonts w:eastAsia="Calibri"/>
          <w:color w:val="000000" w:themeColor="text1"/>
          <w:shd w:val="clear" w:color="auto" w:fill="FFFFFF"/>
          <w:lang w:eastAsia="en-US"/>
        </w:rPr>
        <w:t>)</w:t>
      </w:r>
      <w:r w:rsidRPr="00307028">
        <w:rPr>
          <w:rFonts w:eastAsia="Calibri"/>
          <w:color w:val="000000" w:themeColor="text1"/>
          <w:shd w:val="clear" w:color="auto" w:fill="FFFFFF"/>
          <w:lang w:eastAsia="en-US"/>
        </w:rPr>
        <w:t xml:space="preserve"> varēs izmantot </w:t>
      </w:r>
      <w:r w:rsidRPr="00307028">
        <w:rPr>
          <w:rFonts w:eastAsia="Calibri"/>
          <w:color w:val="000000" w:themeColor="text1"/>
          <w:shd w:val="clear" w:color="auto" w:fill="FFFFFF"/>
          <w:lang w:eastAsia="en-US"/>
        </w:rPr>
        <w:lastRenderedPageBreak/>
        <w:t>Diasporas likumā paredzētos atbalsta pasākumus, bet Latvijas pilsoņi papildus varēs saņemt sociālo palīdzību un veselības aprūpi tādā apjomā, kādā tas tiek nodrošināts jebkuram Latvijas pilsonim. </w:t>
      </w:r>
    </w:p>
    <w:p w14:paraId="733EFF81" w14:textId="77777777" w:rsidR="00EE3DBD" w:rsidRPr="00307028" w:rsidRDefault="00EE3DBD" w:rsidP="004618F2">
      <w:pPr>
        <w:widowControl w:val="0"/>
        <w:spacing w:after="120" w:line="259" w:lineRule="auto"/>
        <w:ind w:firstLine="720"/>
        <w:jc w:val="both"/>
        <w:rPr>
          <w:rFonts w:eastAsia="Calibri"/>
          <w:color w:val="000000" w:themeColor="text1"/>
          <w:shd w:val="clear" w:color="auto" w:fill="FFFFFF"/>
          <w:lang w:eastAsia="en-US"/>
        </w:rPr>
      </w:pPr>
      <w:r w:rsidRPr="00307028">
        <w:rPr>
          <w:rFonts w:eastAsiaTheme="minorHAnsi" w:cstheme="minorBidi"/>
          <w:kern w:val="2"/>
          <w:szCs w:val="22"/>
          <w:lang w:eastAsia="en-US"/>
          <w14:ligatures w14:val="standardContextual"/>
        </w:rPr>
        <w:t>IeM ierosina finansējumu materiālās palīdzības piešķiršanai repatrianta statusu saņēmušām personām</w:t>
      </w:r>
      <w:r w:rsidRPr="00307028">
        <w:rPr>
          <w:rFonts w:eastAsiaTheme="minorHAnsi" w:cstheme="minorBidi"/>
          <w:bCs/>
          <w:kern w:val="2"/>
          <w:szCs w:val="22"/>
          <w:lang w:eastAsia="en-US"/>
          <w14:ligatures w14:val="standardContextual"/>
        </w:rPr>
        <w:t xml:space="preserve"> 71 143 </w:t>
      </w:r>
      <w:r w:rsidRPr="00307028">
        <w:rPr>
          <w:rFonts w:eastAsiaTheme="minorHAnsi" w:cstheme="minorBidi"/>
          <w:bCs/>
          <w:i/>
          <w:iCs/>
          <w:kern w:val="2"/>
          <w:szCs w:val="22"/>
          <w:lang w:eastAsia="en-US"/>
          <w14:ligatures w14:val="standardContextual"/>
        </w:rPr>
        <w:t>euro</w:t>
      </w:r>
      <w:r w:rsidRPr="00307028">
        <w:rPr>
          <w:rFonts w:eastAsiaTheme="minorHAnsi" w:cstheme="minorBidi"/>
          <w:i/>
          <w:kern w:val="2"/>
          <w:szCs w:val="22"/>
          <w:lang w:eastAsia="en-US"/>
          <w14:ligatures w14:val="standardContextual"/>
        </w:rPr>
        <w:t xml:space="preserve"> </w:t>
      </w:r>
      <w:r w:rsidRPr="00307028">
        <w:rPr>
          <w:rFonts w:eastAsiaTheme="minorHAnsi" w:cstheme="minorBidi"/>
          <w:kern w:val="2"/>
          <w:szCs w:val="22"/>
          <w:lang w:eastAsia="en-US"/>
          <w14:ligatures w14:val="standardContextual"/>
        </w:rPr>
        <w:t>apmērā novirzīt:</w:t>
      </w:r>
      <w:r w:rsidRPr="00307028">
        <w:rPr>
          <w:rFonts w:eastAsiaTheme="minorHAnsi" w:cstheme="minorBidi"/>
          <w:kern w:val="2"/>
          <w:szCs w:val="22"/>
          <w:lang w:eastAsia="en-US"/>
          <w14:ligatures w14:val="standardContextual"/>
        </w:rPr>
        <w:tab/>
      </w:r>
    </w:p>
    <w:p w14:paraId="52DCDEAA" w14:textId="4EEDEE03" w:rsidR="00EE3DBD" w:rsidRPr="00307028" w:rsidRDefault="00EE3DBD" w:rsidP="00070D5F">
      <w:pPr>
        <w:pStyle w:val="ListParagraph"/>
        <w:numPr>
          <w:ilvl w:val="0"/>
          <w:numId w:val="39"/>
        </w:numPr>
        <w:spacing w:after="120" w:line="259" w:lineRule="auto"/>
        <w:jc w:val="both"/>
        <w:rPr>
          <w:rFonts w:eastAsiaTheme="minorEastAsia"/>
          <w:szCs w:val="22"/>
          <w:lang w:eastAsia="en-US"/>
        </w:rPr>
      </w:pPr>
      <w:r w:rsidRPr="00307028">
        <w:rPr>
          <w:rFonts w:eastAsiaTheme="minorEastAsia"/>
          <w:szCs w:val="22"/>
          <w:lang w:eastAsia="en-US"/>
        </w:rPr>
        <w:t xml:space="preserve">uztura un dienasnaudas </w:t>
      </w:r>
      <w:r w:rsidR="00357356" w:rsidRPr="00307028">
        <w:rPr>
          <w:rFonts w:eastAsiaTheme="minorEastAsia"/>
          <w:szCs w:val="22"/>
          <w:lang w:eastAsia="en-US"/>
        </w:rPr>
        <w:t>(</w:t>
      </w:r>
      <w:r w:rsidRPr="00307028">
        <w:rPr>
          <w:rFonts w:eastAsiaTheme="minorEastAsia"/>
          <w:szCs w:val="22"/>
          <w:lang w:eastAsia="en-US"/>
        </w:rPr>
        <w:t xml:space="preserve">3 </w:t>
      </w:r>
      <w:r w:rsidRPr="00307028">
        <w:rPr>
          <w:rFonts w:eastAsiaTheme="minorEastAsia"/>
          <w:i/>
          <w:szCs w:val="22"/>
          <w:lang w:eastAsia="en-US"/>
        </w:rPr>
        <w:t>euro</w:t>
      </w:r>
      <w:r w:rsidR="00357356" w:rsidRPr="00307028">
        <w:rPr>
          <w:rFonts w:eastAsiaTheme="minorEastAsia"/>
          <w:iCs/>
          <w:szCs w:val="22"/>
          <w:lang w:eastAsia="en-US"/>
        </w:rPr>
        <w:t>)</w:t>
      </w:r>
      <w:r w:rsidRPr="00307028">
        <w:rPr>
          <w:rFonts w:eastAsiaTheme="minorEastAsia"/>
          <w:szCs w:val="22"/>
          <w:lang w:eastAsia="en-US"/>
        </w:rPr>
        <w:t xml:space="preserve"> izmaksas nodrošināšanai patvēruma meklētājiem – 56 181 </w:t>
      </w:r>
      <w:r w:rsidRPr="00307028">
        <w:rPr>
          <w:rFonts w:eastAsiaTheme="minorEastAsia"/>
          <w:i/>
          <w:szCs w:val="22"/>
          <w:lang w:eastAsia="en-US"/>
        </w:rPr>
        <w:t>euro.</w:t>
      </w:r>
    </w:p>
    <w:p w14:paraId="7E5701B0" w14:textId="250565DC" w:rsidR="00EE3DBD" w:rsidRPr="00307028" w:rsidRDefault="00EE3DBD" w:rsidP="004618F2">
      <w:pPr>
        <w:spacing w:after="120" w:line="259" w:lineRule="auto"/>
        <w:ind w:firstLine="720"/>
        <w:jc w:val="both"/>
        <w:rPr>
          <w:rFonts w:eastAsiaTheme="minorEastAsia"/>
          <w:szCs w:val="22"/>
          <w:lang w:eastAsia="en-US"/>
        </w:rPr>
      </w:pPr>
      <w:r w:rsidRPr="00307028">
        <w:rPr>
          <w:rFonts w:eastAsiaTheme="minorEastAsia"/>
          <w:szCs w:val="22"/>
          <w:lang w:eastAsia="en-US"/>
        </w:rPr>
        <w:t xml:space="preserve">Saskaņā ar MK 2016. gada 12. jūlija noteikumu Nr. 449 “Noteikumi par patvēruma meklētāja uzturam un dienasnaudas izmaksai paredzēto izdevumu apmēru un segšanas kārtību” 2. punktu uztura un dienasnaudas apmērs patvēruma meklētājam ir 3,00 </w:t>
      </w:r>
      <w:r w:rsidRPr="00307028">
        <w:rPr>
          <w:rFonts w:eastAsiaTheme="minorEastAsia"/>
          <w:i/>
          <w:szCs w:val="22"/>
          <w:lang w:eastAsia="en-US"/>
        </w:rPr>
        <w:t>euro</w:t>
      </w:r>
      <w:r w:rsidRPr="00307028">
        <w:rPr>
          <w:rFonts w:eastAsiaTheme="minorEastAsia"/>
          <w:szCs w:val="22"/>
          <w:lang w:eastAsia="en-US"/>
        </w:rPr>
        <w:t xml:space="preserve"> diennaktī. PML</w:t>
      </w:r>
      <w:r w:rsidR="00357356" w:rsidRPr="00307028">
        <w:rPr>
          <w:rFonts w:eastAsiaTheme="minorEastAsia"/>
          <w:szCs w:val="22"/>
          <w:lang w:eastAsia="en-US"/>
        </w:rPr>
        <w:t>P</w:t>
      </w:r>
      <w:r w:rsidRPr="00307028">
        <w:rPr>
          <w:rFonts w:eastAsiaTheme="minorEastAsia"/>
          <w:szCs w:val="22"/>
          <w:lang w:eastAsia="en-US"/>
        </w:rPr>
        <w:t xml:space="preserve"> šim mērķim gadā plānots finansējums 44 100 </w:t>
      </w:r>
      <w:r w:rsidRPr="00307028">
        <w:rPr>
          <w:rFonts w:eastAsiaTheme="minorEastAsia"/>
          <w:i/>
          <w:szCs w:val="22"/>
          <w:lang w:eastAsia="en-US"/>
        </w:rPr>
        <w:t>euro</w:t>
      </w:r>
      <w:r w:rsidRPr="00307028">
        <w:rPr>
          <w:rFonts w:eastAsiaTheme="minorEastAsia"/>
          <w:szCs w:val="22"/>
          <w:lang w:eastAsia="en-US"/>
        </w:rPr>
        <w:t xml:space="preserve"> apmērā, tomēr tas nav pietiekams </w:t>
      </w:r>
      <w:r w:rsidR="00357356" w:rsidRPr="00307028">
        <w:rPr>
          <w:rFonts w:eastAsiaTheme="minorEastAsia"/>
          <w:szCs w:val="22"/>
          <w:lang w:eastAsia="en-US"/>
        </w:rPr>
        <w:t>(</w:t>
      </w:r>
      <w:r w:rsidRPr="00307028">
        <w:rPr>
          <w:rFonts w:eastAsiaTheme="minorEastAsia"/>
          <w:iCs/>
          <w:szCs w:val="22"/>
          <w:lang w:eastAsia="en-US"/>
        </w:rPr>
        <w:t>piemēram,</w:t>
      </w:r>
      <w:r w:rsidRPr="00307028">
        <w:rPr>
          <w:rFonts w:eastAsiaTheme="minorEastAsia"/>
          <w:szCs w:val="22"/>
          <w:lang w:eastAsia="en-US"/>
        </w:rPr>
        <w:t xml:space="preserve"> 2022. gadā no valsts budžeta programmas 02.00.00 “Līdzekļiem neparedzētiem gadījumiem” tika piešķirts papildu finansējums MK 2021. gada 10. augusta rīkojuma Nr. 518 “Par ārkārtējās situācijas izsludināšanu” izpildes nodrošināšanai, lai patvēruma meklētājiem nodrošinātu uztura un dienasnaudas izmaksu</w:t>
      </w:r>
      <w:r w:rsidR="00357356" w:rsidRPr="00307028">
        <w:rPr>
          <w:rFonts w:eastAsiaTheme="minorEastAsia"/>
          <w:szCs w:val="22"/>
          <w:lang w:eastAsia="en-US"/>
        </w:rPr>
        <w:t>)</w:t>
      </w:r>
      <w:r w:rsidRPr="00307028">
        <w:rPr>
          <w:rFonts w:eastAsiaTheme="minorEastAsia"/>
          <w:szCs w:val="22"/>
          <w:lang w:eastAsia="en-US"/>
        </w:rPr>
        <w:t>.</w:t>
      </w:r>
    </w:p>
    <w:p w14:paraId="6AE8A649" w14:textId="3DEDCD18" w:rsidR="00EE3DBD" w:rsidRPr="00307028" w:rsidRDefault="00EE3DBD" w:rsidP="00DB4AD2">
      <w:pPr>
        <w:spacing w:after="120" w:line="259" w:lineRule="auto"/>
        <w:ind w:firstLine="720"/>
        <w:jc w:val="both"/>
        <w:rPr>
          <w:rFonts w:eastAsiaTheme="minorEastAsia"/>
          <w:szCs w:val="22"/>
          <w:lang w:eastAsia="en-US"/>
        </w:rPr>
      </w:pPr>
      <w:r w:rsidRPr="00307028">
        <w:rPr>
          <w:rFonts w:eastAsiaTheme="minorEastAsia"/>
          <w:szCs w:val="22"/>
          <w:lang w:eastAsia="en-US"/>
        </w:rPr>
        <w:t>Patvērumu meklētāju izmitināšanas centrā vidēji dienā uzturas no 90 līdz 100 patvēruma meklēt</w:t>
      </w:r>
      <w:r w:rsidR="00357356" w:rsidRPr="00307028">
        <w:rPr>
          <w:rFonts w:eastAsiaTheme="minorEastAsia"/>
          <w:szCs w:val="22"/>
          <w:lang w:eastAsia="en-US"/>
        </w:rPr>
        <w:t>ā</w:t>
      </w:r>
      <w:r w:rsidRPr="00307028">
        <w:rPr>
          <w:rFonts w:eastAsiaTheme="minorEastAsia"/>
          <w:szCs w:val="22"/>
          <w:lang w:eastAsia="en-US"/>
        </w:rPr>
        <w:t>jiem. Lai nodrošinātu uztura un dienasnaudas izmaksu vidēji gadā nepieciešams finansējums 100 281 </w:t>
      </w:r>
      <w:r w:rsidRPr="00307028">
        <w:rPr>
          <w:rFonts w:eastAsiaTheme="minorEastAsia"/>
          <w:i/>
          <w:szCs w:val="22"/>
          <w:lang w:eastAsia="en-US"/>
        </w:rPr>
        <w:t>euro</w:t>
      </w:r>
      <w:r w:rsidRPr="00307028">
        <w:rPr>
          <w:rFonts w:eastAsiaTheme="minorEastAsia"/>
          <w:szCs w:val="22"/>
          <w:lang w:eastAsia="en-US"/>
        </w:rPr>
        <w:t xml:space="preserve"> (aptuveni 92 personas)</w:t>
      </w:r>
      <w:r w:rsidR="00357356" w:rsidRPr="00307028">
        <w:rPr>
          <w:rFonts w:eastAsiaTheme="minorEastAsia"/>
          <w:szCs w:val="22"/>
          <w:lang w:eastAsia="en-US"/>
        </w:rPr>
        <w:t xml:space="preserve"> apmērā</w:t>
      </w:r>
      <w:r w:rsidRPr="00307028">
        <w:rPr>
          <w:rFonts w:eastAsiaTheme="minorEastAsia"/>
          <w:szCs w:val="22"/>
          <w:lang w:eastAsia="en-US"/>
        </w:rPr>
        <w:t xml:space="preserve">, tādējādi </w:t>
      </w:r>
      <w:r w:rsidR="00357356" w:rsidRPr="00307028">
        <w:rPr>
          <w:rFonts w:eastAsiaTheme="minorEastAsia"/>
          <w:szCs w:val="22"/>
          <w:lang w:eastAsia="en-US"/>
        </w:rPr>
        <w:t xml:space="preserve">bez šim mērķim jau ieplānotā finansējuma </w:t>
      </w:r>
      <w:r w:rsidRPr="00307028">
        <w:rPr>
          <w:rFonts w:eastAsiaTheme="minorEastAsia"/>
          <w:szCs w:val="22"/>
          <w:lang w:eastAsia="en-US"/>
        </w:rPr>
        <w:t>papildus</w:t>
      </w:r>
      <w:r w:rsidR="00357356" w:rsidRPr="00307028">
        <w:rPr>
          <w:rFonts w:eastAsiaTheme="minorEastAsia"/>
          <w:szCs w:val="22"/>
          <w:lang w:eastAsia="en-US"/>
        </w:rPr>
        <w:t xml:space="preserve"> </w:t>
      </w:r>
      <w:r w:rsidRPr="00307028">
        <w:rPr>
          <w:rFonts w:eastAsiaTheme="minorEastAsia"/>
          <w:szCs w:val="22"/>
          <w:lang w:eastAsia="en-US"/>
        </w:rPr>
        <w:t>nepieciešam</w:t>
      </w:r>
      <w:r w:rsidR="00357356" w:rsidRPr="00307028">
        <w:rPr>
          <w:rFonts w:eastAsiaTheme="minorEastAsia"/>
          <w:szCs w:val="22"/>
          <w:lang w:eastAsia="en-US"/>
        </w:rPr>
        <w:t>ai</w:t>
      </w:r>
      <w:r w:rsidRPr="00307028">
        <w:rPr>
          <w:rFonts w:eastAsiaTheme="minorEastAsia"/>
          <w:szCs w:val="22"/>
          <w:lang w:eastAsia="en-US"/>
        </w:rPr>
        <w:t xml:space="preserve">s finansējums </w:t>
      </w:r>
      <w:r w:rsidR="00357356" w:rsidRPr="00307028">
        <w:rPr>
          <w:rFonts w:eastAsiaTheme="minorEastAsia"/>
          <w:szCs w:val="22"/>
          <w:lang w:eastAsia="en-US"/>
        </w:rPr>
        <w:t xml:space="preserve">gadā ir </w:t>
      </w:r>
      <w:r w:rsidRPr="00307028">
        <w:rPr>
          <w:rFonts w:eastAsiaTheme="minorEastAsia"/>
          <w:szCs w:val="22"/>
          <w:lang w:eastAsia="en-US"/>
        </w:rPr>
        <w:t xml:space="preserve">56 181 </w:t>
      </w:r>
      <w:r w:rsidRPr="00307028">
        <w:rPr>
          <w:rFonts w:eastAsiaTheme="minorEastAsia"/>
          <w:i/>
          <w:szCs w:val="22"/>
          <w:lang w:eastAsia="en-US"/>
        </w:rPr>
        <w:t>euro</w:t>
      </w:r>
      <w:r w:rsidRPr="00307028">
        <w:rPr>
          <w:rFonts w:eastAsiaTheme="minorEastAsia"/>
          <w:szCs w:val="22"/>
          <w:lang w:eastAsia="en-US"/>
        </w:rPr>
        <w:t>;</w:t>
      </w:r>
    </w:p>
    <w:p w14:paraId="7A402757" w14:textId="77777777" w:rsidR="00EE3DBD" w:rsidRPr="00307028" w:rsidRDefault="00EE3DBD" w:rsidP="00070D5F">
      <w:pPr>
        <w:pStyle w:val="ListParagraph"/>
        <w:numPr>
          <w:ilvl w:val="0"/>
          <w:numId w:val="39"/>
        </w:numPr>
        <w:spacing w:after="120" w:line="259" w:lineRule="auto"/>
        <w:jc w:val="both"/>
        <w:rPr>
          <w:rFonts w:eastAsiaTheme="minorEastAsia"/>
          <w:szCs w:val="22"/>
          <w:lang w:eastAsia="en-US"/>
        </w:rPr>
      </w:pPr>
      <w:r w:rsidRPr="00307028">
        <w:rPr>
          <w:rFonts w:eastAsiaTheme="minorEastAsia"/>
          <w:lang w:eastAsia="en-US"/>
        </w:rPr>
        <w:t xml:space="preserve">vienreizēja finansiāla atbalsta nodrošināšanai </w:t>
      </w:r>
      <w:r w:rsidRPr="00307028">
        <w:rPr>
          <w:rFonts w:eastAsiaTheme="minorEastAsia"/>
          <w:shd w:val="clear" w:color="auto" w:fill="FFFFFF"/>
          <w:lang w:eastAsia="en-US"/>
        </w:rPr>
        <w:t xml:space="preserve">bēglim un alternatīvo statusu ieguvušai personai – 14 962 </w:t>
      </w:r>
      <w:r w:rsidRPr="00307028">
        <w:rPr>
          <w:rFonts w:eastAsiaTheme="minorEastAsia"/>
          <w:i/>
          <w:shd w:val="clear" w:color="auto" w:fill="FFFFFF"/>
          <w:lang w:eastAsia="en-US"/>
        </w:rPr>
        <w:t>euro</w:t>
      </w:r>
      <w:r w:rsidRPr="00307028">
        <w:rPr>
          <w:rFonts w:eastAsiaTheme="minorEastAsia"/>
          <w:shd w:val="clear" w:color="auto" w:fill="FFFFFF"/>
          <w:lang w:eastAsia="en-US"/>
        </w:rPr>
        <w:t>.</w:t>
      </w:r>
    </w:p>
    <w:p w14:paraId="0A32394F" w14:textId="5D2B5CEA" w:rsidR="00EE3DBD" w:rsidRPr="00307028" w:rsidRDefault="00EE3DBD" w:rsidP="00DB4AD2">
      <w:pPr>
        <w:spacing w:after="120" w:line="259" w:lineRule="auto"/>
        <w:ind w:firstLine="720"/>
        <w:jc w:val="both"/>
        <w:rPr>
          <w:rFonts w:eastAsiaTheme="minorEastAsia"/>
          <w:szCs w:val="22"/>
          <w:lang w:eastAsia="en-US"/>
        </w:rPr>
      </w:pPr>
      <w:r w:rsidRPr="00307028">
        <w:rPr>
          <w:rFonts w:eastAsiaTheme="minorEastAsia" w:cstheme="minorBidi"/>
          <w:lang w:eastAsia="en-US"/>
        </w:rPr>
        <w:t>Saskaņā ar MK 2017. gada 6. jūnija noteikumu Nr. 302 “Noteikumi par vienreizējo finansiālo atbalstu un pabalstu uzturēšanās izmaksu segšanai bēglim un alternatīvo statusu ieguvušai personai” 2. punktu ir paredzēts šāds atbalsta apmērs personām, kurām piešķirts bēgļa vai alternatīvais statuss: pilngadīgai personai – 278 </w:t>
      </w:r>
      <w:r w:rsidRPr="00307028">
        <w:rPr>
          <w:rFonts w:eastAsiaTheme="minorEastAsia" w:cstheme="minorBidi"/>
          <w:i/>
          <w:lang w:eastAsia="en-US"/>
        </w:rPr>
        <w:t>euro</w:t>
      </w:r>
      <w:r w:rsidRPr="00307028">
        <w:rPr>
          <w:rFonts w:eastAsiaTheme="minorEastAsia" w:cstheme="minorBidi"/>
          <w:lang w:eastAsia="en-US"/>
        </w:rPr>
        <w:t>, ja personas ir laulātie, tad vienai personai – 278 </w:t>
      </w:r>
      <w:r w:rsidRPr="00307028">
        <w:rPr>
          <w:rFonts w:eastAsiaTheme="minorEastAsia" w:cstheme="minorBidi"/>
          <w:i/>
          <w:lang w:eastAsia="en-US"/>
        </w:rPr>
        <w:t>euro</w:t>
      </w:r>
      <w:r w:rsidRPr="00307028">
        <w:rPr>
          <w:rFonts w:eastAsiaTheme="minorEastAsia" w:cstheme="minorBidi"/>
          <w:lang w:eastAsia="en-US"/>
        </w:rPr>
        <w:t>, otrai personai – 194 </w:t>
      </w:r>
      <w:r w:rsidRPr="00307028">
        <w:rPr>
          <w:rFonts w:eastAsiaTheme="minorEastAsia" w:cstheme="minorBidi"/>
          <w:i/>
          <w:lang w:eastAsia="en-US"/>
        </w:rPr>
        <w:t>euro</w:t>
      </w:r>
      <w:r w:rsidRPr="00307028">
        <w:rPr>
          <w:rFonts w:eastAsiaTheme="minorEastAsia" w:cstheme="minorBidi"/>
          <w:lang w:eastAsia="en-US"/>
        </w:rPr>
        <w:t>; nepilngadīgai personai – 194 </w:t>
      </w:r>
      <w:r w:rsidRPr="00307028">
        <w:rPr>
          <w:rFonts w:eastAsiaTheme="minorEastAsia" w:cstheme="minorBidi"/>
          <w:i/>
          <w:lang w:eastAsia="en-US"/>
        </w:rPr>
        <w:t>euro</w:t>
      </w:r>
      <w:r w:rsidRPr="00307028">
        <w:rPr>
          <w:rFonts w:eastAsiaTheme="minorEastAsia" w:cstheme="minorBidi"/>
          <w:lang w:eastAsia="en-US"/>
        </w:rPr>
        <w:t>. PML</w:t>
      </w:r>
      <w:r w:rsidR="00357356" w:rsidRPr="00307028">
        <w:rPr>
          <w:rFonts w:eastAsiaTheme="minorEastAsia" w:cstheme="minorBidi"/>
          <w:lang w:eastAsia="en-US"/>
        </w:rPr>
        <w:t>P</w:t>
      </w:r>
      <w:r w:rsidRPr="00307028">
        <w:rPr>
          <w:rFonts w:eastAsiaTheme="minorEastAsia" w:cstheme="minorBidi"/>
          <w:lang w:eastAsia="en-US"/>
        </w:rPr>
        <w:t xml:space="preserve"> šim mērķim plānots finansējums 17 918 </w:t>
      </w:r>
      <w:r w:rsidRPr="00307028">
        <w:rPr>
          <w:rFonts w:eastAsiaTheme="minorEastAsia" w:cstheme="minorBidi"/>
          <w:i/>
          <w:lang w:eastAsia="en-US"/>
        </w:rPr>
        <w:t>euro</w:t>
      </w:r>
      <w:r w:rsidRPr="00307028">
        <w:rPr>
          <w:rFonts w:eastAsiaTheme="minorEastAsia" w:cstheme="minorBidi"/>
          <w:lang w:eastAsia="en-US"/>
        </w:rPr>
        <w:t>.</w:t>
      </w:r>
    </w:p>
    <w:p w14:paraId="43CD3330" w14:textId="01639D23" w:rsidR="00EE3DBD" w:rsidRPr="00307028" w:rsidRDefault="00EE3DBD" w:rsidP="00DB4AD2">
      <w:pPr>
        <w:spacing w:after="120" w:line="259" w:lineRule="auto"/>
        <w:ind w:firstLine="720"/>
        <w:jc w:val="both"/>
        <w:rPr>
          <w:rFonts w:eastAsiaTheme="minorEastAsia" w:cstheme="minorBidi"/>
          <w:lang w:eastAsia="en-US"/>
        </w:rPr>
      </w:pPr>
      <w:r w:rsidRPr="00307028">
        <w:rPr>
          <w:rFonts w:eastAsiaTheme="minorEastAsia" w:cstheme="minorBidi"/>
          <w:lang w:eastAsia="en-US"/>
        </w:rPr>
        <w:t xml:space="preserve">Vidēji gadā prognozēts piešķirt bēgļa vai alternatīvo statusu aptuveni 150 personām. Pieņemot, ka par 30% no statusa saņēmējiem tiks pieņemts lēmums vienreizējā pabalsta izmaksai 278 </w:t>
      </w:r>
      <w:r w:rsidRPr="00307028">
        <w:rPr>
          <w:rFonts w:eastAsiaTheme="minorEastAsia" w:cstheme="minorBidi"/>
          <w:i/>
          <w:lang w:eastAsia="en-US"/>
        </w:rPr>
        <w:t>euro</w:t>
      </w:r>
      <w:r w:rsidRPr="00307028">
        <w:rPr>
          <w:rFonts w:eastAsiaTheme="minorEastAsia" w:cstheme="minorBidi"/>
          <w:lang w:eastAsia="en-US"/>
        </w:rPr>
        <w:t xml:space="preserve"> apmērā (aptuveni 45 personas) un par 70% no statusa saņēmējiem tiks pieņemts lēmums vienreizējā pabalsta izmaksai 194 </w:t>
      </w:r>
      <w:r w:rsidRPr="00307028">
        <w:rPr>
          <w:rFonts w:eastAsiaTheme="minorEastAsia" w:cstheme="minorBidi"/>
          <w:i/>
          <w:lang w:eastAsia="en-US"/>
        </w:rPr>
        <w:t>euro</w:t>
      </w:r>
      <w:r w:rsidRPr="00307028">
        <w:rPr>
          <w:rFonts w:eastAsiaTheme="minorEastAsia" w:cstheme="minorBidi"/>
          <w:lang w:eastAsia="en-US"/>
        </w:rPr>
        <w:t xml:space="preserve"> (aptuveni 105 personas)</w:t>
      </w:r>
      <w:r w:rsidR="00357356" w:rsidRPr="00307028">
        <w:rPr>
          <w:rFonts w:eastAsiaTheme="minorEastAsia" w:cstheme="minorBidi"/>
          <w:lang w:eastAsia="en-US"/>
        </w:rPr>
        <w:t xml:space="preserve"> apmērā</w:t>
      </w:r>
      <w:r w:rsidRPr="00307028">
        <w:rPr>
          <w:rFonts w:eastAsiaTheme="minorEastAsia" w:cstheme="minorBidi"/>
          <w:lang w:eastAsia="en-US"/>
        </w:rPr>
        <w:t xml:space="preserve">, gadā nepieciešams finansējums 32 880 </w:t>
      </w:r>
      <w:r w:rsidRPr="00307028">
        <w:rPr>
          <w:rFonts w:eastAsiaTheme="minorEastAsia" w:cstheme="minorBidi"/>
          <w:i/>
          <w:lang w:eastAsia="en-US"/>
        </w:rPr>
        <w:t>euro</w:t>
      </w:r>
      <w:r w:rsidRPr="00307028">
        <w:rPr>
          <w:rFonts w:eastAsiaTheme="minorEastAsia" w:cstheme="minorBidi"/>
          <w:lang w:eastAsia="en-US"/>
        </w:rPr>
        <w:t xml:space="preserve"> apmērā. Tādējādi papildu </w:t>
      </w:r>
      <w:r w:rsidR="00357356" w:rsidRPr="00307028">
        <w:rPr>
          <w:rFonts w:eastAsiaTheme="minorEastAsia" w:cstheme="minorBidi"/>
          <w:lang w:eastAsia="en-US"/>
        </w:rPr>
        <w:t xml:space="preserve">bez šim mērķim jau ieplānotā finansējuma 17 918 </w:t>
      </w:r>
      <w:r w:rsidR="00357356" w:rsidRPr="00307028">
        <w:rPr>
          <w:rFonts w:eastAsiaTheme="minorEastAsia" w:cstheme="minorBidi"/>
          <w:i/>
          <w:iCs/>
          <w:lang w:eastAsia="en-US"/>
        </w:rPr>
        <w:t>euro</w:t>
      </w:r>
      <w:r w:rsidR="00357356" w:rsidRPr="00307028">
        <w:rPr>
          <w:rFonts w:eastAsiaTheme="minorEastAsia" w:cstheme="minorBidi"/>
          <w:lang w:eastAsia="en-US"/>
        </w:rPr>
        <w:t xml:space="preserve"> apmērā</w:t>
      </w:r>
      <w:r w:rsidRPr="00307028">
        <w:rPr>
          <w:rFonts w:eastAsiaTheme="minorEastAsia" w:cstheme="minorBidi"/>
          <w:lang w:eastAsia="en-US"/>
        </w:rPr>
        <w:t xml:space="preserve"> nepieciešam</w:t>
      </w:r>
      <w:r w:rsidR="00357356" w:rsidRPr="00307028">
        <w:rPr>
          <w:rFonts w:eastAsiaTheme="minorEastAsia" w:cstheme="minorBidi"/>
          <w:lang w:eastAsia="en-US"/>
        </w:rPr>
        <w:t>ai</w:t>
      </w:r>
      <w:r w:rsidRPr="00307028">
        <w:rPr>
          <w:rFonts w:eastAsiaTheme="minorEastAsia" w:cstheme="minorBidi"/>
          <w:lang w:eastAsia="en-US"/>
        </w:rPr>
        <w:t xml:space="preserve">s finansējums </w:t>
      </w:r>
      <w:r w:rsidR="00357356" w:rsidRPr="00307028">
        <w:rPr>
          <w:rFonts w:eastAsiaTheme="minorEastAsia" w:cstheme="minorBidi"/>
          <w:lang w:eastAsia="en-US"/>
        </w:rPr>
        <w:t xml:space="preserve">ir </w:t>
      </w:r>
      <w:r w:rsidRPr="00307028">
        <w:rPr>
          <w:rFonts w:eastAsiaTheme="minorEastAsia" w:cstheme="minorBidi"/>
          <w:lang w:eastAsia="en-US"/>
        </w:rPr>
        <w:t>14 962 </w:t>
      </w:r>
      <w:r w:rsidRPr="00307028">
        <w:rPr>
          <w:rFonts w:eastAsiaTheme="minorEastAsia" w:cstheme="minorBidi"/>
          <w:i/>
          <w:lang w:eastAsia="en-US"/>
        </w:rPr>
        <w:t>euro</w:t>
      </w:r>
      <w:r w:rsidRPr="00307028">
        <w:rPr>
          <w:rFonts w:eastAsiaTheme="minorEastAsia" w:cstheme="minorBidi"/>
          <w:lang w:eastAsia="en-US"/>
        </w:rPr>
        <w:t xml:space="preserve"> </w:t>
      </w:r>
      <w:r w:rsidR="00357356" w:rsidRPr="00307028">
        <w:rPr>
          <w:rFonts w:eastAsiaTheme="minorEastAsia" w:cstheme="minorBidi"/>
          <w:lang w:eastAsia="en-US"/>
        </w:rPr>
        <w:t xml:space="preserve">gadā. </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21F92B7A" w14:textId="77777777" w:rsidTr="0033230F">
        <w:trPr>
          <w:jc w:val="center"/>
        </w:trPr>
        <w:tc>
          <w:tcPr>
            <w:tcW w:w="709" w:type="dxa"/>
            <w:shd w:val="clear" w:color="auto" w:fill="B2D9EC"/>
            <w:vAlign w:val="center"/>
          </w:tcPr>
          <w:p w14:paraId="323187B6" w14:textId="77777777" w:rsidR="00EE3DBD" w:rsidRPr="00307028" w:rsidRDefault="00EE3DBD" w:rsidP="00EE3DBD">
            <w:pPr>
              <w:jc w:val="center"/>
              <w:rPr>
                <w:rFonts w:eastAsia="Calibri"/>
                <w:szCs w:val="22"/>
                <w:lang w:eastAsia="en-US"/>
              </w:rPr>
            </w:pPr>
            <w:bookmarkStart w:id="65" w:name="_Hlk139443115"/>
            <w:r w:rsidRPr="00307028">
              <w:rPr>
                <w:rFonts w:eastAsia="Calibri"/>
                <w:szCs w:val="22"/>
                <w:lang w:eastAsia="en-US"/>
              </w:rPr>
              <w:t>2024</w:t>
            </w:r>
          </w:p>
        </w:tc>
        <w:tc>
          <w:tcPr>
            <w:tcW w:w="1413" w:type="dxa"/>
            <w:vAlign w:val="center"/>
          </w:tcPr>
          <w:p w14:paraId="313031B3" w14:textId="77777777" w:rsidR="00EE3DBD" w:rsidRPr="00307028" w:rsidRDefault="00EE3DBD" w:rsidP="00EE3DBD">
            <w:pPr>
              <w:jc w:val="center"/>
              <w:rPr>
                <w:rFonts w:eastAsia="Calibri"/>
                <w:szCs w:val="22"/>
                <w:lang w:eastAsia="en-US"/>
              </w:rPr>
            </w:pPr>
            <w:r w:rsidRPr="00307028">
              <w:rPr>
                <w:rFonts w:eastAsia="Calibri"/>
                <w:szCs w:val="22"/>
                <w:lang w:eastAsia="en-US"/>
              </w:rPr>
              <w:t>71 143</w:t>
            </w:r>
          </w:p>
        </w:tc>
        <w:tc>
          <w:tcPr>
            <w:tcW w:w="696" w:type="dxa"/>
            <w:shd w:val="clear" w:color="auto" w:fill="B2D9EC"/>
            <w:vAlign w:val="center"/>
          </w:tcPr>
          <w:p w14:paraId="20EF7F0A"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1EE96266" w14:textId="77777777" w:rsidR="00EE3DBD" w:rsidRPr="00307028" w:rsidRDefault="00EE3DBD" w:rsidP="00EE3DBD">
            <w:pPr>
              <w:jc w:val="center"/>
              <w:rPr>
                <w:rFonts w:eastAsia="Calibri"/>
                <w:szCs w:val="22"/>
                <w:lang w:eastAsia="en-US"/>
              </w:rPr>
            </w:pPr>
            <w:r w:rsidRPr="00307028">
              <w:rPr>
                <w:rFonts w:eastAsia="Calibri"/>
                <w:szCs w:val="22"/>
                <w:lang w:eastAsia="en-US"/>
              </w:rPr>
              <w:t>71 143</w:t>
            </w:r>
          </w:p>
        </w:tc>
        <w:tc>
          <w:tcPr>
            <w:tcW w:w="696" w:type="dxa"/>
            <w:shd w:val="clear" w:color="auto" w:fill="B2D9EC"/>
            <w:vAlign w:val="center"/>
          </w:tcPr>
          <w:p w14:paraId="7A70ACA2"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4F9BAAED" w14:textId="77777777" w:rsidR="00EE3DBD" w:rsidRPr="00307028" w:rsidRDefault="00EE3DBD" w:rsidP="00EE3DBD">
            <w:pPr>
              <w:jc w:val="center"/>
              <w:rPr>
                <w:rFonts w:eastAsia="Calibri"/>
                <w:szCs w:val="22"/>
                <w:lang w:eastAsia="en-US"/>
              </w:rPr>
            </w:pPr>
            <w:r w:rsidRPr="00307028">
              <w:rPr>
                <w:rFonts w:eastAsia="Calibri"/>
                <w:szCs w:val="22"/>
                <w:lang w:eastAsia="en-US"/>
              </w:rPr>
              <w:t>71 143</w:t>
            </w:r>
          </w:p>
        </w:tc>
      </w:tr>
    </w:tbl>
    <w:bookmarkEnd w:id="65"/>
    <w:p w14:paraId="496E8379" w14:textId="1576E40D" w:rsidR="00EE3DBD" w:rsidRPr="00307028" w:rsidRDefault="00EE3DBD" w:rsidP="007A7EFC">
      <w:pPr>
        <w:spacing w:before="240" w:after="120" w:line="259" w:lineRule="auto"/>
        <w:jc w:val="both"/>
        <w:rPr>
          <w:rFonts w:eastAsiaTheme="minorEastAsia"/>
          <w:b/>
          <w:bCs/>
          <w:lang w:eastAsia="en-US"/>
        </w:rPr>
      </w:pPr>
      <w:r w:rsidRPr="00307028">
        <w:rPr>
          <w:rFonts w:eastAsiaTheme="minorEastAsia"/>
          <w:b/>
          <w:bCs/>
          <w:lang w:eastAsia="en-US"/>
        </w:rPr>
        <w:t xml:space="preserve">IeM – finansējums </w:t>
      </w:r>
      <w:r w:rsidRPr="00307028">
        <w:rPr>
          <w:rFonts w:eastAsiaTheme="minorEastAsia"/>
          <w:b/>
          <w:lang w:eastAsia="en-US"/>
        </w:rPr>
        <w:t>tiesisku un objektīvu tiesībaizsardzības iestāžu amatpersonu un darbinieku izdarīto noziedzīgo nodarījumu atklāšanai</w:t>
      </w:r>
    </w:p>
    <w:p w14:paraId="2FB69A97" w14:textId="601853CA" w:rsidR="00EE3DBD" w:rsidRPr="00307028" w:rsidRDefault="00EE3DBD" w:rsidP="0033230F">
      <w:pPr>
        <w:spacing w:after="120" w:line="259" w:lineRule="auto"/>
        <w:ind w:firstLine="720"/>
        <w:jc w:val="both"/>
        <w:rPr>
          <w:rFonts w:eastAsiaTheme="minorEastAsia"/>
          <w:lang w:eastAsia="en-US"/>
        </w:rPr>
      </w:pPr>
      <w:r w:rsidRPr="00307028">
        <w:rPr>
          <w:rFonts w:eastAsiaTheme="minorEastAsia"/>
          <w:lang w:eastAsia="en-US"/>
        </w:rPr>
        <w:t>Saskaņā ar MK 2023. gada 13. janvāra ārkārtas sēdes protokollēmuma (prot. Nr.</w:t>
      </w:r>
      <w:r w:rsidR="0033230F" w:rsidRPr="00307028">
        <w:rPr>
          <w:rFonts w:eastAsiaTheme="minorEastAsia"/>
          <w:lang w:eastAsia="en-US"/>
        </w:rPr>
        <w:t xml:space="preserve"> </w:t>
      </w:r>
      <w:r w:rsidRPr="00307028">
        <w:rPr>
          <w:rFonts w:eastAsiaTheme="minorEastAsia"/>
          <w:lang w:eastAsia="en-US"/>
        </w:rPr>
        <w:t>2 1.</w:t>
      </w:r>
      <w:r w:rsidR="00F12FB5" w:rsidRPr="00307028">
        <w:rPr>
          <w:rFonts w:eastAsiaTheme="minorEastAsia"/>
          <w:lang w:eastAsia="en-US"/>
        </w:rPr>
        <w:t xml:space="preserve"> </w:t>
      </w:r>
      <w:r w:rsidRPr="00307028">
        <w:rPr>
          <w:rFonts w:eastAsiaTheme="minorEastAsia"/>
          <w:lang w:eastAsia="en-US"/>
        </w:rPr>
        <w:t xml:space="preserve">§) 18.1. apakšpunktu tika atbalstīts IeM fiskāli neitrālais pasākums “Operatīvās darbības un speciālās izmeklēšanas darbības nodrošināšana” (finansējuma avots – ieņēmumi no naudas sodiem, ko uzliek VP par pārkāpumiem ceļu satiksmē, kas fiksēti ar VP piederošajiem tehniskajiem līdzekļiem), lai nodrošinātu </w:t>
      </w:r>
      <w:bookmarkStart w:id="66" w:name="_Hlk139610447"/>
      <w:bookmarkStart w:id="67" w:name="_Hlk139611502"/>
      <w:r w:rsidRPr="00307028">
        <w:rPr>
          <w:rFonts w:eastAsiaTheme="minorEastAsia"/>
          <w:lang w:eastAsia="en-US"/>
        </w:rPr>
        <w:t>tiesisku un objektīvu tiesībaizsardzības iestāžu amatpersonu un darbinieku izdarīto noziedzīgo nodarījumu atklāšanu</w:t>
      </w:r>
      <w:bookmarkEnd w:id="66"/>
      <w:r w:rsidRPr="00307028">
        <w:rPr>
          <w:rFonts w:eastAsiaTheme="minorEastAsia"/>
          <w:lang w:eastAsia="en-US"/>
        </w:rPr>
        <w:t>, izmeklēšanu un novēršanu</w:t>
      </w:r>
      <w:bookmarkEnd w:id="67"/>
      <w:r w:rsidRPr="00307028">
        <w:rPr>
          <w:rFonts w:eastAsiaTheme="minorEastAsia"/>
          <w:lang w:eastAsia="en-US"/>
        </w:rPr>
        <w:t xml:space="preserve">, palielinot AiM budžeta apakšprogrammā 22.12.00 “Nacionālo bruņoto spēku uzturēšana” valsts pamatbudžeta iestāžu saņemtos transfertus no valsts pamatbudžeta dotācijas </w:t>
      </w:r>
      <w:r w:rsidRPr="00307028">
        <w:rPr>
          <w:rFonts w:eastAsiaTheme="minorEastAsia"/>
          <w:lang w:eastAsia="en-US"/>
        </w:rPr>
        <w:lastRenderedPageBreak/>
        <w:t xml:space="preserve">no vispārējiem ieņēmumiem un attiecīgos izdevumus 2023. – 2025. gadā 260 986 </w:t>
      </w:r>
      <w:r w:rsidRPr="00307028">
        <w:rPr>
          <w:rFonts w:eastAsiaTheme="minorEastAsia"/>
          <w:i/>
          <w:lang w:eastAsia="en-US"/>
        </w:rPr>
        <w:t>euro</w:t>
      </w:r>
      <w:r w:rsidRPr="00307028">
        <w:rPr>
          <w:rFonts w:eastAsiaTheme="minorEastAsia"/>
          <w:lang w:eastAsia="en-US"/>
        </w:rPr>
        <w:t xml:space="preserve"> apmērā ik gadu.</w:t>
      </w:r>
      <w:r w:rsidRPr="00307028">
        <w:rPr>
          <w:rFonts w:eastAsiaTheme="minorEastAsia"/>
          <w:lang w:eastAsia="en-US"/>
        </w:rPr>
        <w:tab/>
      </w:r>
    </w:p>
    <w:p w14:paraId="0B556056" w14:textId="2BE7A6FB" w:rsidR="00EE3DBD" w:rsidRPr="00307028" w:rsidRDefault="00EE3DBD" w:rsidP="0033230F">
      <w:pPr>
        <w:spacing w:after="120" w:line="259" w:lineRule="auto"/>
        <w:ind w:firstLine="720"/>
        <w:jc w:val="both"/>
        <w:rPr>
          <w:rFonts w:eastAsiaTheme="minorEastAsia"/>
          <w:lang w:eastAsia="en-US"/>
        </w:rPr>
      </w:pPr>
      <w:r w:rsidRPr="00307028">
        <w:rPr>
          <w:rFonts w:eastAsiaTheme="minorEastAsia"/>
          <w:lang w:eastAsia="en-US"/>
        </w:rPr>
        <w:t>Lai nodrošinātu papildu nepieciešamo finansējumu 2026. gadā un turpmāk ik gadu, IeM ierosina kā finansēšanas avotu izmantot papildu valsts pamatbudžeta ieņēmumus no naudas sodiem, ko uzliek VP par pārkāpumiem ceļu satiksmē, kas fiksēti ar VP piederošajiem tehniskajiem līdzekļiem. 2023. gada 6 mēnešos saņemtie ieņēmumi no naudas sodiem, ko uzliek VP par pārkāpumiem ceļu satiksmē, kas fiksēti ar VP piederošajiem tehniskajiem līdzekļiem</w:t>
      </w:r>
      <w:r w:rsidR="00F12FB5" w:rsidRPr="00307028">
        <w:rPr>
          <w:rFonts w:eastAsiaTheme="minorEastAsia"/>
          <w:lang w:eastAsia="en-US"/>
        </w:rPr>
        <w:t>,</w:t>
      </w:r>
      <w:r w:rsidRPr="00307028">
        <w:rPr>
          <w:rFonts w:eastAsiaTheme="minorEastAsia"/>
          <w:lang w:eastAsia="en-US"/>
        </w:rPr>
        <w:t xml:space="preserve"> ir 2 660 231 </w:t>
      </w:r>
      <w:r w:rsidRPr="00307028">
        <w:rPr>
          <w:rFonts w:eastAsiaTheme="minorEastAsia"/>
          <w:i/>
          <w:iCs/>
          <w:lang w:eastAsia="en-US"/>
        </w:rPr>
        <w:t>euro</w:t>
      </w:r>
      <w:r w:rsidRPr="00307028">
        <w:rPr>
          <w:rFonts w:eastAsiaTheme="minorEastAsia"/>
          <w:lang w:eastAsia="en-US"/>
        </w:rPr>
        <w:t xml:space="preserve"> (2023. gada plāns – 4 827 796 </w:t>
      </w:r>
      <w:r w:rsidRPr="00307028">
        <w:rPr>
          <w:rFonts w:eastAsiaTheme="minorEastAsia"/>
          <w:i/>
          <w:iCs/>
          <w:lang w:eastAsia="en-US"/>
        </w:rPr>
        <w:t>euro</w:t>
      </w:r>
      <w:r w:rsidRPr="00307028">
        <w:rPr>
          <w:rFonts w:eastAsiaTheme="minorEastAsia"/>
          <w:lang w:eastAsia="en-US"/>
        </w:rPr>
        <w:t>).</w:t>
      </w:r>
    </w:p>
    <w:p w14:paraId="655D6FAC" w14:textId="385F8464" w:rsidR="00EE3DBD" w:rsidRPr="00307028" w:rsidRDefault="00EE3DBD" w:rsidP="0033230F">
      <w:pPr>
        <w:spacing w:after="120" w:line="259" w:lineRule="auto"/>
        <w:ind w:firstLine="720"/>
        <w:jc w:val="both"/>
        <w:rPr>
          <w:rFonts w:eastAsiaTheme="minorEastAsia"/>
          <w:lang w:eastAsia="en-US"/>
        </w:rPr>
      </w:pPr>
      <w:r w:rsidRPr="00307028">
        <w:rPr>
          <w:rFonts w:eastAsiaTheme="minorEastAsia"/>
          <w:lang w:eastAsia="en-US"/>
        </w:rPr>
        <w:t>IeM ierosina palielināt valsts pamatbudžeta ieņēmumus no naudas sodiem, ko uzliek VP par pārkāpumiem ceļu satiksmē, kas fiksēti ar VP piederošajiem tehniskajiem līdzekļiem</w:t>
      </w:r>
      <w:r w:rsidR="00F12FB5" w:rsidRPr="00307028">
        <w:rPr>
          <w:rFonts w:eastAsiaTheme="minorEastAsia"/>
          <w:lang w:eastAsia="en-US"/>
        </w:rPr>
        <w:t>,</w:t>
      </w:r>
      <w:r w:rsidRPr="00307028">
        <w:rPr>
          <w:rFonts w:eastAsiaTheme="minorEastAsia"/>
          <w:lang w:eastAsia="en-US"/>
        </w:rPr>
        <w:t xml:space="preserve"> 2026. gadā un turpmāk ik gadu par </w:t>
      </w:r>
      <w:bookmarkStart w:id="68" w:name="_Hlk139611524"/>
      <w:r w:rsidRPr="00307028">
        <w:rPr>
          <w:rFonts w:eastAsiaTheme="minorEastAsia"/>
          <w:lang w:eastAsia="en-US"/>
        </w:rPr>
        <w:t xml:space="preserve">260 986 </w:t>
      </w:r>
      <w:r w:rsidRPr="00307028">
        <w:rPr>
          <w:rFonts w:eastAsiaTheme="minorEastAsia"/>
          <w:i/>
          <w:iCs/>
          <w:lang w:eastAsia="en-US"/>
        </w:rPr>
        <w:t>euro</w:t>
      </w:r>
      <w:r w:rsidRPr="00307028">
        <w:rPr>
          <w:rFonts w:eastAsiaTheme="minorEastAsia"/>
          <w:lang w:eastAsia="en-US"/>
        </w:rPr>
        <w:t xml:space="preserve"> </w:t>
      </w:r>
      <w:bookmarkEnd w:id="68"/>
      <w:r w:rsidRPr="00307028">
        <w:rPr>
          <w:rFonts w:eastAsiaTheme="minorEastAsia"/>
          <w:lang w:eastAsia="en-US"/>
        </w:rPr>
        <w:t xml:space="preserve">un attiecīgi palielināt dotāciju no vispārējiem ieņēmumiem budžeta programmā 42.00.00 “Iekšējās drošības biroja darbība” 260 986 </w:t>
      </w:r>
      <w:r w:rsidRPr="00307028">
        <w:rPr>
          <w:rFonts w:eastAsiaTheme="minorEastAsia"/>
          <w:i/>
          <w:lang w:eastAsia="en-US"/>
        </w:rPr>
        <w:t>euro</w:t>
      </w:r>
      <w:r w:rsidRPr="00307028">
        <w:rPr>
          <w:rFonts w:eastAsiaTheme="minorEastAsia"/>
          <w:lang w:eastAsia="en-US"/>
        </w:rPr>
        <w:t xml:space="preserve"> apmērā (izdevumi precēm un pakalpojumiem), lai nodrošinātu tiesisku un objektīvu tiesībaizsardzības iestāžu amatpersonu un darbinieku izdarīto noziedzīgo nodarījumu atklāšanu, izmeklēšanu un novēršanu. </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467C421D" w14:textId="77777777" w:rsidTr="0033230F">
        <w:trPr>
          <w:jc w:val="center"/>
        </w:trPr>
        <w:tc>
          <w:tcPr>
            <w:tcW w:w="709" w:type="dxa"/>
            <w:shd w:val="clear" w:color="auto" w:fill="B2D9EC"/>
            <w:vAlign w:val="center"/>
          </w:tcPr>
          <w:p w14:paraId="4C920EAC"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1A49B99F"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c>
          <w:tcPr>
            <w:tcW w:w="696" w:type="dxa"/>
            <w:shd w:val="clear" w:color="auto" w:fill="B2D9EC"/>
            <w:vAlign w:val="center"/>
          </w:tcPr>
          <w:p w14:paraId="1962DA23"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00572E3C"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c>
          <w:tcPr>
            <w:tcW w:w="696" w:type="dxa"/>
            <w:shd w:val="clear" w:color="auto" w:fill="B2D9EC"/>
            <w:vAlign w:val="center"/>
          </w:tcPr>
          <w:p w14:paraId="2B956C25"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1E6291B3" w14:textId="77777777" w:rsidR="00EE3DBD" w:rsidRPr="00307028" w:rsidRDefault="00EE3DBD" w:rsidP="00EE3DBD">
            <w:pPr>
              <w:jc w:val="center"/>
              <w:rPr>
                <w:rFonts w:eastAsia="Calibri"/>
                <w:szCs w:val="22"/>
                <w:lang w:eastAsia="en-US"/>
              </w:rPr>
            </w:pPr>
            <w:r w:rsidRPr="00307028">
              <w:rPr>
                <w:rFonts w:eastAsia="Calibri"/>
                <w:szCs w:val="22"/>
                <w:lang w:eastAsia="en-US"/>
              </w:rPr>
              <w:t>260 986</w:t>
            </w:r>
          </w:p>
        </w:tc>
      </w:tr>
    </w:tbl>
    <w:p w14:paraId="35C269FE" w14:textId="77777777" w:rsidR="0033230F" w:rsidRPr="00307028" w:rsidRDefault="0033230F" w:rsidP="00DB4AD2">
      <w:pPr>
        <w:keepNext/>
        <w:keepLines/>
        <w:spacing w:after="120" w:line="259" w:lineRule="auto"/>
        <w:jc w:val="center"/>
        <w:rPr>
          <w:rFonts w:eastAsia="Calibri"/>
          <w:b/>
          <w:bCs/>
          <w:szCs w:val="22"/>
          <w:lang w:eastAsia="en-US"/>
        </w:rPr>
      </w:pPr>
    </w:p>
    <w:p w14:paraId="5140E2D6" w14:textId="20534673" w:rsidR="00EE3DBD" w:rsidRPr="00307028" w:rsidRDefault="00EE3DBD" w:rsidP="00DB4AD2">
      <w:pPr>
        <w:keepNext/>
        <w:keepLines/>
        <w:spacing w:after="120" w:line="259" w:lineRule="auto"/>
        <w:jc w:val="center"/>
        <w:rPr>
          <w:rFonts w:eastAsia="Calibri"/>
          <w:b/>
          <w:bCs/>
          <w:szCs w:val="22"/>
          <w:lang w:eastAsia="en-US"/>
        </w:rPr>
      </w:pPr>
      <w:r w:rsidRPr="00307028">
        <w:rPr>
          <w:rFonts w:eastAsia="Calibri"/>
          <w:b/>
          <w:bCs/>
          <w:szCs w:val="22"/>
          <w:lang w:eastAsia="en-US"/>
        </w:rPr>
        <w:t>Izglītības un zinātnes ministrija</w:t>
      </w:r>
    </w:p>
    <w:p w14:paraId="414B1CA9" w14:textId="77777777" w:rsidR="00EE3DBD" w:rsidRPr="00307028" w:rsidRDefault="00EE3DBD" w:rsidP="00EE3DBD">
      <w:pPr>
        <w:keepNext/>
        <w:keepLines/>
        <w:spacing w:after="120" w:line="259" w:lineRule="auto"/>
        <w:jc w:val="both"/>
        <w:rPr>
          <w:rFonts w:eastAsia="Calibri"/>
          <w:b/>
          <w:bCs/>
          <w:szCs w:val="22"/>
          <w:lang w:eastAsia="en-US"/>
        </w:rPr>
      </w:pPr>
      <w:r w:rsidRPr="00307028">
        <w:rPr>
          <w:rFonts w:eastAsia="Calibri"/>
          <w:b/>
          <w:bCs/>
          <w:szCs w:val="22"/>
          <w:lang w:eastAsia="en-US"/>
        </w:rPr>
        <w:t>IZM – budžeta programmas 09.00.00 “Sports” apakšprogrammu apvienošana</w:t>
      </w:r>
    </w:p>
    <w:p w14:paraId="79974EF7" w14:textId="4AFD3196" w:rsidR="00EE3DBD" w:rsidRPr="00307028" w:rsidRDefault="00EE3DBD" w:rsidP="00DB4AD2">
      <w:pPr>
        <w:keepNext/>
        <w:keepLines/>
        <w:spacing w:after="120" w:line="259" w:lineRule="auto"/>
        <w:ind w:firstLine="720"/>
        <w:jc w:val="both"/>
        <w:rPr>
          <w:rFonts w:eastAsiaTheme="minorHAnsi" w:cstheme="minorBidi"/>
          <w:kern w:val="2"/>
          <w:lang w:eastAsia="en-US"/>
          <w14:ligatures w14:val="standardContextual"/>
        </w:rPr>
      </w:pPr>
      <w:r w:rsidRPr="00307028">
        <w:rPr>
          <w:rFonts w:eastAsiaTheme="minorHAnsi"/>
          <w:color w:val="000000"/>
          <w:kern w:val="2"/>
          <w:lang w:eastAsia="en-US"/>
          <w14:ligatures w14:val="standardContextual"/>
        </w:rPr>
        <w:t>Saskaņā ar Sporta likuma 5. panta pirmo daļu IZM pilda valsts pārvaldes funkcijas</w:t>
      </w:r>
      <w:r w:rsidRPr="00307028">
        <w:rPr>
          <w:rFonts w:eastAsiaTheme="minorHAnsi" w:cstheme="minorBidi"/>
          <w:color w:val="000000"/>
          <w:kern w:val="2"/>
          <w:lang w:eastAsia="en-US"/>
          <w14:ligatures w14:val="standardContextual"/>
        </w:rPr>
        <w:t xml:space="preserve"> </w:t>
      </w:r>
      <w:r w:rsidRPr="00307028">
        <w:rPr>
          <w:rFonts w:eastAsiaTheme="minorHAnsi"/>
          <w:color w:val="000000"/>
          <w:kern w:val="2"/>
          <w:lang w:eastAsia="en-US"/>
          <w14:ligatures w14:val="standardContextual"/>
        </w:rPr>
        <w:t>sporta nozarē.</w:t>
      </w:r>
      <w:r w:rsidRPr="00307028">
        <w:rPr>
          <w:rFonts w:eastAsiaTheme="minorHAnsi" w:cstheme="minorBidi"/>
          <w:kern w:val="2"/>
          <w:lang w:eastAsia="en-US"/>
          <w14:ligatures w14:val="standardContextual"/>
        </w:rPr>
        <w:t xml:space="preserve"> Saskaņā ar MK 2003. gada 16. septembra noteikumiem Nr. 528 “Izglītības un zinātnes ministrijas nolikums” IZM kompetencē ir izstrādāt un īstenot sporta nozares finansēšanas stratēģiju (5.21.</w:t>
      </w:r>
      <w:r w:rsidR="00E6210A" w:rsidRPr="00307028">
        <w:rPr>
          <w:rFonts w:eastAsiaTheme="minorHAnsi" w:cstheme="minorBidi"/>
          <w:kern w:val="2"/>
          <w:vertAlign w:val="superscript"/>
          <w:lang w:eastAsia="en-US"/>
          <w14:ligatures w14:val="standardContextual"/>
        </w:rPr>
        <w:t>4</w:t>
      </w:r>
      <w:r w:rsidRPr="00307028">
        <w:rPr>
          <w:rFonts w:eastAsiaTheme="minorHAnsi" w:cstheme="minorBidi"/>
          <w:kern w:val="2"/>
          <w:lang w:eastAsia="en-US"/>
          <w14:ligatures w14:val="standardContextual"/>
        </w:rPr>
        <w:t xml:space="preserve"> apakšpunkts) un atbilstoši likumā par valsts budžetu kārtējam gadam piešķirtajai apropriācijai administrēt sportam piešķirtos valsts budžeta līdzekļus (5.21.</w:t>
      </w:r>
      <w:r w:rsidRPr="00307028">
        <w:rPr>
          <w:rFonts w:eastAsiaTheme="minorHAnsi" w:cstheme="minorBidi"/>
          <w:kern w:val="2"/>
          <w:vertAlign w:val="superscript"/>
          <w:lang w:eastAsia="en-US"/>
          <w14:ligatures w14:val="standardContextual"/>
        </w:rPr>
        <w:t>5</w:t>
      </w:r>
      <w:r w:rsidR="00E6210A" w:rsidRPr="00307028">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apakšpunkts).</w:t>
      </w:r>
    </w:p>
    <w:p w14:paraId="3CBD5630" w14:textId="3BD0C467" w:rsidR="00EE3DBD" w:rsidRPr="00307028" w:rsidRDefault="00EE3DBD" w:rsidP="00DB4AD2">
      <w:pPr>
        <w:widowControl w:val="0"/>
        <w:spacing w:after="120" w:line="259" w:lineRule="auto"/>
        <w:ind w:firstLine="720"/>
        <w:jc w:val="both"/>
        <w:rPr>
          <w:rFonts w:eastAsia="Calibri"/>
          <w:kern w:val="2"/>
          <w:lang w:eastAsia="en-US"/>
          <w14:ligatures w14:val="standardContextual"/>
        </w:rPr>
      </w:pPr>
      <w:r w:rsidRPr="00307028">
        <w:rPr>
          <w:rFonts w:eastAsia="Calibri"/>
          <w:kern w:val="2"/>
          <w:lang w:eastAsia="en-US"/>
          <w14:ligatures w14:val="standardContextual"/>
        </w:rPr>
        <w:t>2022. gada 14. decembra Deklarācij</w:t>
      </w:r>
      <w:r w:rsidR="00F12FB5" w:rsidRPr="00307028">
        <w:rPr>
          <w:rFonts w:eastAsia="Calibri"/>
          <w:kern w:val="2"/>
          <w:lang w:eastAsia="en-US"/>
          <w14:ligatures w14:val="standardContextual"/>
        </w:rPr>
        <w:t>as</w:t>
      </w:r>
      <w:r w:rsidRPr="00307028">
        <w:rPr>
          <w:rFonts w:eastAsia="Calibri"/>
          <w:kern w:val="2"/>
          <w:lang w:eastAsia="en-US"/>
          <w14:ligatures w14:val="standardContextual"/>
        </w:rPr>
        <w:t xml:space="preserve"> par Artura Krišjāņa Kariņa vadītā MK iecerēto darbību 87. uzdevums paredz pilnveidot sporta nozares tiesisko regulējumu, finansēšanas un pārvaldības sistēmu, tai skaitā pārskatot sporta NVO valsts deleģētos uzdevumus, kā arī izveidot ilgtermiņā prognozējamu finansēšanas modeli augstu sasniegumu sportā, tai skaitā paralimpiskajā kustībā. Valdības rīcības plānā ietvertajiem pasākumiem jauna sporta nozares finansēšanas pārvaldības un administratīvās pārvaldības modeļa ieviešanai turpmākā rīcība skatāma gan kontekstā ar </w:t>
      </w:r>
      <w:r w:rsidR="00F12FB5" w:rsidRPr="00307028">
        <w:rPr>
          <w:rFonts w:eastAsia="Calibri"/>
          <w:kern w:val="2"/>
          <w:lang w:eastAsia="en-US"/>
          <w14:ligatures w14:val="standardContextual"/>
        </w:rPr>
        <w:t xml:space="preserve">IZM </w:t>
      </w:r>
      <w:r w:rsidRPr="00307028">
        <w:rPr>
          <w:rFonts w:eastAsia="Calibri"/>
          <w:kern w:val="2"/>
          <w:lang w:eastAsia="en-US"/>
          <w14:ligatures w14:val="standardContextual"/>
        </w:rPr>
        <w:t>izstrādājamo un līdz 2023. gada 30.</w:t>
      </w:r>
      <w:r w:rsidR="00F12FB5" w:rsidRPr="00307028">
        <w:rPr>
          <w:rFonts w:eastAsia="Calibri"/>
          <w:kern w:val="2"/>
          <w:lang w:eastAsia="en-US"/>
          <w14:ligatures w14:val="standardContextual"/>
        </w:rPr>
        <w:t xml:space="preserve"> </w:t>
      </w:r>
      <w:r w:rsidRPr="00307028">
        <w:rPr>
          <w:rFonts w:eastAsia="Calibri"/>
          <w:kern w:val="2"/>
          <w:lang w:eastAsia="en-US"/>
          <w14:ligatures w14:val="standardContextual"/>
        </w:rPr>
        <w:t>septembrim MK iesniedzamo informatīvo ziņojumu “Par valsts sporta budžeta līdzekļu administrēšanas kārtību” un saistītiem MK noteikumu/rīkojumu grozījumu projektiem, gan kontekstā ar jauna Sporta likuma (vai grozījumu esošajā Sporta likumā) izstrādi un tajā potenciāli iekļaujamo deleģējumu MK noteikt vienotus kritērijus, pēc kuriem aprēķināms sporta federācijām piešķiramais valsts budžeta finansējums, kā arī iespējamām izmaiņām sporta organizācijām ar likumu noteikto uzdevumu sadalījumā.</w:t>
      </w:r>
    </w:p>
    <w:p w14:paraId="46A03E0A" w14:textId="77777777"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Esošā valsts budžeta programma 09.00.00 “Sports” ir sadalīta 11 apakšprogrammās, no kurām 6 apakšprogrammās</w:t>
      </w:r>
      <w:r w:rsidRPr="00307028">
        <w:rPr>
          <w:rFonts w:eastAsiaTheme="minorHAnsi"/>
          <w:kern w:val="2"/>
          <w:vertAlign w:val="superscript"/>
          <w:lang w:eastAsia="en-US"/>
          <w14:ligatures w14:val="standardContextual"/>
        </w:rPr>
        <w:footnoteReference w:id="5"/>
      </w:r>
      <w:r w:rsidRPr="00307028">
        <w:rPr>
          <w:rFonts w:eastAsiaTheme="minorHAnsi"/>
          <w:kern w:val="2"/>
          <w:lang w:eastAsia="en-US"/>
          <w14:ligatures w14:val="standardContextual"/>
        </w:rPr>
        <w:t xml:space="preserve"> paredzētie līdzekļi tiek novirzīti Sporta likumā noteiktā kārtībā </w:t>
      </w:r>
      <w:r w:rsidRPr="00307028">
        <w:rPr>
          <w:rFonts w:eastAsiaTheme="minorHAnsi"/>
          <w:kern w:val="2"/>
          <w:lang w:eastAsia="en-US"/>
          <w14:ligatures w14:val="standardContextual"/>
        </w:rPr>
        <w:lastRenderedPageBreak/>
        <w:t>atzītajām sporta federācijām, to apvienībām, kā arī citām sporta NVO, tai skaitā trijās</w:t>
      </w:r>
      <w:r w:rsidRPr="00307028">
        <w:rPr>
          <w:rFonts w:eastAsiaTheme="minorHAnsi"/>
          <w:kern w:val="2"/>
          <w:vertAlign w:val="superscript"/>
          <w:lang w:eastAsia="en-US"/>
          <w14:ligatures w14:val="standardContextual"/>
        </w:rPr>
        <w:footnoteReference w:id="6"/>
      </w:r>
      <w:r w:rsidRPr="00307028">
        <w:rPr>
          <w:rFonts w:eastAsiaTheme="minorHAnsi"/>
          <w:kern w:val="2"/>
          <w:lang w:eastAsia="en-US"/>
          <w14:ligatures w14:val="standardContextual"/>
        </w:rPr>
        <w:t xml:space="preserve"> no tām sporta NVO (Latvijas Sporta federāciju padome, LOK un Latvijas Paralimpiskā komiteja) uzticot arī tālāku sadali sporta federācijām. Visu minēto valsts budžeta apakšprogrammu izpildītāja ir</w:t>
      </w:r>
      <w:r w:rsidRPr="00307028">
        <w:rPr>
          <w:rFonts w:eastAsiaTheme="minorHAnsi"/>
          <w:b/>
          <w:bCs/>
          <w:kern w:val="2"/>
          <w:lang w:eastAsia="en-US"/>
          <w14:ligatures w14:val="standardContextual"/>
        </w:rPr>
        <w:t xml:space="preserve"> </w:t>
      </w:r>
      <w:r w:rsidRPr="00307028">
        <w:rPr>
          <w:rFonts w:eastAsiaTheme="minorHAnsi"/>
          <w:kern w:val="2"/>
          <w:lang w:eastAsia="en-US"/>
          <w14:ligatures w14:val="standardContextual"/>
        </w:rPr>
        <w:t>IZM, līdz ar to IZM nodrošina un atbild par šo apakšprogrammu izpildi un kontroli, kā arī par budžeta līdzekļu efektīvu un ekonomisku izlietošanu atbilstoši paredzētajiem mērķiem.</w:t>
      </w:r>
    </w:p>
    <w:p w14:paraId="0C78CDDE" w14:textId="77777777" w:rsidR="00EE3DBD" w:rsidRPr="00307028" w:rsidRDefault="00EE3DBD" w:rsidP="00DB4AD2">
      <w:pPr>
        <w:spacing w:after="120" w:line="259" w:lineRule="auto"/>
        <w:ind w:firstLine="720"/>
        <w:jc w:val="both"/>
        <w:rPr>
          <w:rFonts w:eastAsiaTheme="minorHAnsi"/>
          <w:color w:val="000000"/>
          <w:lang w:eastAsia="en-US"/>
        </w:rPr>
      </w:pPr>
      <w:r w:rsidRPr="00307028">
        <w:rPr>
          <w:rFonts w:eastAsiaTheme="minorHAnsi" w:cstheme="minorBidi"/>
          <w:lang w:eastAsia="en-US"/>
        </w:rPr>
        <w:t xml:space="preserve">Pirms iepriekšminētā sporta nozares finansēšanas administrēšanas un administratīvās pārvaldības modeļa izstrādes un ieviešanas IZM, ievērojot tai normatīvajos aktos noteikto kompetenci sporta nozarei paredzētās finansēšanas stratēģijas izstrādes un īstenošanas jomā, kā arī piešķirtā valsts budžeta finansējuma administrēšanas jomā, lai nodrošinātu efektīvu nozares līdzekļu pārvaldīšanu, rosina </w:t>
      </w:r>
      <w:r w:rsidRPr="00307028">
        <w:rPr>
          <w:rFonts w:eastAsiaTheme="minorHAnsi"/>
          <w:color w:val="000000"/>
          <w:lang w:eastAsia="en-US"/>
        </w:rPr>
        <w:t>atbalstīt priekšlikumu par izmaiņām valsts budžeta programmas</w:t>
      </w:r>
      <w:r w:rsidRPr="00307028">
        <w:rPr>
          <w:rFonts w:eastAsiaTheme="minorHAnsi" w:cstheme="minorBidi"/>
          <w:color w:val="000000"/>
          <w:lang w:eastAsia="en-US"/>
        </w:rPr>
        <w:t xml:space="preserve"> </w:t>
      </w:r>
      <w:r w:rsidRPr="00307028">
        <w:rPr>
          <w:rFonts w:eastAsiaTheme="minorHAnsi"/>
          <w:color w:val="000000"/>
          <w:lang w:eastAsia="en-US"/>
        </w:rPr>
        <w:t>09.00.00 “Sports” apakšprogrammu sarakstā:</w:t>
      </w:r>
    </w:p>
    <w:p w14:paraId="117E7506" w14:textId="6905F4F2" w:rsidR="00EE3DBD" w:rsidRPr="00307028" w:rsidRDefault="00EE3DBD" w:rsidP="000F28A8">
      <w:pPr>
        <w:numPr>
          <w:ilvl w:val="0"/>
          <w:numId w:val="34"/>
        </w:numPr>
        <w:spacing w:after="120" w:line="259" w:lineRule="auto"/>
        <w:ind w:left="0" w:firstLine="426"/>
        <w:jc w:val="both"/>
        <w:rPr>
          <w:rFonts w:eastAsiaTheme="minorHAnsi"/>
          <w:lang w:eastAsia="en-US"/>
        </w:rPr>
      </w:pPr>
      <w:r w:rsidRPr="00307028">
        <w:rPr>
          <w:rFonts w:eastAsiaTheme="minorHAnsi" w:cstheme="minorBidi"/>
          <w:szCs w:val="22"/>
          <w:lang w:eastAsia="en-US"/>
        </w:rPr>
        <w:t>izveidot jaunu valsts budžeta apakšprogrammu – 09.07.00 “Dotācija</w:t>
      </w:r>
      <w:r w:rsidR="00F240E3" w:rsidRPr="00307028">
        <w:rPr>
          <w:rFonts w:eastAsiaTheme="minorHAnsi" w:cstheme="minorBidi"/>
          <w:szCs w:val="22"/>
          <w:lang w:eastAsia="en-US"/>
        </w:rPr>
        <w:t xml:space="preserve"> </w:t>
      </w:r>
      <w:r w:rsidRPr="00307028">
        <w:rPr>
          <w:rFonts w:eastAsiaTheme="minorHAnsi" w:cstheme="minorBidi"/>
          <w:szCs w:val="22"/>
          <w:lang w:eastAsia="en-US"/>
        </w:rPr>
        <w:t>sporta organizāciju, programmu un pasākumu atbalstam”, apvienojot valsts budžeta apakšprogrammas 09.09.00</w:t>
      </w:r>
      <w:r w:rsidRPr="00307028">
        <w:rPr>
          <w:rFonts w:eastAsiaTheme="minorHAnsi"/>
          <w:lang w:eastAsia="en-US"/>
        </w:rPr>
        <w:t xml:space="preserve"> </w:t>
      </w:r>
      <w:r w:rsidRPr="00307028">
        <w:rPr>
          <w:rFonts w:eastAsiaTheme="minorHAnsi" w:cstheme="minorBidi"/>
          <w:szCs w:val="22"/>
          <w:lang w:eastAsia="en-US"/>
        </w:rPr>
        <w:t>“Sporta federācijas un sporta pasākumi”, 09.16.00 “Dotācija nacionālas nozīmes starptautisku sporta pasākumu organizēšanai Latvijā”, 09.17.00 “Dotācija komandu sporta</w:t>
      </w:r>
      <w:r w:rsidRPr="00307028">
        <w:rPr>
          <w:rFonts w:eastAsiaTheme="minorHAnsi"/>
          <w:lang w:eastAsia="en-US"/>
        </w:rPr>
        <w:t xml:space="preserve"> </w:t>
      </w:r>
      <w:r w:rsidRPr="00307028">
        <w:rPr>
          <w:rFonts w:eastAsiaTheme="minorHAnsi" w:cstheme="minorBidi"/>
          <w:szCs w:val="22"/>
          <w:lang w:eastAsia="en-US"/>
        </w:rPr>
        <w:t>spēļu izlašu nodrošināšanai”, 09.21.00 “Augstas klases sasniegumu sports” un</w:t>
      </w:r>
      <w:r w:rsidRPr="00307028">
        <w:rPr>
          <w:rFonts w:eastAsiaTheme="minorHAnsi"/>
          <w:lang w:eastAsia="en-US"/>
        </w:rPr>
        <w:t xml:space="preserve"> </w:t>
      </w:r>
      <w:r w:rsidRPr="00307028">
        <w:rPr>
          <w:rFonts w:eastAsiaTheme="minorHAnsi" w:cstheme="minorBidi"/>
          <w:szCs w:val="22"/>
          <w:lang w:eastAsia="en-US"/>
        </w:rPr>
        <w:t>09.25.00 “Dotācija biedrībai “Latvijas Paralimpiskā komiteja” pielāgotā</w:t>
      </w:r>
      <w:r w:rsidRPr="00307028">
        <w:rPr>
          <w:rFonts w:eastAsiaTheme="minorHAnsi"/>
          <w:lang w:eastAsia="en-US"/>
        </w:rPr>
        <w:t xml:space="preserve"> </w:t>
      </w:r>
      <w:r w:rsidRPr="00307028">
        <w:rPr>
          <w:rFonts w:eastAsiaTheme="minorHAnsi" w:cstheme="minorBidi"/>
          <w:szCs w:val="22"/>
          <w:lang w:eastAsia="en-US"/>
        </w:rPr>
        <w:t>sporta attīstībai”;</w:t>
      </w:r>
      <w:r w:rsidRPr="00307028">
        <w:rPr>
          <w:rFonts w:eastAsiaTheme="minorHAnsi"/>
          <w:lang w:eastAsia="en-US"/>
        </w:rPr>
        <w:t xml:space="preserve"> </w:t>
      </w:r>
    </w:p>
    <w:p w14:paraId="3B5C2393" w14:textId="02C508B6" w:rsidR="00EE3DBD" w:rsidRPr="00307028" w:rsidRDefault="00EE3DBD" w:rsidP="000F28A8">
      <w:pPr>
        <w:numPr>
          <w:ilvl w:val="0"/>
          <w:numId w:val="34"/>
        </w:numPr>
        <w:spacing w:after="120" w:line="259" w:lineRule="auto"/>
        <w:ind w:left="0" w:firstLine="426"/>
        <w:jc w:val="both"/>
        <w:rPr>
          <w:rFonts w:eastAsiaTheme="minorHAnsi"/>
          <w:lang w:eastAsia="en-US"/>
        </w:rPr>
      </w:pPr>
      <w:r w:rsidRPr="00307028">
        <w:rPr>
          <w:rFonts w:eastAsiaTheme="minorHAnsi"/>
          <w:lang w:eastAsia="en-US"/>
        </w:rPr>
        <w:t>sagatavot un 2024.</w:t>
      </w:r>
      <w:r w:rsidR="00F12FB5" w:rsidRPr="00307028">
        <w:rPr>
          <w:rFonts w:eastAsiaTheme="minorHAnsi"/>
          <w:lang w:eastAsia="en-US"/>
        </w:rPr>
        <w:t xml:space="preserve"> </w:t>
      </w:r>
      <w:r w:rsidRPr="00307028">
        <w:rPr>
          <w:rFonts w:eastAsiaTheme="minorHAnsi"/>
          <w:lang w:eastAsia="en-US"/>
        </w:rPr>
        <w:t xml:space="preserve">gada budžetu pavadošo likumprojektu paketē iesniegt izskatīšanai MK grozījumu Sporta likumā, kas paredz Sporta likuma 13. panta pirmās daļas otrā teikuma </w:t>
      </w:r>
      <w:r w:rsidR="00287CF5" w:rsidRPr="00307028">
        <w:rPr>
          <w:rFonts w:eastAsiaTheme="minorHAnsi"/>
          <w:lang w:eastAsia="en-US"/>
        </w:rPr>
        <w:t>grozīšanu</w:t>
      </w:r>
      <w:r w:rsidRPr="00307028">
        <w:rPr>
          <w:rFonts w:eastAsiaTheme="minorHAnsi"/>
          <w:lang w:eastAsia="en-US"/>
        </w:rPr>
        <w:t>.</w:t>
      </w:r>
    </w:p>
    <w:p w14:paraId="58CD8150" w14:textId="77777777" w:rsidR="00EE3DBD" w:rsidRPr="00307028" w:rsidRDefault="00EE3DBD" w:rsidP="00EE3DBD">
      <w:pPr>
        <w:spacing w:after="120" w:line="259" w:lineRule="auto"/>
        <w:jc w:val="both"/>
        <w:rPr>
          <w:rFonts w:eastAsiaTheme="minorHAnsi" w:cstheme="minorBidi"/>
          <w:kern w:val="2"/>
          <w:szCs w:val="22"/>
          <w:lang w:eastAsia="en-US"/>
          <w14:ligatures w14:val="standardContextual"/>
        </w:rPr>
      </w:pPr>
      <w:r w:rsidRPr="00307028">
        <w:rPr>
          <w:rFonts w:eastAsiaTheme="minorHAnsi" w:cstheme="minorBidi"/>
          <w:b/>
          <w:bCs/>
          <w:kern w:val="2"/>
          <w:szCs w:val="22"/>
          <w:lang w:eastAsia="en-US"/>
          <w14:ligatures w14:val="standardContextual"/>
        </w:rPr>
        <w:t>IZM – priekšlikums apvienot budžeta apakšprogrammas 03.01.00 “Augstskolas” un 03.11.00 “Koledžas”</w:t>
      </w:r>
    </w:p>
    <w:p w14:paraId="5EE6BBC4" w14:textId="7D8B2449" w:rsidR="00EE3DBD" w:rsidRPr="00307028" w:rsidRDefault="00EE3DBD" w:rsidP="00DB4AD2">
      <w:pPr>
        <w:spacing w:after="120" w:line="259" w:lineRule="auto"/>
        <w:ind w:firstLine="720"/>
        <w:jc w:val="both"/>
        <w:rPr>
          <w:rFonts w:eastAsiaTheme="minorHAnsi"/>
          <w:b/>
          <w:bCs/>
          <w:kern w:val="2"/>
          <w:lang w:eastAsia="en-US"/>
          <w14:ligatures w14:val="standardContextual"/>
        </w:rPr>
      </w:pPr>
      <w:r w:rsidRPr="00307028">
        <w:rPr>
          <w:rFonts w:eastAsiaTheme="minorHAnsi"/>
          <w:kern w:val="2"/>
          <w:lang w:eastAsia="en-US"/>
          <w14:ligatures w14:val="standardContextual"/>
        </w:rPr>
        <w:t>Gan augstskolās, gan koledžās tiek īstenotas augstākās izglītības studiju programmas. MK 2006. gada 12. decembra noteikumos Nr. 994 “Kārtība, kādā augstskolas un koledžas tiek finansētas no valsts budžeta līdzekļiem” ir noteikta vienota aprēķinu metodika, kādā augstskolas un koledžas tiek finansētas no valsts budžeta līdzekļiem. Ņemot vērā, ka studiju vietu skaits gan augstskolās, gan koledžās tiek plānots kopskatā, IZM piedāvā apvienot budžeta apakšprogrammas 03.01.00 “Augstskolas” un 03.11.00 “Koledžas”, lai nodrošinātu vienotu finansējuma sadali starp visām augstākās izglītības iestādēm. Jāatzīmē, ka arī abām apašprogrammām pēc būtības ir vienādi mērķi – apakšprogrammas 03.01.00 “Augstskolas” mērķis ir nodrošināt augstākās izglītības studiju programmu kvalitāti, konkurētspēju un attīstību kopējā Eiropas augstākās izglītības telpā, vienlaicīgi veicinot augsti kvalificētu speciālistu pieaugumu valstī, bet apakšprogrammas 03.11.00 “Koledžas” mērķis ir nodrošināt 1. līmeņa augstākās profesionālās izglītības studiju programmu kvalitāti, konkurētspēju un attīstību kopējā Eiropas augstākās izglītības telpā, vienlaikus veicinot augsti kvalificētu speciālistu pieaugumu valstī. Mērķa atšķirība ir tikai pēc augstākās izglītības ieguves līmeņa. Turklāt, programmas 03.00.00 “Augstākā izglītība” ietvaros starp apakšprogrammām 03.01.00 “Augstskolas” un 03.11.00 “Koledžas” ik gadu regulāri tiek veikta finansējuma pārdale, ņemot vērā jau notikušo vairāku koledžu reorganizāciju, kļūstot no ministrijas padotībā esošajām valsts iestādēm par augstskolu aģentūrām. Līdz ar to apakšprogrammu apvienošana turpmāk samazinātu ievērojamu administratīvo slogu gan IZM, gan FM.</w:t>
      </w:r>
      <w:r w:rsidRPr="00307028">
        <w:rPr>
          <w:rFonts w:eastAsiaTheme="minorHAnsi"/>
          <w:b/>
          <w:bCs/>
          <w:kern w:val="2"/>
          <w:lang w:eastAsia="en-US"/>
          <w14:ligatures w14:val="standardContextual"/>
        </w:rPr>
        <w:t> </w:t>
      </w:r>
    </w:p>
    <w:p w14:paraId="54BE4902" w14:textId="77777777" w:rsidR="00EE3DBD" w:rsidRPr="00307028" w:rsidRDefault="00EE3DBD" w:rsidP="00EE3DBD">
      <w:pPr>
        <w:spacing w:after="120" w:line="259" w:lineRule="auto"/>
        <w:jc w:val="both"/>
        <w:rPr>
          <w:rFonts w:asciiTheme="minorHAnsi" w:eastAsiaTheme="minorHAnsi" w:hAnsiTheme="minorHAnsi" w:cstheme="minorBidi"/>
          <w:b/>
          <w:bCs/>
          <w:kern w:val="2"/>
          <w:szCs w:val="22"/>
          <w:lang w:eastAsia="en-US"/>
          <w14:ligatures w14:val="standardContextual"/>
        </w:rPr>
      </w:pPr>
      <w:r w:rsidRPr="00307028">
        <w:rPr>
          <w:rFonts w:eastAsiaTheme="minorHAnsi" w:cstheme="minorBidi"/>
          <w:b/>
          <w:bCs/>
          <w:kern w:val="2"/>
          <w:szCs w:val="22"/>
          <w:lang w:eastAsia="en-US"/>
          <w14:ligatures w14:val="standardContextual"/>
        </w:rPr>
        <w:lastRenderedPageBreak/>
        <w:t>IZM – priekšlikums apvienot budžeta apakšprogrammas 05.01.00 “Z</w:t>
      </w:r>
      <w:r w:rsidRPr="00307028">
        <w:rPr>
          <w:rFonts w:eastAsiaTheme="minorHAnsi" w:cstheme="minorBidi"/>
          <w:b/>
          <w:bCs/>
          <w:kern w:val="2"/>
          <w:szCs w:val="22"/>
          <w:shd w:val="clear" w:color="auto" w:fill="FFFFFF"/>
          <w:lang w:eastAsia="en-US"/>
          <w14:ligatures w14:val="standardContextual"/>
        </w:rPr>
        <w:t xml:space="preserve">inātniskās darbības nodrošinājums” </w:t>
      </w:r>
      <w:r w:rsidRPr="00307028">
        <w:rPr>
          <w:rFonts w:eastAsiaTheme="minorHAnsi" w:cstheme="minorBidi"/>
          <w:b/>
          <w:bCs/>
          <w:kern w:val="2"/>
          <w:szCs w:val="22"/>
          <w:lang w:eastAsia="en-US"/>
          <w14:ligatures w14:val="standardContextual"/>
        </w:rPr>
        <w:t>un 05.12.00 “Valsts pētījumu programmas”</w:t>
      </w:r>
    </w:p>
    <w:p w14:paraId="05290138" w14:textId="4234DB7B" w:rsidR="00017993" w:rsidRPr="008E73FF" w:rsidRDefault="00EE3DBD" w:rsidP="008E73FF">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kern w:val="2"/>
          <w:lang w:eastAsia="en-US"/>
          <w14:ligatures w14:val="standardContextual"/>
        </w:rPr>
        <w:t>IZM budžeta programmas 05.00.00 “Zinātne” ietvaros tiek nodrošināts finansējums dažādu pētniecības projektu īstenošanai. Apakšprogrammas 05.01.00 “Zinātniskās darbības nodrošināšana” ietvaros tiek nodrošināts finansējums fundamentālo un lietišķo pētījumu projektu īstenošanai, kā arī bilaterālās sadarbības projektu īstenošanai, savukārt apakšprogrammas 05.12.00 “Valsts pētījumu programmas” ietvaros tiek nodrošināts finansējums VPP īstenošanai. Gan VPP, gan fundamentālo un lietišķo pētījumu programmās projektu īstenošanas gaitā bieži mainās projektu īstenošanas termiņi, kas rada nepieciešamību veikt finansējuma pārdales starp apakšprogrammām, lai nodrošinātu efektīvāku piešķirto valsts budžeta līdzekļu izlietojumu. Līdz ar to ir priekšlikums apvienot šīs apakšprogrammas, lai būtu iespējams efektīvāk nodrošināt un pārraudzīt naudas plūsmu projektos. Apvienojot šo finansējumu, ir iespējams koncentrēt konkursa kārtībā piešķiramo pētniecības projektu finansējumu vienuviet, tādējādi administrējot finansējumu maksimāli efektīvi bez papildus administratīvā sloga. Gan VPP, gan fundamentālo un lietišķo projektu pētījumu konkursus, izvērtēšanu un administrēšanu nodrošina LZP.</w:t>
      </w:r>
      <w:r w:rsidRPr="00307028">
        <w:rPr>
          <w:rFonts w:eastAsiaTheme="minorHAnsi" w:cstheme="minorBidi"/>
          <w:kern w:val="2"/>
          <w:szCs w:val="22"/>
          <w:lang w:eastAsia="en-US"/>
          <w14:ligatures w14:val="standardContextual"/>
        </w:rPr>
        <w:t> </w:t>
      </w:r>
    </w:p>
    <w:p w14:paraId="62ED1C67" w14:textId="1E88E795" w:rsidR="00EE3DBD" w:rsidRPr="00307028" w:rsidRDefault="00EE3DBD" w:rsidP="00EE3DBD">
      <w:pPr>
        <w:spacing w:after="120" w:line="259" w:lineRule="auto"/>
        <w:jc w:val="both"/>
        <w:rPr>
          <w:rFonts w:eastAsiaTheme="minorHAnsi"/>
          <w:kern w:val="2"/>
          <w:lang w:eastAsia="en-US"/>
          <w14:ligatures w14:val="standardContextual"/>
        </w:rPr>
      </w:pPr>
      <w:r w:rsidRPr="00307028">
        <w:rPr>
          <w:rFonts w:eastAsiaTheme="minorHAnsi"/>
          <w:b/>
          <w:bCs/>
          <w:kern w:val="2"/>
          <w:lang w:eastAsia="en-US"/>
          <w14:ligatures w14:val="standardContextual"/>
        </w:rPr>
        <w:t>IZM – Par VISC interešu izglītības kultūrizglītības funkciju un Latvijas skolu jaunatnes dziesmu un deju svētku procesa un svētku norises nodrošināšanu – apvienošanu ar LNKC</w:t>
      </w:r>
    </w:p>
    <w:p w14:paraId="3D677508" w14:textId="29F669CF"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Šobrīd saskaņā ar normatīvo regulējumu dziesmu un deju svētku metodiskā atbalsta nodrošināšana un rīkošana ir sadrumstalota, par </w:t>
      </w:r>
      <w:r w:rsidR="00274053" w:rsidRPr="00307028">
        <w:rPr>
          <w:rFonts w:eastAsiaTheme="minorHAnsi"/>
          <w:kern w:val="2"/>
          <w:lang w:eastAsia="en-US"/>
          <w14:ligatures w14:val="standardContextual"/>
        </w:rPr>
        <w:t>Latvijas Skolu jaunatnes</w:t>
      </w:r>
      <w:r w:rsidRPr="00307028">
        <w:rPr>
          <w:rFonts w:eastAsiaTheme="minorHAnsi"/>
          <w:kern w:val="2"/>
          <w:lang w:eastAsia="en-US"/>
          <w14:ligatures w14:val="standardContextual"/>
        </w:rPr>
        <w:t xml:space="preserve"> dziesmu un deju svētkiem</w:t>
      </w:r>
      <w:r w:rsidR="00274053" w:rsidRPr="00307028">
        <w:rPr>
          <w:rFonts w:eastAsiaTheme="minorHAnsi"/>
          <w:kern w:val="2"/>
          <w:lang w:eastAsia="en-US"/>
          <w14:ligatures w14:val="standardContextual"/>
        </w:rPr>
        <w:t xml:space="preserve">, t.sk. ciklisku nepārtrauktu norisi un sagatavošanās procesu, </w:t>
      </w:r>
      <w:r w:rsidRPr="00307028">
        <w:rPr>
          <w:rFonts w:eastAsiaTheme="minorHAnsi"/>
          <w:kern w:val="2"/>
          <w:lang w:eastAsia="en-US"/>
          <w14:ligatures w14:val="standardContextual"/>
        </w:rPr>
        <w:t xml:space="preserve">rūpējas VISC, bet par </w:t>
      </w:r>
      <w:r w:rsidR="00274053" w:rsidRPr="00307028">
        <w:rPr>
          <w:rFonts w:eastAsiaTheme="minorHAnsi"/>
          <w:kern w:val="2"/>
          <w:lang w:eastAsia="en-US"/>
          <w14:ligatures w14:val="standardContextual"/>
        </w:rPr>
        <w:t>V</w:t>
      </w:r>
      <w:r w:rsidRPr="00307028">
        <w:rPr>
          <w:rFonts w:eastAsiaTheme="minorHAnsi"/>
          <w:kern w:val="2"/>
          <w:lang w:eastAsia="en-US"/>
          <w14:ligatures w14:val="standardContextual"/>
        </w:rPr>
        <w:t xml:space="preserve">ispārējiem </w:t>
      </w:r>
      <w:r w:rsidR="00274053" w:rsidRPr="00307028">
        <w:rPr>
          <w:rFonts w:eastAsiaTheme="minorHAnsi"/>
          <w:kern w:val="2"/>
          <w:lang w:eastAsia="en-US"/>
          <w14:ligatures w14:val="standardContextual"/>
        </w:rPr>
        <w:t xml:space="preserve">latviešu </w:t>
      </w:r>
      <w:r w:rsidRPr="00307028">
        <w:rPr>
          <w:rFonts w:eastAsiaTheme="minorHAnsi"/>
          <w:kern w:val="2"/>
          <w:lang w:eastAsia="en-US"/>
          <w14:ligatures w14:val="standardContextual"/>
        </w:rPr>
        <w:t>dziesmu un deju svētkiem – LNKC.</w:t>
      </w:r>
    </w:p>
    <w:p w14:paraId="45019709" w14:textId="77777777" w:rsidR="00EE3DBD" w:rsidRPr="00307028" w:rsidRDefault="00EE3DBD" w:rsidP="00DB4AD2">
      <w:pPr>
        <w:keepNext/>
        <w:keepLines/>
        <w:spacing w:after="120" w:line="259" w:lineRule="auto"/>
        <w:ind w:firstLine="720"/>
        <w:jc w:val="both"/>
        <w:rPr>
          <w:rFonts w:eastAsiaTheme="minorHAnsi" w:cstheme="minorBidi"/>
          <w:kern w:val="2"/>
          <w:lang w:eastAsia="en-US"/>
          <w14:ligatures w14:val="standardContextual"/>
        </w:rPr>
      </w:pPr>
      <w:bookmarkStart w:id="71" w:name="_Hlk141357552"/>
      <w:r w:rsidRPr="00307028">
        <w:rPr>
          <w:rFonts w:eastAsiaTheme="minorHAnsi"/>
          <w:kern w:val="2"/>
          <w:lang w:eastAsia="en-US"/>
          <w14:ligatures w14:val="standardContextual"/>
        </w:rPr>
        <w:t xml:space="preserve">Dziesmu un deju svētku likums </w:t>
      </w:r>
      <w:bookmarkEnd w:id="71"/>
      <w:r w:rsidRPr="00307028">
        <w:rPr>
          <w:rFonts w:eastAsiaTheme="minorHAnsi"/>
          <w:kern w:val="2"/>
          <w:lang w:eastAsia="en-US"/>
          <w14:ligatures w14:val="standardContextual"/>
        </w:rPr>
        <w:t xml:space="preserve">nosaka, ka Vispārējo latviešu dziesmu un deju svētku sagatavošana un norise ir KM kompetence, savukārt Latvijas Skolu jaunatnes dziesmu un deju svētku sagatavošana un norise ir </w:t>
      </w:r>
      <w:r w:rsidRPr="00307028">
        <w:rPr>
          <w:rFonts w:eastAsiaTheme="minorHAnsi" w:cstheme="minorBidi"/>
          <w:kern w:val="2"/>
          <w:lang w:eastAsia="en-US"/>
          <w14:ligatures w14:val="standardContextual"/>
        </w:rPr>
        <w:t>IZM ministrijas kompetence:</w:t>
      </w:r>
    </w:p>
    <w:p w14:paraId="690C1A05" w14:textId="77777777" w:rsidR="00EE3DBD" w:rsidRPr="00307028" w:rsidRDefault="00EE3DBD" w:rsidP="00EE3DBD">
      <w:pPr>
        <w:spacing w:after="120" w:line="259" w:lineRule="auto"/>
        <w:jc w:val="center"/>
        <w:rPr>
          <w:rFonts w:eastAsiaTheme="minorHAnsi"/>
          <w:kern w:val="2"/>
          <w:sz w:val="22"/>
          <w:szCs w:val="22"/>
          <w:lang w:eastAsia="en-US"/>
          <w14:ligatures w14:val="standardContextual"/>
        </w:rPr>
      </w:pPr>
      <w:r w:rsidRPr="00307028">
        <w:rPr>
          <w:rFonts w:eastAsiaTheme="minorHAnsi"/>
          <w:b/>
          <w:bCs/>
          <w:i/>
          <w:iCs/>
          <w:kern w:val="2"/>
          <w:sz w:val="22"/>
          <w:szCs w:val="22"/>
          <w:lang w:eastAsia="en-US"/>
          <w14:ligatures w14:val="standardContextual"/>
        </w:rPr>
        <w:t>2.1.2. tabula</w:t>
      </w:r>
      <w:r w:rsidRPr="00307028">
        <w:rPr>
          <w:rFonts w:eastAsia="Verdana"/>
          <w:b/>
          <w:bCs/>
          <w:i/>
          <w:iCs/>
          <w:kern w:val="24"/>
          <w:sz w:val="22"/>
          <w:szCs w:val="22"/>
          <w:lang w:eastAsia="en-US"/>
          <w14:ligatures w14:val="standardContextual"/>
        </w:rPr>
        <w:t xml:space="preserve"> </w:t>
      </w:r>
      <w:r w:rsidRPr="00307028">
        <w:rPr>
          <w:rFonts w:eastAsiaTheme="minorHAnsi"/>
          <w:b/>
          <w:bCs/>
          <w:kern w:val="2"/>
          <w:sz w:val="22"/>
          <w:szCs w:val="22"/>
          <w:lang w:eastAsia="en-US"/>
          <w14:ligatures w14:val="standardContextual"/>
        </w:rPr>
        <w:t>IZM un KM kompetence, kas noteikta Dziesmu un deju svētku likumā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531"/>
        <w:gridCol w:w="4536"/>
      </w:tblGrid>
      <w:tr w:rsidR="00EE3DBD" w:rsidRPr="00307028" w14:paraId="4BE93263" w14:textId="77777777" w:rsidTr="008E73FF">
        <w:trPr>
          <w:trHeight w:val="512"/>
        </w:trPr>
        <w:tc>
          <w:tcPr>
            <w:tcW w:w="4531" w:type="dxa"/>
            <w:shd w:val="clear" w:color="auto" w:fill="FFFFFF" w:themeFill="background1"/>
            <w:tcMar>
              <w:top w:w="15" w:type="dxa"/>
              <w:left w:w="81" w:type="dxa"/>
              <w:bottom w:w="0" w:type="dxa"/>
              <w:right w:w="81" w:type="dxa"/>
            </w:tcMar>
            <w:vAlign w:val="center"/>
            <w:hideMark/>
          </w:tcPr>
          <w:p w14:paraId="104F2549" w14:textId="77777777" w:rsidR="00EE3DBD" w:rsidRPr="00307028" w:rsidRDefault="00EE3DBD" w:rsidP="00EE3DBD">
            <w:pPr>
              <w:keepNext/>
              <w:keepLines/>
              <w:spacing w:after="120" w:line="259" w:lineRule="auto"/>
              <w:jc w:val="both"/>
              <w:rPr>
                <w:rFonts w:eastAsiaTheme="minorHAnsi" w:cstheme="minorBidi"/>
                <w:b/>
                <w:bCs/>
                <w:kern w:val="2"/>
                <w:sz w:val="22"/>
                <w:szCs w:val="22"/>
                <w:lang w:eastAsia="en-US"/>
                <w14:ligatures w14:val="standardContextual"/>
              </w:rPr>
            </w:pPr>
            <w:r w:rsidRPr="00307028">
              <w:rPr>
                <w:rFonts w:eastAsiaTheme="minorHAnsi" w:cstheme="minorBidi"/>
                <w:b/>
                <w:bCs/>
                <w:kern w:val="2"/>
                <w:sz w:val="22"/>
                <w:szCs w:val="22"/>
                <w:lang w:eastAsia="en-US"/>
                <w14:ligatures w14:val="standardContextual"/>
              </w:rPr>
              <w:t>IZM kompetence</w:t>
            </w:r>
          </w:p>
        </w:tc>
        <w:tc>
          <w:tcPr>
            <w:tcW w:w="4536" w:type="dxa"/>
            <w:shd w:val="clear" w:color="auto" w:fill="FFFFFF" w:themeFill="background1"/>
            <w:tcMar>
              <w:top w:w="15" w:type="dxa"/>
              <w:left w:w="81" w:type="dxa"/>
              <w:bottom w:w="0" w:type="dxa"/>
              <w:right w:w="81" w:type="dxa"/>
            </w:tcMar>
            <w:vAlign w:val="center"/>
            <w:hideMark/>
          </w:tcPr>
          <w:p w14:paraId="47561179" w14:textId="77777777" w:rsidR="00EE3DBD" w:rsidRPr="00307028" w:rsidRDefault="00EE3DBD" w:rsidP="00EE3DBD">
            <w:pPr>
              <w:keepNext/>
              <w:keepLines/>
              <w:spacing w:after="120" w:line="259" w:lineRule="auto"/>
              <w:jc w:val="both"/>
              <w:rPr>
                <w:rFonts w:eastAsiaTheme="minorHAnsi" w:cstheme="minorBidi"/>
                <w:b/>
                <w:bCs/>
                <w:kern w:val="2"/>
                <w:sz w:val="22"/>
                <w:szCs w:val="22"/>
                <w:lang w:eastAsia="en-US"/>
                <w14:ligatures w14:val="standardContextual"/>
              </w:rPr>
            </w:pPr>
            <w:r w:rsidRPr="00307028">
              <w:rPr>
                <w:rFonts w:eastAsiaTheme="minorHAnsi" w:cstheme="minorBidi"/>
                <w:b/>
                <w:bCs/>
                <w:kern w:val="2"/>
                <w:sz w:val="22"/>
                <w:szCs w:val="22"/>
                <w:lang w:eastAsia="en-US"/>
                <w14:ligatures w14:val="standardContextual"/>
              </w:rPr>
              <w:t>KM kompetence</w:t>
            </w:r>
          </w:p>
        </w:tc>
      </w:tr>
      <w:tr w:rsidR="00EE3DBD" w:rsidRPr="00307028" w14:paraId="4FE6818A" w14:textId="77777777" w:rsidTr="008E73FF">
        <w:trPr>
          <w:trHeight w:val="847"/>
        </w:trPr>
        <w:tc>
          <w:tcPr>
            <w:tcW w:w="4531" w:type="dxa"/>
            <w:shd w:val="clear" w:color="auto" w:fill="FFFFFF" w:themeFill="background1"/>
            <w:tcMar>
              <w:top w:w="15" w:type="dxa"/>
              <w:left w:w="81" w:type="dxa"/>
              <w:bottom w:w="0" w:type="dxa"/>
              <w:right w:w="81" w:type="dxa"/>
            </w:tcMar>
            <w:hideMark/>
          </w:tcPr>
          <w:p w14:paraId="4C3EDB3A"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nodrošina Latvijas Skolu jaunatnes dziesmu un deju svētku sagatavošanas procesu un pārrauga tajā iesaistīto IZM atbildīgo institūciju darbu</w:t>
            </w:r>
          </w:p>
        </w:tc>
        <w:tc>
          <w:tcPr>
            <w:tcW w:w="4536" w:type="dxa"/>
            <w:shd w:val="clear" w:color="auto" w:fill="FFFFFF" w:themeFill="background1"/>
            <w:tcMar>
              <w:top w:w="15" w:type="dxa"/>
              <w:left w:w="81" w:type="dxa"/>
              <w:bottom w:w="0" w:type="dxa"/>
              <w:right w:w="81" w:type="dxa"/>
            </w:tcMar>
            <w:hideMark/>
          </w:tcPr>
          <w:p w14:paraId="226D230D"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nodrošina Vispārējo latviešu dziesmu un deju svētku sagatavošanas procesu un pārrauga tajā iesaistīto KM atbildīgo institūciju darbu</w:t>
            </w:r>
          </w:p>
        </w:tc>
      </w:tr>
      <w:tr w:rsidR="00EE3DBD" w:rsidRPr="00307028" w14:paraId="5319D7F0" w14:textId="77777777" w:rsidTr="008E73FF">
        <w:trPr>
          <w:trHeight w:val="534"/>
        </w:trPr>
        <w:tc>
          <w:tcPr>
            <w:tcW w:w="4531" w:type="dxa"/>
            <w:shd w:val="clear" w:color="auto" w:fill="FFFFFF" w:themeFill="background1"/>
            <w:tcMar>
              <w:top w:w="15" w:type="dxa"/>
              <w:left w:w="81" w:type="dxa"/>
              <w:bottom w:w="0" w:type="dxa"/>
              <w:right w:w="81" w:type="dxa"/>
            </w:tcMar>
            <w:hideMark/>
          </w:tcPr>
          <w:p w14:paraId="5904607A"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piedalās Dziesmu un deju svētku tradīcijas saglabāšanas un attīstības plāna izstrādē</w:t>
            </w:r>
          </w:p>
        </w:tc>
        <w:tc>
          <w:tcPr>
            <w:tcW w:w="4536" w:type="dxa"/>
            <w:shd w:val="clear" w:color="auto" w:fill="FFFFFF" w:themeFill="background1"/>
            <w:tcMar>
              <w:top w:w="15" w:type="dxa"/>
              <w:left w:w="81" w:type="dxa"/>
              <w:bottom w:w="0" w:type="dxa"/>
              <w:right w:w="81" w:type="dxa"/>
            </w:tcMar>
            <w:hideMark/>
          </w:tcPr>
          <w:p w14:paraId="17F5FDE4"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sadarbībā ar IZM izstrādā Dziesmu un deju svētku tradīcijas saglabāšanas un attīstības plānu;</w:t>
            </w:r>
          </w:p>
        </w:tc>
      </w:tr>
      <w:tr w:rsidR="00EE3DBD" w:rsidRPr="00307028" w14:paraId="62DA9D23" w14:textId="77777777" w:rsidTr="008E73FF">
        <w:trPr>
          <w:trHeight w:val="829"/>
        </w:trPr>
        <w:tc>
          <w:tcPr>
            <w:tcW w:w="4531" w:type="dxa"/>
            <w:shd w:val="clear" w:color="auto" w:fill="FFFFFF" w:themeFill="background1"/>
            <w:tcMar>
              <w:top w:w="15" w:type="dxa"/>
              <w:left w:w="81" w:type="dxa"/>
              <w:bottom w:w="0" w:type="dxa"/>
              <w:right w:w="81" w:type="dxa"/>
            </w:tcMar>
            <w:hideMark/>
          </w:tcPr>
          <w:p w14:paraId="217DF04D"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nodrošina Latvijas Skolu jaunatnes dziesmu un deju svētku sagatavošanas procesam nepieciešamo virsdiriģentu un virsvadītāju darbību</w:t>
            </w:r>
          </w:p>
        </w:tc>
        <w:tc>
          <w:tcPr>
            <w:tcW w:w="4536" w:type="dxa"/>
            <w:shd w:val="clear" w:color="auto" w:fill="FFFFFF" w:themeFill="background1"/>
            <w:tcMar>
              <w:top w:w="15" w:type="dxa"/>
              <w:left w:w="81" w:type="dxa"/>
              <w:bottom w:w="0" w:type="dxa"/>
              <w:right w:w="81" w:type="dxa"/>
            </w:tcMar>
            <w:hideMark/>
          </w:tcPr>
          <w:p w14:paraId="777872D7"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nodrošina Vispārējo latviešu dziesmu un deju svētku sagatavošanas procesam nepieciešamo virsdiriģentu un virsvadītāju darbību</w:t>
            </w:r>
          </w:p>
        </w:tc>
      </w:tr>
      <w:tr w:rsidR="00EE3DBD" w:rsidRPr="00307028" w14:paraId="07585516" w14:textId="77777777" w:rsidTr="008E73FF">
        <w:trPr>
          <w:trHeight w:val="823"/>
        </w:trPr>
        <w:tc>
          <w:tcPr>
            <w:tcW w:w="4531" w:type="dxa"/>
            <w:shd w:val="clear" w:color="auto" w:fill="FFFFFF" w:themeFill="background1"/>
            <w:tcMar>
              <w:top w:w="15" w:type="dxa"/>
              <w:left w:w="81" w:type="dxa"/>
              <w:bottom w:w="0" w:type="dxa"/>
              <w:right w:w="81" w:type="dxa"/>
            </w:tcMar>
            <w:hideMark/>
          </w:tcPr>
          <w:p w14:paraId="77CB2B71"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iesniedz MK Latvijas Skolu jaunatnes dziesmu un deju svētku un to sagatavošanas procesa budžeta projektu</w:t>
            </w:r>
          </w:p>
        </w:tc>
        <w:tc>
          <w:tcPr>
            <w:tcW w:w="4536" w:type="dxa"/>
            <w:shd w:val="clear" w:color="auto" w:fill="FFFFFF" w:themeFill="background1"/>
            <w:tcMar>
              <w:top w:w="15" w:type="dxa"/>
              <w:left w:w="81" w:type="dxa"/>
              <w:bottom w:w="0" w:type="dxa"/>
              <w:right w:w="81" w:type="dxa"/>
            </w:tcMar>
            <w:hideMark/>
          </w:tcPr>
          <w:p w14:paraId="484E8530"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iesniedz MK Vispārējo latviešu dziesmu un deju svētku un to sagatavošanas procesa budžeta projektu.</w:t>
            </w:r>
          </w:p>
        </w:tc>
      </w:tr>
      <w:tr w:rsidR="00EE3DBD" w:rsidRPr="00307028" w14:paraId="28E56D86" w14:textId="77777777" w:rsidTr="008E73FF">
        <w:trPr>
          <w:trHeight w:val="978"/>
        </w:trPr>
        <w:tc>
          <w:tcPr>
            <w:tcW w:w="4531" w:type="dxa"/>
            <w:shd w:val="clear" w:color="auto" w:fill="FFFFFF" w:themeFill="background1"/>
            <w:tcMar>
              <w:top w:w="15" w:type="dxa"/>
              <w:left w:w="81" w:type="dxa"/>
              <w:bottom w:w="0" w:type="dxa"/>
              <w:right w:w="81" w:type="dxa"/>
            </w:tcMar>
            <w:hideMark/>
          </w:tcPr>
          <w:p w14:paraId="62C4EDE1"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apstiprina Dziesmu un deju svētku padomes ierosināto Latvijas Skolu jaunatnes dziesmu un deju svētku māksliniecisko padomi un tās nolikumu un nodrošina šīs padomes darbu</w:t>
            </w:r>
          </w:p>
        </w:tc>
        <w:tc>
          <w:tcPr>
            <w:tcW w:w="4536" w:type="dxa"/>
            <w:shd w:val="clear" w:color="auto" w:fill="FFFFFF" w:themeFill="background1"/>
            <w:tcMar>
              <w:top w:w="15" w:type="dxa"/>
              <w:left w:w="81" w:type="dxa"/>
              <w:bottom w:w="0" w:type="dxa"/>
              <w:right w:w="81" w:type="dxa"/>
            </w:tcMar>
            <w:hideMark/>
          </w:tcPr>
          <w:p w14:paraId="37E6B61E"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 </w:t>
            </w:r>
          </w:p>
        </w:tc>
      </w:tr>
      <w:tr w:rsidR="00EE3DBD" w:rsidRPr="00307028" w14:paraId="26D66FB8" w14:textId="77777777" w:rsidTr="008E73FF">
        <w:trPr>
          <w:trHeight w:val="542"/>
        </w:trPr>
        <w:tc>
          <w:tcPr>
            <w:tcW w:w="9067" w:type="dxa"/>
            <w:gridSpan w:val="2"/>
            <w:shd w:val="clear" w:color="auto" w:fill="FFFFFF" w:themeFill="background1"/>
            <w:tcMar>
              <w:top w:w="15" w:type="dxa"/>
              <w:left w:w="81" w:type="dxa"/>
              <w:bottom w:w="0" w:type="dxa"/>
              <w:right w:w="81" w:type="dxa"/>
            </w:tcMar>
            <w:hideMark/>
          </w:tcPr>
          <w:p w14:paraId="04A7723E"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lastRenderedPageBreak/>
              <w:t>Dziesmu un deju svētku starplaikā LNKC un VISC</w:t>
            </w:r>
            <w:r w:rsidRPr="00307028">
              <w:rPr>
                <w:rFonts w:eastAsiaTheme="minorHAnsi"/>
                <w:color w:val="FF0000"/>
                <w:kern w:val="2"/>
                <w:sz w:val="22"/>
                <w:szCs w:val="22"/>
                <w:lang w:eastAsia="en-US"/>
                <w14:ligatures w14:val="standardContextual"/>
              </w:rPr>
              <w:t xml:space="preserve"> </w:t>
            </w:r>
            <w:r w:rsidRPr="00307028">
              <w:rPr>
                <w:rFonts w:eastAsiaTheme="minorHAnsi"/>
                <w:kern w:val="2"/>
                <w:sz w:val="22"/>
                <w:szCs w:val="22"/>
                <w:lang w:eastAsia="en-US"/>
                <w14:ligatures w14:val="standardContextual"/>
              </w:rPr>
              <w:t>sniedz metodisku atbalstu starpsvētku norišu plānošanā un īstenošanā sadarbībā ar valsts un pašvaldību institūcijām un nevalstiskajām organizācijām.</w:t>
            </w:r>
          </w:p>
        </w:tc>
      </w:tr>
      <w:tr w:rsidR="00EE3DBD" w:rsidRPr="00307028" w14:paraId="1548CF9D" w14:textId="77777777" w:rsidTr="008E73FF">
        <w:trPr>
          <w:trHeight w:val="567"/>
        </w:trPr>
        <w:tc>
          <w:tcPr>
            <w:tcW w:w="9067" w:type="dxa"/>
            <w:gridSpan w:val="2"/>
            <w:shd w:val="clear" w:color="auto" w:fill="FFFFFF" w:themeFill="background1"/>
            <w:tcMar>
              <w:top w:w="15" w:type="dxa"/>
              <w:left w:w="81" w:type="dxa"/>
              <w:bottom w:w="0" w:type="dxa"/>
              <w:right w:w="81" w:type="dxa"/>
            </w:tcMar>
            <w:hideMark/>
          </w:tcPr>
          <w:p w14:paraId="0B88AC5B" w14:textId="77777777" w:rsidR="00EE3DBD" w:rsidRPr="00307028" w:rsidRDefault="00EE3DBD" w:rsidP="00EE3DBD">
            <w:pPr>
              <w:spacing w:after="120" w:line="259" w:lineRule="auto"/>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Vispārējo latviešu dziesmu un deju svētku rīcības komitejas priekšsēdētājs ir kultūras ministrs, Latvijas Skolu jaunatnes dziesmu un deju svētku rīcības komitejas priekšsēdētājs – izglītības un zinātnes ministrs.</w:t>
            </w:r>
          </w:p>
        </w:tc>
      </w:tr>
    </w:tbl>
    <w:p w14:paraId="2551887D" w14:textId="77777777" w:rsidR="00EE3DBD" w:rsidRPr="00307028" w:rsidRDefault="00EE3DBD" w:rsidP="00EE3DBD">
      <w:pPr>
        <w:spacing w:after="120" w:line="259" w:lineRule="auto"/>
        <w:contextualSpacing/>
        <w:jc w:val="both"/>
        <w:rPr>
          <w:rFonts w:eastAsiaTheme="minorHAnsi"/>
          <w:lang w:eastAsia="en-US"/>
        </w:rPr>
      </w:pPr>
    </w:p>
    <w:p w14:paraId="43EDDDB4" w14:textId="0C206FD1" w:rsidR="00EE3DBD" w:rsidRPr="00307028" w:rsidRDefault="00EE3DBD" w:rsidP="000F28A8">
      <w:pPr>
        <w:spacing w:after="120" w:line="259" w:lineRule="auto"/>
        <w:ind w:firstLine="720"/>
        <w:jc w:val="both"/>
        <w:rPr>
          <w:rFonts w:eastAsiaTheme="minorHAnsi"/>
          <w:lang w:eastAsia="en-US"/>
        </w:rPr>
      </w:pPr>
      <w:r w:rsidRPr="00307028">
        <w:rPr>
          <w:rFonts w:eastAsiaTheme="minorHAnsi"/>
          <w:lang w:eastAsia="en-US"/>
        </w:rPr>
        <w:t xml:space="preserve">Saskaņā ar MK 2009. gada 30. jūnija noteikumos Nr. 682 “Valsts izglītības satura centra nolikums” noteikto IZM kompetenci īsteno VISC, kura uzdevums ir organizēt un īstenot Latvijas </w:t>
      </w:r>
      <w:r w:rsidR="000F28A8" w:rsidRPr="00307028">
        <w:rPr>
          <w:rFonts w:eastAsiaTheme="minorHAnsi"/>
          <w:lang w:eastAsia="en-US"/>
        </w:rPr>
        <w:t>S</w:t>
      </w:r>
      <w:r w:rsidRPr="00307028">
        <w:rPr>
          <w:rFonts w:eastAsiaTheme="minorHAnsi"/>
          <w:lang w:eastAsia="en-US"/>
        </w:rPr>
        <w:t xml:space="preserve">kolu jaunatnes dziesmu un deju svētku sagatavošanu un norisi, </w:t>
      </w:r>
      <w:r w:rsidR="00F12FB5" w:rsidRPr="00307028">
        <w:rPr>
          <w:rFonts w:eastAsiaTheme="minorHAnsi"/>
          <w:lang w:eastAsia="en-US"/>
        </w:rPr>
        <w:t xml:space="preserve">kā arī </w:t>
      </w:r>
      <w:r w:rsidRPr="00307028">
        <w:rPr>
          <w:rFonts w:eastAsiaTheme="minorHAnsi"/>
          <w:lang w:eastAsia="en-US"/>
        </w:rPr>
        <w:t>nodrošin</w:t>
      </w:r>
      <w:r w:rsidR="00F12FB5" w:rsidRPr="00307028">
        <w:rPr>
          <w:rFonts w:eastAsiaTheme="minorHAnsi"/>
          <w:lang w:eastAsia="en-US"/>
        </w:rPr>
        <w:t>āt</w:t>
      </w:r>
      <w:r w:rsidRPr="00307028">
        <w:rPr>
          <w:rFonts w:eastAsiaTheme="minorHAnsi"/>
          <w:lang w:eastAsia="en-US"/>
        </w:rPr>
        <w:t xml:space="preserve"> metodisko atbalstu. Latvijas </w:t>
      </w:r>
      <w:r w:rsidR="000F28A8" w:rsidRPr="00307028">
        <w:rPr>
          <w:rFonts w:eastAsiaTheme="minorHAnsi"/>
          <w:lang w:eastAsia="en-US"/>
        </w:rPr>
        <w:t>S</w:t>
      </w:r>
      <w:r w:rsidRPr="00307028">
        <w:rPr>
          <w:rFonts w:eastAsiaTheme="minorHAnsi"/>
          <w:lang w:eastAsia="en-US"/>
        </w:rPr>
        <w:t xml:space="preserve">kolu jaunatnes dziesmu un deju svētki tiek organizēti reizi piecos gados. </w:t>
      </w:r>
    </w:p>
    <w:p w14:paraId="175F285F" w14:textId="1A1BE7F7" w:rsidR="00EE3DBD" w:rsidRPr="00307028" w:rsidRDefault="00EE3DBD" w:rsidP="000F28A8">
      <w:pPr>
        <w:spacing w:after="120" w:line="259" w:lineRule="auto"/>
        <w:ind w:firstLine="720"/>
        <w:jc w:val="both"/>
        <w:rPr>
          <w:rFonts w:eastAsiaTheme="minorHAnsi"/>
          <w:b/>
          <w:bCs/>
          <w:kern w:val="2"/>
          <w:lang w:eastAsia="en-US"/>
          <w14:ligatures w14:val="standardContextual"/>
        </w:rPr>
      </w:pPr>
      <w:r w:rsidRPr="00307028">
        <w:rPr>
          <w:rFonts w:eastAsiaTheme="minorHAnsi"/>
          <w:kern w:val="2"/>
          <w:lang w:eastAsia="en-US"/>
          <w14:ligatures w14:val="standardContextual"/>
        </w:rPr>
        <w:t>Starpsvētku procesa nodrošināšanai VISC vienu reizi piecos gados starpsvētku posmā organizē visu vecuma grupu (no 1.</w:t>
      </w:r>
      <w:r w:rsidR="00E6210A"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līdz 12.</w:t>
      </w:r>
      <w:r w:rsidR="00E6210A"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klasei) interešu izglītības kultūrizglītības jomu pasākumus, piemēram, Vidusskolu jaukto koru salidojumu, Latvijas zēnu koru salidojumu, 1.</w:t>
      </w:r>
      <w:r w:rsidR="00F240E3" w:rsidRPr="00307028">
        <w:rPr>
          <w:rFonts w:eastAsiaTheme="minorHAnsi"/>
          <w:kern w:val="2"/>
          <w:lang w:eastAsia="en-US"/>
          <w14:ligatures w14:val="standardContextual"/>
        </w:rPr>
        <w:t> </w:t>
      </w:r>
      <w:r w:rsidR="00E6210A" w:rsidRPr="00307028">
        <w:rPr>
          <w:rFonts w:eastAsiaTheme="minorHAnsi"/>
          <w:kern w:val="2"/>
          <w:lang w:eastAsia="en-US"/>
          <w14:ligatures w14:val="standardContextual"/>
        </w:rPr>
        <w:t>–</w:t>
      </w:r>
      <w:r w:rsidR="008E73FF">
        <w:rPr>
          <w:rFonts w:eastAsiaTheme="minorHAnsi"/>
          <w:kern w:val="2"/>
          <w:lang w:eastAsia="en-US"/>
          <w14:ligatures w14:val="standardContextual"/>
        </w:rPr>
        <w:t> </w:t>
      </w:r>
      <w:r w:rsidRPr="00307028">
        <w:rPr>
          <w:rFonts w:eastAsiaTheme="minorHAnsi"/>
          <w:kern w:val="2"/>
          <w:lang w:eastAsia="en-US"/>
          <w14:ligatures w14:val="standardContextual"/>
        </w:rPr>
        <w:t>4.</w:t>
      </w:r>
      <w:r w:rsidR="00E6210A"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klašu koru festivālu “Tauriņu balsis”, Tautas mūzikas festivālu, Pūtēju orķestru salidojumu, Latvijas izglītības iestāžu simfonisko, stīgu un kamerorķestru festivālu-konkursu “Con Anima”, Skolu teātru izrāžu parādi – festivālu, Mūzikas un mākslas festivālu “Toņi un pustoņi”. </w:t>
      </w:r>
    </w:p>
    <w:p w14:paraId="389C8028" w14:textId="6B9309E2" w:rsidR="00EE3DBD" w:rsidRPr="00307028" w:rsidRDefault="00EE3DBD" w:rsidP="00DB4AD2">
      <w:pPr>
        <w:spacing w:after="120" w:line="259" w:lineRule="auto"/>
        <w:ind w:firstLine="720"/>
        <w:jc w:val="both"/>
        <w:rPr>
          <w:rFonts w:eastAsiaTheme="minorHAnsi"/>
          <w:lang w:eastAsia="en-US"/>
        </w:rPr>
      </w:pPr>
      <w:r w:rsidRPr="00307028">
        <w:rPr>
          <w:rFonts w:eastAsiaTheme="minorHAnsi"/>
          <w:lang w:eastAsia="en-US"/>
        </w:rPr>
        <w:t xml:space="preserve">Savukārt sadarbībā ar pašvaldību </w:t>
      </w:r>
      <w:r w:rsidR="00274053" w:rsidRPr="00307028">
        <w:rPr>
          <w:rFonts w:eastAsiaTheme="minorHAnsi"/>
          <w:lang w:eastAsia="en-US"/>
        </w:rPr>
        <w:t>i</w:t>
      </w:r>
      <w:r w:rsidRPr="00307028">
        <w:rPr>
          <w:rFonts w:eastAsiaTheme="minorHAnsi"/>
          <w:lang w:eastAsia="en-US"/>
        </w:rPr>
        <w:t>zglītības pārvaldēm un interešu izglītības iestādēm tiek organizēti ikgadējie pasākumi, piemēram, Bērnu tautas deju festivāl</w:t>
      </w:r>
      <w:r w:rsidR="00E6210A" w:rsidRPr="00307028">
        <w:rPr>
          <w:rFonts w:eastAsiaTheme="minorHAnsi"/>
          <w:lang w:eastAsia="en-US"/>
        </w:rPr>
        <w:t>s</w:t>
      </w:r>
      <w:r w:rsidRPr="00307028">
        <w:rPr>
          <w:rFonts w:eastAsiaTheme="minorHAnsi"/>
          <w:lang w:eastAsia="en-US"/>
        </w:rPr>
        <w:t xml:space="preserve"> “Latvju bērni danci veda”, Nemateriālā kultūras mantojuma apgūšanas un pārmantošanas programm</w:t>
      </w:r>
      <w:r w:rsidR="00E6210A" w:rsidRPr="00307028">
        <w:rPr>
          <w:rFonts w:eastAsiaTheme="minorHAnsi"/>
          <w:lang w:eastAsia="en-US"/>
        </w:rPr>
        <w:t>a</w:t>
      </w:r>
      <w:r w:rsidRPr="00307028">
        <w:rPr>
          <w:rFonts w:eastAsiaTheme="minorHAnsi"/>
          <w:lang w:eastAsia="en-US"/>
        </w:rPr>
        <w:t xml:space="preserve"> “Pulkā eimu, pulkā teku” (konkursi un nacionālais sarīkojums), Jaundeju konkurs</w:t>
      </w:r>
      <w:r w:rsidR="00E6210A" w:rsidRPr="00307028">
        <w:rPr>
          <w:rFonts w:eastAsiaTheme="minorHAnsi"/>
          <w:lang w:eastAsia="en-US"/>
        </w:rPr>
        <w:t>s</w:t>
      </w:r>
      <w:r w:rsidRPr="00307028">
        <w:rPr>
          <w:rFonts w:eastAsiaTheme="minorHAnsi"/>
          <w:lang w:eastAsia="en-US"/>
        </w:rPr>
        <w:t xml:space="preserve"> “Mēs un deja”</w:t>
      </w:r>
      <w:r w:rsidR="00F2455A" w:rsidRPr="00307028">
        <w:rPr>
          <w:rFonts w:eastAsiaTheme="minorHAnsi"/>
          <w:lang w:eastAsia="en-US"/>
        </w:rPr>
        <w:t>,</w:t>
      </w:r>
      <w:r w:rsidRPr="00307028">
        <w:rPr>
          <w:rFonts w:eastAsiaTheme="minorHAnsi"/>
          <w:lang w:eastAsia="en-US"/>
        </w:rPr>
        <w:t xml:space="preserve"> Mūsdienu deju radoš</w:t>
      </w:r>
      <w:r w:rsidR="00274053" w:rsidRPr="00307028">
        <w:rPr>
          <w:rFonts w:eastAsiaTheme="minorHAnsi"/>
          <w:lang w:eastAsia="en-US"/>
        </w:rPr>
        <w:t>ais</w:t>
      </w:r>
      <w:r w:rsidRPr="00307028">
        <w:rPr>
          <w:rFonts w:eastAsiaTheme="minorHAnsi"/>
          <w:lang w:eastAsia="en-US"/>
        </w:rPr>
        <w:t xml:space="preserve"> konkurs</w:t>
      </w:r>
      <w:r w:rsidR="00E6210A" w:rsidRPr="00307028">
        <w:rPr>
          <w:rFonts w:eastAsiaTheme="minorHAnsi"/>
          <w:lang w:eastAsia="en-US"/>
        </w:rPr>
        <w:t>s</w:t>
      </w:r>
      <w:r w:rsidRPr="00307028">
        <w:rPr>
          <w:rFonts w:eastAsiaTheme="minorHAnsi"/>
          <w:lang w:eastAsia="en-US"/>
        </w:rPr>
        <w:t>, Pūtēju orķestru konkurs</w:t>
      </w:r>
      <w:r w:rsidR="00E6210A" w:rsidRPr="00307028">
        <w:rPr>
          <w:rFonts w:eastAsiaTheme="minorHAnsi"/>
          <w:lang w:eastAsia="en-US"/>
        </w:rPr>
        <w:t>s</w:t>
      </w:r>
      <w:r w:rsidRPr="00307028">
        <w:rPr>
          <w:rFonts w:eastAsiaTheme="minorHAnsi"/>
          <w:lang w:eastAsia="en-US"/>
        </w:rPr>
        <w:t>, Pūtēju orķestru defilē programm</w:t>
      </w:r>
      <w:r w:rsidR="00E6210A" w:rsidRPr="00307028">
        <w:rPr>
          <w:rFonts w:eastAsiaTheme="minorHAnsi"/>
          <w:lang w:eastAsia="en-US"/>
        </w:rPr>
        <w:t>a</w:t>
      </w:r>
      <w:r w:rsidRPr="00307028">
        <w:rPr>
          <w:rFonts w:eastAsiaTheme="minorHAnsi"/>
          <w:lang w:eastAsia="en-US"/>
        </w:rPr>
        <w:t xml:space="preserve"> (finālkonkurss) un pūtēju orķestru koncert</w:t>
      </w:r>
      <w:r w:rsidR="00E6210A" w:rsidRPr="00307028">
        <w:rPr>
          <w:rFonts w:eastAsiaTheme="minorHAnsi"/>
          <w:lang w:eastAsia="en-US"/>
        </w:rPr>
        <w:t>s</w:t>
      </w:r>
      <w:r w:rsidRPr="00307028">
        <w:rPr>
          <w:rFonts w:eastAsiaTheme="minorHAnsi"/>
          <w:lang w:eastAsia="en-US"/>
        </w:rPr>
        <w:t xml:space="preserve"> Brīvības laukumā 4. maijā, Starptautisk</w:t>
      </w:r>
      <w:r w:rsidR="00E6210A" w:rsidRPr="00307028">
        <w:rPr>
          <w:rFonts w:eastAsiaTheme="minorHAnsi"/>
          <w:lang w:eastAsia="en-US"/>
        </w:rPr>
        <w:t>ais</w:t>
      </w:r>
      <w:r w:rsidRPr="00307028">
        <w:rPr>
          <w:rFonts w:eastAsiaTheme="minorHAnsi"/>
          <w:lang w:eastAsia="en-US"/>
        </w:rPr>
        <w:t xml:space="preserve"> mākslas konkurs</w:t>
      </w:r>
      <w:r w:rsidR="00E6210A" w:rsidRPr="00307028">
        <w:rPr>
          <w:rFonts w:eastAsiaTheme="minorHAnsi"/>
          <w:lang w:eastAsia="en-US"/>
        </w:rPr>
        <w:t>s</w:t>
      </w:r>
      <w:r w:rsidRPr="00307028">
        <w:rPr>
          <w:rFonts w:eastAsiaTheme="minorHAnsi"/>
          <w:lang w:eastAsia="en-US"/>
        </w:rPr>
        <w:t xml:space="preserve"> “Lidice”, Skolēnu skatuves runas konkurs</w:t>
      </w:r>
      <w:r w:rsidR="00E6210A" w:rsidRPr="00307028">
        <w:rPr>
          <w:rFonts w:eastAsiaTheme="minorHAnsi"/>
          <w:lang w:eastAsia="en-US"/>
        </w:rPr>
        <w:t>s</w:t>
      </w:r>
      <w:r w:rsidRPr="00307028">
        <w:rPr>
          <w:rFonts w:eastAsiaTheme="minorHAnsi"/>
          <w:lang w:eastAsia="en-US"/>
        </w:rPr>
        <w:t>, Vokālo ansambļu konkurs</w:t>
      </w:r>
      <w:r w:rsidR="005A01BA" w:rsidRPr="00307028">
        <w:rPr>
          <w:rFonts w:eastAsiaTheme="minorHAnsi"/>
          <w:lang w:eastAsia="en-US"/>
        </w:rPr>
        <w:t>s</w:t>
      </w:r>
      <w:r w:rsidRPr="00307028">
        <w:rPr>
          <w:rFonts w:eastAsiaTheme="minorHAnsi"/>
          <w:lang w:eastAsia="en-US"/>
        </w:rPr>
        <w:t xml:space="preserve"> “Balsis” u.c.</w:t>
      </w:r>
    </w:p>
    <w:p w14:paraId="66ED487C" w14:textId="5D57BA56" w:rsidR="00EE3DBD" w:rsidRPr="00307028" w:rsidRDefault="00EE3DBD" w:rsidP="00DB4AD2">
      <w:pPr>
        <w:spacing w:after="120" w:line="259" w:lineRule="auto"/>
        <w:ind w:firstLine="720"/>
        <w:jc w:val="both"/>
        <w:rPr>
          <w:rFonts w:eastAsiaTheme="minorHAnsi"/>
          <w:lang w:eastAsia="en-US"/>
        </w:rPr>
      </w:pPr>
      <w:r w:rsidRPr="00307028">
        <w:rPr>
          <w:rFonts w:eastAsiaTheme="minorHAnsi"/>
          <w:lang w:eastAsia="en-US"/>
        </w:rPr>
        <w:t>Lai nodrošinātu visu svētku procesu</w:t>
      </w:r>
      <w:r w:rsidR="005A01BA" w:rsidRPr="00307028">
        <w:rPr>
          <w:rFonts w:eastAsiaTheme="minorHAnsi"/>
          <w:lang w:eastAsia="en-US"/>
        </w:rPr>
        <w:t xml:space="preserve"> un</w:t>
      </w:r>
      <w:r w:rsidRPr="00307028">
        <w:rPr>
          <w:rFonts w:eastAsiaTheme="minorHAnsi"/>
          <w:lang w:eastAsia="en-US"/>
        </w:rPr>
        <w:t xml:space="preserve"> pedagogu profesionālo pilnveidi, regulāri tiek sagatavoti metodiskie materiāli, pilnveidots un papildināts koprepertuārs skolēnu kolektīviem, organizēti pedagogu (kolektīvu vadītāju) profesionālās kompetences pilnveides kursi un</w:t>
      </w:r>
      <w:r w:rsidR="00F240E3" w:rsidRPr="00307028">
        <w:rPr>
          <w:rFonts w:eastAsiaTheme="minorHAnsi"/>
          <w:lang w:eastAsia="en-US"/>
        </w:rPr>
        <w:t xml:space="preserve"> </w:t>
      </w:r>
      <w:r w:rsidRPr="00307028">
        <w:rPr>
          <w:rFonts w:eastAsiaTheme="minorHAnsi"/>
          <w:lang w:eastAsia="en-US"/>
        </w:rPr>
        <w:t>semināri.</w:t>
      </w:r>
    </w:p>
    <w:p w14:paraId="3802A19A" w14:textId="6E6B9792" w:rsidR="00EE3DBD" w:rsidRPr="00307028" w:rsidRDefault="00EE3DBD" w:rsidP="00DB4AD2">
      <w:pPr>
        <w:spacing w:after="120" w:line="259" w:lineRule="auto"/>
        <w:ind w:firstLine="720"/>
        <w:jc w:val="both"/>
        <w:rPr>
          <w:rFonts w:eastAsiaTheme="minorHAnsi"/>
          <w:lang w:eastAsia="en-US"/>
        </w:rPr>
      </w:pPr>
      <w:r w:rsidRPr="00307028">
        <w:rPr>
          <w:rFonts w:eastAsiaTheme="minorHAnsi"/>
          <w:lang w:eastAsia="en-US"/>
        </w:rPr>
        <w:t xml:space="preserve">Kārtējo Latvijas </w:t>
      </w:r>
      <w:r w:rsidR="00296772" w:rsidRPr="00307028">
        <w:rPr>
          <w:rFonts w:eastAsiaTheme="minorHAnsi"/>
          <w:lang w:eastAsia="en-US"/>
        </w:rPr>
        <w:t>S</w:t>
      </w:r>
      <w:r w:rsidRPr="00307028">
        <w:rPr>
          <w:rFonts w:eastAsiaTheme="minorHAnsi"/>
          <w:lang w:eastAsia="en-US"/>
        </w:rPr>
        <w:t>kolu jaunatnes dziesmu un deju svētku sagatavošana tiek uzsākta uzreiz pēc iepriekšējo svētku norises 3</w:t>
      </w:r>
      <w:r w:rsidR="005A01BA" w:rsidRPr="00307028">
        <w:rPr>
          <w:rFonts w:eastAsiaTheme="minorHAnsi"/>
          <w:lang w:eastAsia="en-US"/>
        </w:rPr>
        <w:t xml:space="preserve"> līdz </w:t>
      </w:r>
      <w:r w:rsidRPr="00307028">
        <w:rPr>
          <w:rFonts w:eastAsiaTheme="minorHAnsi"/>
          <w:lang w:eastAsia="en-US"/>
        </w:rPr>
        <w:t>4 gadu laikā. Šajā laikā notiek Svētku mākslinieciskās koncepcijas konkurss, Svētku programmas koncertu koncepciju konkursi, tiek izveidotas norišu radošās darba grupas, pasūtīts repertuārs u.c.</w:t>
      </w:r>
    </w:p>
    <w:p w14:paraId="57FE61A4" w14:textId="77777777"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Svētku norises nodrošināšanai tiek izstrādāti normatīvie akti, kuri regulē šādus jautājumus:</w:t>
      </w:r>
    </w:p>
    <w:p w14:paraId="54F4C278" w14:textId="77777777" w:rsidR="00EE3DBD" w:rsidRPr="00307028" w:rsidRDefault="00EE3DBD" w:rsidP="00070D5F">
      <w:pPr>
        <w:numPr>
          <w:ilvl w:val="1"/>
          <w:numId w:val="32"/>
        </w:numPr>
        <w:spacing w:after="120" w:line="259" w:lineRule="auto"/>
        <w:ind w:left="0" w:firstLine="720"/>
        <w:jc w:val="both"/>
        <w:rPr>
          <w:rFonts w:eastAsiaTheme="minorHAnsi"/>
          <w:lang w:eastAsia="en-US"/>
        </w:rPr>
      </w:pPr>
      <w:r w:rsidRPr="00307028">
        <w:rPr>
          <w:rFonts w:eastAsiaTheme="minorHAnsi"/>
          <w:lang w:eastAsia="en-US"/>
        </w:rPr>
        <w:t>Rīcības komiteja (MK rīkojums)</w:t>
      </w:r>
    </w:p>
    <w:p w14:paraId="4CD55307" w14:textId="77777777" w:rsidR="00EE3DBD" w:rsidRPr="00307028" w:rsidRDefault="00EE3DBD" w:rsidP="00070D5F">
      <w:pPr>
        <w:numPr>
          <w:ilvl w:val="1"/>
          <w:numId w:val="32"/>
        </w:numPr>
        <w:spacing w:after="120" w:line="259" w:lineRule="auto"/>
        <w:ind w:left="0" w:firstLine="720"/>
        <w:jc w:val="both"/>
        <w:rPr>
          <w:rFonts w:eastAsiaTheme="minorHAnsi"/>
          <w:lang w:eastAsia="en-US"/>
        </w:rPr>
      </w:pPr>
      <w:r w:rsidRPr="00307028">
        <w:rPr>
          <w:rFonts w:eastAsiaTheme="minorHAnsi"/>
          <w:lang w:eastAsia="en-US"/>
        </w:rPr>
        <w:t>Norises laiks un vietas (MK rīkojums)</w:t>
      </w:r>
    </w:p>
    <w:p w14:paraId="2EDF20CA" w14:textId="77777777" w:rsidR="00EE3DBD" w:rsidRPr="00307028" w:rsidRDefault="00EE3DBD" w:rsidP="00070D5F">
      <w:pPr>
        <w:numPr>
          <w:ilvl w:val="1"/>
          <w:numId w:val="32"/>
        </w:numPr>
        <w:spacing w:after="120" w:line="259" w:lineRule="auto"/>
        <w:ind w:left="1418" w:hanging="709"/>
        <w:jc w:val="both"/>
        <w:rPr>
          <w:rFonts w:eastAsiaTheme="minorHAnsi"/>
          <w:lang w:eastAsia="en-US"/>
        </w:rPr>
      </w:pPr>
      <w:r w:rsidRPr="00307028">
        <w:rPr>
          <w:rFonts w:eastAsiaTheme="minorHAnsi"/>
          <w:lang w:eastAsia="en-US"/>
        </w:rPr>
        <w:t>Maksas pakalpojumu cenrādis Latvijas Skolu jaunatnes dziesmu un deju svētku pasākumu nodrošināšanai (MK noteikumi)</w:t>
      </w:r>
    </w:p>
    <w:p w14:paraId="40F9B8C7" w14:textId="77777777" w:rsidR="00EE3DBD" w:rsidRPr="00307028" w:rsidRDefault="00EE3DBD" w:rsidP="00070D5F">
      <w:pPr>
        <w:numPr>
          <w:ilvl w:val="1"/>
          <w:numId w:val="32"/>
        </w:numPr>
        <w:spacing w:after="120" w:line="259" w:lineRule="auto"/>
        <w:ind w:left="0" w:firstLine="720"/>
        <w:jc w:val="both"/>
        <w:rPr>
          <w:rFonts w:eastAsiaTheme="minorHAnsi"/>
          <w:lang w:eastAsia="en-US"/>
        </w:rPr>
      </w:pPr>
      <w:r w:rsidRPr="00307028">
        <w:rPr>
          <w:rFonts w:eastAsiaTheme="minorHAnsi"/>
          <w:lang w:eastAsia="en-US"/>
        </w:rPr>
        <w:t>Mākslinieciskās padomes nolikums (IZM nolikums)</w:t>
      </w:r>
    </w:p>
    <w:p w14:paraId="47328A80" w14:textId="77777777" w:rsidR="00EE3DBD" w:rsidRPr="00307028" w:rsidRDefault="00EE3DBD" w:rsidP="00070D5F">
      <w:pPr>
        <w:numPr>
          <w:ilvl w:val="1"/>
          <w:numId w:val="32"/>
        </w:numPr>
        <w:spacing w:after="120" w:line="259" w:lineRule="auto"/>
        <w:ind w:left="0" w:firstLine="720"/>
        <w:jc w:val="both"/>
        <w:rPr>
          <w:rFonts w:eastAsiaTheme="minorHAnsi"/>
          <w:lang w:eastAsia="en-US"/>
        </w:rPr>
      </w:pPr>
      <w:r w:rsidRPr="00307028">
        <w:rPr>
          <w:rFonts w:eastAsiaTheme="minorHAnsi"/>
          <w:lang w:eastAsia="en-US"/>
        </w:rPr>
        <w:t>Mākslinieciskās padomes sastāvs (IZM rīkojums)</w:t>
      </w:r>
    </w:p>
    <w:p w14:paraId="78F83307" w14:textId="77777777" w:rsidR="00EE3DBD" w:rsidRPr="00307028" w:rsidRDefault="00EE3DBD" w:rsidP="00070D5F">
      <w:pPr>
        <w:numPr>
          <w:ilvl w:val="1"/>
          <w:numId w:val="32"/>
        </w:numPr>
        <w:spacing w:after="120" w:line="259" w:lineRule="auto"/>
        <w:ind w:left="0" w:firstLine="720"/>
        <w:jc w:val="both"/>
        <w:rPr>
          <w:rFonts w:eastAsiaTheme="minorHAnsi"/>
          <w:lang w:eastAsia="en-US"/>
        </w:rPr>
      </w:pPr>
      <w:r w:rsidRPr="00307028">
        <w:rPr>
          <w:rFonts w:eastAsiaTheme="minorHAnsi"/>
          <w:lang w:eastAsia="en-US"/>
        </w:rPr>
        <w:t>Operatīvās vadības grupas sastāvs (IZM rīkojums)</w:t>
      </w:r>
    </w:p>
    <w:p w14:paraId="64CA8E46" w14:textId="3AC80A22"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lastRenderedPageBreak/>
        <w:t xml:space="preserve">Latvijas </w:t>
      </w:r>
      <w:r w:rsidR="00296772" w:rsidRPr="00307028">
        <w:rPr>
          <w:rFonts w:eastAsiaTheme="minorHAnsi"/>
          <w:kern w:val="2"/>
          <w:lang w:eastAsia="en-US"/>
          <w14:ligatures w14:val="standardContextual"/>
        </w:rPr>
        <w:t>S</w:t>
      </w:r>
      <w:r w:rsidRPr="00307028">
        <w:rPr>
          <w:rFonts w:eastAsiaTheme="minorHAnsi"/>
          <w:kern w:val="2"/>
          <w:lang w:eastAsia="en-US"/>
          <w14:ligatures w14:val="standardContextual"/>
        </w:rPr>
        <w:t xml:space="preserve">kolu jaunatnes dziesmu un deju svētku process tiek nodrošināts interešu kultūrizglītības programmās, kas galvenokārt tiek īstenotas vispārējās izglītības iestādēs un pašvaldību dibinātās interešu izglītības iestādēs. Kolektīvu vadītājiem </w:t>
      </w:r>
      <w:r w:rsidR="005A01BA" w:rsidRPr="00307028">
        <w:rPr>
          <w:rFonts w:eastAsiaTheme="minorHAnsi"/>
          <w:kern w:val="2"/>
          <w:lang w:eastAsia="en-US"/>
          <w14:ligatures w14:val="standardContextual"/>
        </w:rPr>
        <w:t>(</w:t>
      </w:r>
      <w:r w:rsidRPr="00307028">
        <w:rPr>
          <w:rFonts w:eastAsiaTheme="minorHAnsi"/>
          <w:kern w:val="2"/>
          <w:lang w:eastAsia="en-US"/>
          <w14:ligatures w14:val="standardContextual"/>
        </w:rPr>
        <w:t>interešu izglītības pedagogiem</w:t>
      </w:r>
      <w:r w:rsidR="005A01BA"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atlīdzība pārsvarā tiek nodrošināta no valsts budžeta mērķdotācijas interešu izglītības pedagogiem.</w:t>
      </w:r>
    </w:p>
    <w:p w14:paraId="49C101A6" w14:textId="77777777" w:rsidR="00EE3DBD" w:rsidRPr="00307028" w:rsidRDefault="00EE3DBD" w:rsidP="00017993">
      <w:pPr>
        <w:spacing w:after="120" w:line="259" w:lineRule="auto"/>
        <w:jc w:val="center"/>
        <w:rPr>
          <w:rFonts w:eastAsiaTheme="minorHAnsi"/>
          <w:kern w:val="2"/>
          <w:lang w:eastAsia="en-US"/>
          <w14:ligatures w14:val="standardContextual"/>
        </w:rPr>
      </w:pPr>
      <w:bookmarkStart w:id="72" w:name="_Hlk141357485"/>
      <w:r w:rsidRPr="00307028">
        <w:rPr>
          <w:rFonts w:eastAsiaTheme="minorHAnsi"/>
          <w:b/>
          <w:bCs/>
          <w:i/>
          <w:iCs/>
          <w:kern w:val="2"/>
          <w:sz w:val="22"/>
          <w:szCs w:val="22"/>
          <w:lang w:eastAsia="en-US"/>
          <w14:ligatures w14:val="standardContextual"/>
        </w:rPr>
        <w:t>2.1.1. attēls</w:t>
      </w:r>
      <w:r w:rsidRPr="00307028">
        <w:rPr>
          <w:rFonts w:eastAsia="Verdana"/>
          <w:b/>
          <w:bCs/>
          <w:i/>
          <w:iCs/>
          <w:kern w:val="24"/>
          <w:sz w:val="22"/>
          <w:szCs w:val="22"/>
          <w:lang w:eastAsia="en-US"/>
          <w14:ligatures w14:val="standardContextual"/>
        </w:rPr>
        <w:t xml:space="preserve"> </w:t>
      </w:r>
      <w:r w:rsidRPr="00307028">
        <w:rPr>
          <w:rFonts w:eastAsiaTheme="minorHAnsi"/>
          <w:b/>
          <w:bCs/>
          <w:kern w:val="2"/>
          <w:sz w:val="22"/>
          <w:szCs w:val="22"/>
          <w:lang w:eastAsia="en-US"/>
          <w14:ligatures w14:val="standardContextual"/>
        </w:rPr>
        <w:t xml:space="preserve">Izglītojamo skaits interešu kultūrizglītības programmās </w:t>
      </w:r>
      <w:r w:rsidRPr="00307028">
        <w:rPr>
          <w:rFonts w:eastAsiaTheme="minorHAnsi"/>
          <w:i/>
          <w:iCs/>
          <w:kern w:val="2"/>
          <w:sz w:val="22"/>
          <w:szCs w:val="22"/>
          <w:lang w:eastAsia="en-US"/>
          <w14:ligatures w14:val="standardContextual"/>
        </w:rPr>
        <w:t>(pēc izglītības iestādes veida)</w:t>
      </w:r>
      <w:r w:rsidRPr="00307028">
        <w:rPr>
          <w:rFonts w:eastAsiaTheme="minorHAnsi"/>
          <w:i/>
          <w:iCs/>
          <w:kern w:val="2"/>
          <w:sz w:val="22"/>
          <w:szCs w:val="22"/>
          <w:vertAlign w:val="superscript"/>
          <w:lang w:eastAsia="en-US"/>
          <w14:ligatures w14:val="standardContextual"/>
        </w:rPr>
        <w:footnoteReference w:id="7"/>
      </w:r>
      <w:bookmarkEnd w:id="72"/>
      <w:r w:rsidRPr="00307028">
        <w:rPr>
          <w:rFonts w:eastAsiaTheme="minorHAnsi"/>
          <w:noProof/>
          <w:kern w:val="2"/>
          <w:lang w:eastAsia="lv-LV"/>
          <w14:ligatures w14:val="standardContextual"/>
        </w:rPr>
        <w:drawing>
          <wp:inline distT="0" distB="0" distL="0" distR="0" wp14:anchorId="3F62ABEE" wp14:editId="3A293F1D">
            <wp:extent cx="5786120" cy="2267712"/>
            <wp:effectExtent l="0" t="0" r="5080" b="0"/>
            <wp:docPr id="656597001" name="Chart 1">
              <a:extLst xmlns:a="http://schemas.openxmlformats.org/drawingml/2006/main">
                <a:ext uri="{FF2B5EF4-FFF2-40B4-BE49-F238E27FC236}">
                  <a16:creationId xmlns:a16="http://schemas.microsoft.com/office/drawing/2014/main" id="{79A274F8-03D7-69AF-9C20-4B769C1E28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691E91" w14:textId="6CD326D2"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No </w:t>
      </w:r>
      <w:r w:rsidR="00DB4AD2" w:rsidRPr="00307028">
        <w:rPr>
          <w:rFonts w:eastAsiaTheme="minorHAnsi"/>
          <w:kern w:val="2"/>
          <w:lang w:eastAsia="en-US"/>
          <w14:ligatures w14:val="standardContextual"/>
        </w:rPr>
        <w:t xml:space="preserve">attēlā Nr. 2.1.1. </w:t>
      </w:r>
      <w:r w:rsidRPr="00307028">
        <w:rPr>
          <w:rFonts w:eastAsiaTheme="minorHAnsi"/>
          <w:kern w:val="2"/>
          <w:lang w:eastAsia="en-US"/>
          <w14:ligatures w14:val="standardContextual"/>
        </w:rPr>
        <w:t xml:space="preserve">iekļautās informācijas </w:t>
      </w:r>
      <w:r w:rsidR="005A01BA" w:rsidRPr="00307028">
        <w:rPr>
          <w:rFonts w:eastAsiaTheme="minorHAnsi"/>
          <w:kern w:val="2"/>
          <w:lang w:eastAsia="en-US"/>
          <w14:ligatures w14:val="standardContextual"/>
        </w:rPr>
        <w:t>secināms</w:t>
      </w:r>
      <w:r w:rsidRPr="00307028">
        <w:rPr>
          <w:rFonts w:eastAsiaTheme="minorHAnsi"/>
          <w:kern w:val="2"/>
          <w:lang w:eastAsia="en-US"/>
          <w14:ligatures w14:val="standardContextual"/>
        </w:rPr>
        <w:t>, ka interešu kultūrizglītības programmu īstenošana galvenokārt ir saistīta ar izglītības procesu vispārējās izglītības iestādēs. Jāņem vērā, ka skolēnu dalība interešu kultūrizglītības programmās ir tikai daļēji saistīta ar Dziesmu svētku procesu, jo ne visi šo programmu dalībnieki kļūst par svētku dalībniekiem, bet pilnveido savu kultūras izpratni un pašizpausmi māksl</w:t>
      </w:r>
      <w:r w:rsidR="005A01BA" w:rsidRPr="00307028">
        <w:rPr>
          <w:rFonts w:eastAsiaTheme="minorHAnsi"/>
          <w:kern w:val="2"/>
          <w:lang w:eastAsia="en-US"/>
          <w14:ligatures w14:val="standardContextual"/>
        </w:rPr>
        <w:t>ā</w:t>
      </w:r>
      <w:r w:rsidRPr="00307028">
        <w:rPr>
          <w:rFonts w:eastAsiaTheme="minorHAnsi"/>
          <w:kern w:val="2"/>
          <w:lang w:eastAsia="en-US"/>
          <w14:ligatures w14:val="standardContextual"/>
        </w:rPr>
        <w:t xml:space="preserve"> (viena no jaunā izglītības satura mācību jomām). </w:t>
      </w:r>
    </w:p>
    <w:p w14:paraId="37C64B50" w14:textId="444EAF4A"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Latvijas </w:t>
      </w:r>
      <w:r w:rsidR="00296772" w:rsidRPr="00307028">
        <w:rPr>
          <w:rFonts w:eastAsiaTheme="minorHAnsi"/>
          <w:kern w:val="2"/>
          <w:lang w:eastAsia="en-US"/>
          <w14:ligatures w14:val="standardContextual"/>
        </w:rPr>
        <w:t>S</w:t>
      </w:r>
      <w:r w:rsidRPr="00307028">
        <w:rPr>
          <w:rFonts w:eastAsiaTheme="minorHAnsi"/>
          <w:kern w:val="2"/>
          <w:lang w:eastAsia="en-US"/>
          <w14:ligatures w14:val="standardContextual"/>
        </w:rPr>
        <w:t>kolu jaunatnes dziesmu un deju svētku tradīciju aizsāka Izglītības ministrija 1960. gadā, izvērtējot šādu svētku nepieciešamību skolēnu personības veidošanā. 2025. gadā svētki tiks rīkoti 13. reizi. Savukārt 1956. gadā Igaunijas Izglītības ministrija iedibināja tradīciju par vienotiem Baltijas valstu studentu dziesmu un deju svētkiem “Gaudeamus”, k</w:t>
      </w:r>
      <w:r w:rsidR="005A01BA" w:rsidRPr="00307028">
        <w:rPr>
          <w:rFonts w:eastAsiaTheme="minorHAnsi"/>
          <w:kern w:val="2"/>
          <w:lang w:eastAsia="en-US"/>
          <w14:ligatures w14:val="standardContextual"/>
        </w:rPr>
        <w:t>as</w:t>
      </w:r>
      <w:r w:rsidRPr="00307028">
        <w:rPr>
          <w:rFonts w:eastAsiaTheme="minorHAnsi"/>
          <w:kern w:val="2"/>
          <w:lang w:eastAsia="en-US"/>
          <w14:ligatures w14:val="standardContextual"/>
        </w:rPr>
        <w:t xml:space="preserve"> notiek reizi 4</w:t>
      </w:r>
      <w:r w:rsidR="005A01BA" w:rsidRPr="00307028">
        <w:rPr>
          <w:rFonts w:eastAsiaTheme="minorHAnsi"/>
          <w:kern w:val="2"/>
          <w:lang w:eastAsia="en-US"/>
          <w14:ligatures w14:val="standardContextual"/>
        </w:rPr>
        <w:t xml:space="preserve"> līdz </w:t>
      </w:r>
      <w:r w:rsidRPr="00307028">
        <w:rPr>
          <w:rFonts w:eastAsiaTheme="minorHAnsi"/>
          <w:kern w:val="2"/>
          <w:lang w:eastAsia="en-US"/>
          <w14:ligatures w14:val="standardContextual"/>
        </w:rPr>
        <w:t>5 gados rotācijas kārtībā kādā no Baltijas valstīm. “Gaudeamus” svētkus rīko Baltijas valstu izglītības ministrijas un nākamajiem</w:t>
      </w:r>
      <w:r w:rsidR="005A01BA"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Gaudeamus” svētkiem ir jānotiek Latvijā 2026. gadā (iepriekšējie 2014. gadā notika Daugavpilī (Latvija), 2018. gadā Tartu (Igaunija) un 2022.</w:t>
      </w:r>
      <w:r w:rsidR="00296772"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gadā Viļņā (Lietuva)</w:t>
      </w:r>
      <w:r w:rsidR="005A01BA"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Lai šos svētkus sagatavotu, </w:t>
      </w:r>
      <w:r w:rsidR="005A01BA" w:rsidRPr="00307028">
        <w:rPr>
          <w:rFonts w:eastAsiaTheme="minorHAnsi"/>
          <w:kern w:val="2"/>
          <w:lang w:eastAsia="en-US"/>
          <w14:ligatures w14:val="standardContextual"/>
        </w:rPr>
        <w:t xml:space="preserve">nepieciešama </w:t>
      </w:r>
      <w:r w:rsidRPr="00307028">
        <w:rPr>
          <w:rFonts w:eastAsiaTheme="minorHAnsi"/>
          <w:kern w:val="2"/>
          <w:lang w:eastAsia="en-US"/>
          <w14:ligatures w14:val="standardContextual"/>
        </w:rPr>
        <w:t xml:space="preserve">cieša sadarbība starp Baltijas valstu augstākās izglītības iestādēm. Svētku sagatavošana jāuzsāk jau 2024. gadā, nosakot </w:t>
      </w:r>
      <w:r w:rsidR="005A01BA" w:rsidRPr="00307028">
        <w:rPr>
          <w:rFonts w:eastAsiaTheme="minorHAnsi"/>
          <w:kern w:val="2"/>
          <w:lang w:eastAsia="en-US"/>
          <w14:ligatures w14:val="standardContextual"/>
        </w:rPr>
        <w:t xml:space="preserve">norises </w:t>
      </w:r>
      <w:r w:rsidRPr="00307028">
        <w:rPr>
          <w:rFonts w:eastAsiaTheme="minorHAnsi"/>
          <w:kern w:val="2"/>
          <w:lang w:eastAsia="en-US"/>
          <w14:ligatures w14:val="standardContextual"/>
        </w:rPr>
        <w:t>vietu</w:t>
      </w:r>
      <w:r w:rsidR="005A01BA" w:rsidRPr="00307028">
        <w:rPr>
          <w:rFonts w:eastAsiaTheme="minorHAnsi"/>
          <w:kern w:val="2"/>
          <w:lang w:eastAsia="en-US"/>
          <w14:ligatures w14:val="standardContextual"/>
        </w:rPr>
        <w:t xml:space="preserve"> un</w:t>
      </w:r>
      <w:r w:rsidRPr="00307028">
        <w:rPr>
          <w:rFonts w:eastAsiaTheme="minorHAnsi"/>
          <w:kern w:val="2"/>
          <w:lang w:eastAsia="en-US"/>
          <w14:ligatures w14:val="standardContextual"/>
        </w:rPr>
        <w:t xml:space="preserve"> izveidojot māksliniecisko programmu, to saskaņojot ar Igaunijas un Lietuvas rīkotājiem.</w:t>
      </w:r>
    </w:p>
    <w:p w14:paraId="4D43FD1A" w14:textId="2C534C2F"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Izvērtējot VISC un LNKC funkcijas, </w:t>
      </w:r>
      <w:r w:rsidR="005A01BA" w:rsidRPr="00307028">
        <w:rPr>
          <w:rFonts w:eastAsiaTheme="minorHAnsi"/>
          <w:kern w:val="2"/>
          <w:lang w:eastAsia="en-US"/>
          <w14:ligatures w14:val="standardContextual"/>
        </w:rPr>
        <w:t>secināms,</w:t>
      </w:r>
      <w:r w:rsidRPr="00307028">
        <w:rPr>
          <w:rFonts w:eastAsiaTheme="minorHAnsi"/>
          <w:kern w:val="2"/>
          <w:lang w:eastAsia="en-US"/>
          <w14:ligatures w14:val="standardContextual"/>
        </w:rPr>
        <w:t xml:space="preserve"> ka tās ir līdzīgas attiecībā uz svētku sagatavošanu un organizēšanu, svētku tradīcijas attīstību un saglabāšanu, metodiskā atbalsta un starpsvētku pasākumu nodrošināšanu. Līdz ar to ar mērķi nodrošināt efektīvu un racionālu valsts budžeta līdzekļu izlietojumu, risinājums būtu funkciju konsolidēšana, nododot Latvijas Skolu jaunatnes dziesmu un deju svētku funkcijas izpildi KM</w:t>
      </w:r>
      <w:r w:rsidR="0040105B"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LNKC pārziņā sākot ar 2024.</w:t>
      </w:r>
      <w:r w:rsidR="0034757D" w:rsidRPr="00307028">
        <w:rPr>
          <w:rFonts w:eastAsiaTheme="minorHAnsi"/>
          <w:kern w:val="2"/>
          <w:lang w:eastAsia="en-US"/>
          <w14:ligatures w14:val="standardContextual"/>
        </w:rPr>
        <w:t> </w:t>
      </w:r>
      <w:r w:rsidRPr="00307028">
        <w:rPr>
          <w:rFonts w:eastAsiaTheme="minorHAnsi"/>
          <w:kern w:val="2"/>
          <w:lang w:eastAsia="en-US"/>
          <w14:ligatures w14:val="standardContextual"/>
        </w:rPr>
        <w:t xml:space="preserve">gada 1. janvāri. </w:t>
      </w:r>
    </w:p>
    <w:p w14:paraId="44519B66" w14:textId="7B89CBCC" w:rsidR="00EE3DBD" w:rsidRPr="00307028" w:rsidRDefault="0040105B"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Latvijas </w:t>
      </w:r>
      <w:r w:rsidR="00EE3DBD" w:rsidRPr="00307028">
        <w:rPr>
          <w:rFonts w:eastAsiaTheme="minorHAnsi"/>
          <w:kern w:val="2"/>
          <w:lang w:eastAsia="en-US"/>
          <w14:ligatures w14:val="standardContextual"/>
        </w:rPr>
        <w:t xml:space="preserve">Skolu jaunatnes dziesmu un deju svētku tradīcijas uzturēšanai gadskārtējā valsts budžeta likumā ik gadu tiek plānots </w:t>
      </w:r>
      <w:r w:rsidR="00474ABD" w:rsidRPr="00307028">
        <w:rPr>
          <w:rFonts w:eastAsiaTheme="minorHAnsi"/>
          <w:kern w:val="2"/>
          <w:lang w:eastAsia="en-US"/>
          <w14:ligatures w14:val="standardContextual"/>
        </w:rPr>
        <w:t xml:space="preserve">noteikts </w:t>
      </w:r>
      <w:r w:rsidR="00EE3DBD" w:rsidRPr="00307028">
        <w:rPr>
          <w:rFonts w:eastAsiaTheme="minorHAnsi"/>
          <w:kern w:val="2"/>
          <w:lang w:eastAsia="en-US"/>
          <w14:ligatures w14:val="standardContextual"/>
        </w:rPr>
        <w:t>finansējum</w:t>
      </w:r>
      <w:r w:rsidR="00474ABD" w:rsidRPr="00307028">
        <w:rPr>
          <w:rFonts w:eastAsiaTheme="minorHAnsi"/>
          <w:kern w:val="2"/>
          <w:lang w:eastAsia="en-US"/>
          <w14:ligatures w14:val="standardContextual"/>
        </w:rPr>
        <w:t>a apjoms</w:t>
      </w:r>
      <w:r w:rsidR="00EE3DBD" w:rsidRPr="00307028">
        <w:rPr>
          <w:rFonts w:eastAsiaTheme="minorHAnsi"/>
          <w:kern w:val="2"/>
          <w:lang w:eastAsia="en-US"/>
          <w14:ligatures w14:val="standardContextual"/>
        </w:rPr>
        <w:t xml:space="preserve"> </w:t>
      </w:r>
      <w:r w:rsidR="00474ABD" w:rsidRPr="00307028">
        <w:rPr>
          <w:rFonts w:eastAsiaTheme="minorHAnsi"/>
          <w:kern w:val="2"/>
          <w:lang w:eastAsia="en-US"/>
          <w14:ligatures w14:val="standardContextual"/>
        </w:rPr>
        <w:t>(</w:t>
      </w:r>
      <w:r w:rsidR="00EE3DBD" w:rsidRPr="00307028">
        <w:rPr>
          <w:rFonts w:eastAsiaTheme="minorHAnsi"/>
          <w:kern w:val="2"/>
          <w:lang w:eastAsia="en-US"/>
          <w14:ligatures w14:val="standardContextual"/>
        </w:rPr>
        <w:t xml:space="preserve">2023. gadā tas </w:t>
      </w:r>
      <w:r w:rsidR="00474ABD" w:rsidRPr="00307028">
        <w:rPr>
          <w:rFonts w:eastAsiaTheme="minorHAnsi"/>
          <w:kern w:val="2"/>
          <w:lang w:eastAsia="en-US"/>
          <w14:ligatures w14:val="standardContextual"/>
        </w:rPr>
        <w:t>ir</w:t>
      </w:r>
      <w:r w:rsidR="00EE3DBD" w:rsidRPr="00307028">
        <w:rPr>
          <w:rFonts w:eastAsiaTheme="minorHAnsi"/>
          <w:kern w:val="2"/>
          <w:lang w:eastAsia="en-US"/>
          <w14:ligatures w14:val="standardContextual"/>
        </w:rPr>
        <w:t xml:space="preserve"> </w:t>
      </w:r>
      <w:r w:rsidR="00EE3DBD" w:rsidRPr="00307028">
        <w:rPr>
          <w:rFonts w:eastAsiaTheme="minorHAnsi"/>
          <w:kern w:val="2"/>
          <w:lang w:eastAsia="en-US"/>
          <w14:ligatures w14:val="standardContextual"/>
        </w:rPr>
        <w:lastRenderedPageBreak/>
        <w:t>229</w:t>
      </w:r>
      <w:r w:rsidR="00474ABD" w:rsidRPr="00307028">
        <w:rPr>
          <w:rFonts w:eastAsiaTheme="minorHAnsi"/>
          <w:kern w:val="2"/>
          <w:lang w:eastAsia="en-US"/>
          <w14:ligatures w14:val="standardContextual"/>
        </w:rPr>
        <w:t> </w:t>
      </w:r>
      <w:r w:rsidR="00EE3DBD" w:rsidRPr="00307028">
        <w:rPr>
          <w:rFonts w:eastAsiaTheme="minorHAnsi"/>
          <w:kern w:val="2"/>
          <w:lang w:eastAsia="en-US"/>
          <w14:ligatures w14:val="standardContextual"/>
        </w:rPr>
        <w:t>834</w:t>
      </w:r>
      <w:r w:rsidR="00474ABD" w:rsidRPr="00307028">
        <w:rPr>
          <w:rFonts w:eastAsiaTheme="minorHAnsi"/>
          <w:kern w:val="2"/>
          <w:lang w:eastAsia="en-US"/>
          <w14:ligatures w14:val="standardContextual"/>
        </w:rPr>
        <w:t> </w:t>
      </w:r>
      <w:r w:rsidR="00EE3DBD" w:rsidRPr="00307028">
        <w:rPr>
          <w:rFonts w:eastAsiaTheme="minorHAnsi"/>
          <w:i/>
          <w:iCs/>
          <w:kern w:val="2"/>
          <w:lang w:eastAsia="en-US"/>
          <w14:ligatures w14:val="standardContextual"/>
        </w:rPr>
        <w:t>euro,</w:t>
      </w:r>
      <w:r w:rsidR="00EE3DBD" w:rsidRPr="00307028">
        <w:rPr>
          <w:rFonts w:eastAsiaTheme="minorHAnsi"/>
          <w:kern w:val="2"/>
          <w:lang w:eastAsia="en-US"/>
          <w14:ligatures w14:val="standardContextual"/>
        </w:rPr>
        <w:t xml:space="preserve"> no kuriem 210 308 </w:t>
      </w:r>
      <w:r w:rsidR="00EE3DBD" w:rsidRPr="00307028">
        <w:rPr>
          <w:rFonts w:eastAsiaTheme="minorHAnsi"/>
          <w:i/>
          <w:iCs/>
          <w:kern w:val="2"/>
          <w:lang w:eastAsia="en-US"/>
          <w14:ligatures w14:val="standardContextual"/>
        </w:rPr>
        <w:t>euro</w:t>
      </w:r>
      <w:r w:rsidR="00EE3DBD" w:rsidRPr="00307028">
        <w:rPr>
          <w:rFonts w:eastAsiaTheme="minorHAnsi"/>
          <w:kern w:val="2"/>
          <w:lang w:eastAsia="en-US"/>
          <w14:ligatures w14:val="standardContextual"/>
        </w:rPr>
        <w:t xml:space="preserve"> </w:t>
      </w:r>
      <w:r w:rsidR="00474ABD" w:rsidRPr="00307028">
        <w:rPr>
          <w:rFonts w:eastAsiaTheme="minorHAnsi"/>
          <w:kern w:val="2"/>
          <w:lang w:eastAsia="en-US"/>
          <w14:ligatures w14:val="standardContextual"/>
        </w:rPr>
        <w:t xml:space="preserve">paredzēti </w:t>
      </w:r>
      <w:r w:rsidR="00EE3DBD" w:rsidRPr="00307028">
        <w:rPr>
          <w:rFonts w:eastAsiaTheme="minorHAnsi"/>
          <w:kern w:val="2"/>
          <w:lang w:eastAsia="en-US"/>
          <w14:ligatures w14:val="standardContextual"/>
        </w:rPr>
        <w:t>atlīdzība</w:t>
      </w:r>
      <w:r w:rsidR="00474ABD" w:rsidRPr="00307028">
        <w:rPr>
          <w:rFonts w:eastAsiaTheme="minorHAnsi"/>
          <w:kern w:val="2"/>
          <w:lang w:eastAsia="en-US"/>
          <w14:ligatures w14:val="standardContextual"/>
        </w:rPr>
        <w:t>i</w:t>
      </w:r>
      <w:r w:rsidR="00EE3DBD" w:rsidRPr="00307028">
        <w:rPr>
          <w:rFonts w:eastAsiaTheme="minorHAnsi"/>
          <w:kern w:val="2"/>
          <w:lang w:eastAsia="en-US"/>
          <w14:ligatures w14:val="standardContextual"/>
        </w:rPr>
        <w:t>,</w:t>
      </w:r>
      <w:r w:rsidR="00474ABD" w:rsidRPr="00307028">
        <w:rPr>
          <w:rFonts w:eastAsiaTheme="minorHAnsi"/>
          <w:kern w:val="2"/>
          <w:lang w:eastAsia="en-US"/>
          <w14:ligatures w14:val="standardContextual"/>
        </w:rPr>
        <w:t xml:space="preserve"> bet</w:t>
      </w:r>
      <w:r w:rsidR="00EE3DBD" w:rsidRPr="00307028">
        <w:rPr>
          <w:rFonts w:eastAsiaTheme="minorHAnsi"/>
          <w:kern w:val="2"/>
          <w:lang w:eastAsia="en-US"/>
          <w14:ligatures w14:val="standardContextual"/>
        </w:rPr>
        <w:t xml:space="preserve"> 19 526 </w:t>
      </w:r>
      <w:r w:rsidR="00EE3DBD" w:rsidRPr="00307028">
        <w:rPr>
          <w:rFonts w:eastAsiaTheme="minorHAnsi"/>
          <w:i/>
          <w:iCs/>
          <w:kern w:val="2"/>
          <w:lang w:eastAsia="en-US"/>
          <w14:ligatures w14:val="standardContextual"/>
        </w:rPr>
        <w:t>euro</w:t>
      </w:r>
      <w:r w:rsidR="00EE3DBD" w:rsidRPr="00307028">
        <w:rPr>
          <w:rFonts w:eastAsiaTheme="minorHAnsi"/>
          <w:kern w:val="2"/>
          <w:lang w:eastAsia="en-US"/>
          <w14:ligatures w14:val="standardContextual"/>
        </w:rPr>
        <w:t xml:space="preserve"> prec</w:t>
      </w:r>
      <w:r w:rsidR="00474ABD" w:rsidRPr="00307028">
        <w:rPr>
          <w:rFonts w:eastAsiaTheme="minorHAnsi"/>
          <w:kern w:val="2"/>
          <w:lang w:eastAsia="en-US"/>
          <w14:ligatures w14:val="standardContextual"/>
        </w:rPr>
        <w:t>ēm</w:t>
      </w:r>
      <w:r w:rsidR="00EE3DBD" w:rsidRPr="00307028">
        <w:rPr>
          <w:rFonts w:eastAsiaTheme="minorHAnsi"/>
          <w:kern w:val="2"/>
          <w:lang w:eastAsia="en-US"/>
          <w14:ligatures w14:val="standardContextual"/>
        </w:rPr>
        <w:t xml:space="preserve"> un pakalpojumi</w:t>
      </w:r>
      <w:r w:rsidR="00474ABD" w:rsidRPr="00307028">
        <w:rPr>
          <w:rFonts w:eastAsiaTheme="minorHAnsi"/>
          <w:kern w:val="2"/>
          <w:lang w:eastAsia="en-US"/>
          <w14:ligatures w14:val="standardContextual"/>
        </w:rPr>
        <w:t>em</w:t>
      </w:r>
      <w:r w:rsidR="00EE3DBD" w:rsidRPr="00307028">
        <w:rPr>
          <w:rFonts w:eastAsiaTheme="minorHAnsi"/>
          <w:kern w:val="2"/>
          <w:lang w:eastAsia="en-US"/>
          <w14:ligatures w14:val="standardContextual"/>
        </w:rPr>
        <w:t xml:space="preserve">. </w:t>
      </w:r>
    </w:p>
    <w:p w14:paraId="09C36070" w14:textId="77777777" w:rsidR="00EE3DBD" w:rsidRPr="00307028" w:rsidRDefault="00EE3DBD" w:rsidP="00EE3DBD">
      <w:pPr>
        <w:spacing w:after="120" w:line="259" w:lineRule="auto"/>
        <w:jc w:val="both"/>
        <w:rPr>
          <w:rFonts w:eastAsiaTheme="minorHAnsi"/>
          <w:kern w:val="2"/>
          <w:lang w:eastAsia="en-US"/>
          <w14:ligatures w14:val="standardContextual"/>
        </w:rPr>
      </w:pPr>
      <w:r w:rsidRPr="00307028">
        <w:rPr>
          <w:rFonts w:eastAsiaTheme="minorHAnsi"/>
          <w:kern w:val="2"/>
          <w:u w:val="single"/>
          <w:lang w:eastAsia="en-US"/>
          <w14:ligatures w14:val="standardContextual"/>
        </w:rPr>
        <w:t>2023. gada finansējuma sadalījums pa apakšprogrammām:</w:t>
      </w:r>
    </w:p>
    <w:p w14:paraId="27576DFF" w14:textId="75F9C2CE"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Budžeta apakšprogrammā 42.03.00 “Skolu jaunatnes dziesmu un deju svētki” </w:t>
      </w:r>
      <w:r w:rsidR="00474ABD"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100</w:t>
      </w:r>
      <w:r w:rsidR="00474ABD" w:rsidRPr="00307028">
        <w:rPr>
          <w:rFonts w:eastAsiaTheme="minorHAnsi"/>
          <w:kern w:val="2"/>
          <w:lang w:eastAsia="en-US"/>
          <w14:ligatures w14:val="standardContextual"/>
        </w:rPr>
        <w:t> </w:t>
      </w:r>
      <w:r w:rsidRPr="00307028">
        <w:rPr>
          <w:rFonts w:eastAsiaTheme="minorHAnsi"/>
          <w:kern w:val="2"/>
          <w:lang w:eastAsia="en-US"/>
          <w14:ligatures w14:val="standardContextual"/>
        </w:rPr>
        <w:t>067</w:t>
      </w:r>
      <w:r w:rsidR="00474ABD" w:rsidRPr="00307028">
        <w:rPr>
          <w:rFonts w:eastAsiaTheme="minorHAnsi"/>
          <w:kern w:val="2"/>
          <w:lang w:eastAsia="en-US"/>
          <w14:ligatures w14:val="standardContextual"/>
        </w:rPr>
        <w:t>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(atlīdzība – 80 541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preces un pakalpojumi – 19 523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t.sk. 1 amata vieta (projektu koordinators) – 10 201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(alga, atvaļinājuma pabalsts 50%, apdrošināšanas polise 260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w:t>
      </w:r>
    </w:p>
    <w:p w14:paraId="6023AA26" w14:textId="04930840"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Budžeta apakšprogrammā 42.06.00 “Valsts izglītības satura centra darbības nodrošināšana” </w:t>
      </w:r>
      <w:r w:rsidR="00474ABD"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129 767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(7 darbinieku atalgojums, atvaļinājuma pabalsts 50% – apdrošināšanas polises (260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1 cilvēks) 1 820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w:t>
      </w:r>
    </w:p>
    <w:p w14:paraId="53435DD4" w14:textId="77777777"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Attiecīgi, lai LNKC nodrošinātu no VISC pārņemto funkciju īstenošanu, nepieciešams veikt amata vietu un </w:t>
      </w:r>
      <w:bookmarkStart w:id="73" w:name="_Hlk141340407"/>
      <w:r w:rsidRPr="00307028">
        <w:rPr>
          <w:rFonts w:eastAsiaTheme="minorHAnsi"/>
          <w:kern w:val="2"/>
          <w:lang w:eastAsia="en-US"/>
          <w14:ligatures w14:val="standardContextual"/>
        </w:rPr>
        <w:t>finansējuma pārdali uz KM budžetu</w:t>
      </w:r>
      <w:bookmarkEnd w:id="73"/>
      <w:r w:rsidRPr="00307028">
        <w:rPr>
          <w:rFonts w:eastAsiaTheme="minorHAnsi"/>
          <w:kern w:val="2"/>
          <w:lang w:eastAsia="en-US"/>
          <w14:ligatures w14:val="standardContextual"/>
        </w:rPr>
        <w:t>:</w:t>
      </w:r>
    </w:p>
    <w:p w14:paraId="5A7368AD" w14:textId="77777777" w:rsidR="00EE3DBD" w:rsidRPr="00307028" w:rsidRDefault="00EE3DBD" w:rsidP="00EE3DBD">
      <w:pPr>
        <w:spacing w:after="120" w:line="259" w:lineRule="auto"/>
        <w:jc w:val="center"/>
        <w:rPr>
          <w:rFonts w:eastAsiaTheme="minorHAnsi"/>
          <w:b/>
          <w:bCs/>
          <w:kern w:val="2"/>
          <w:sz w:val="22"/>
          <w:szCs w:val="22"/>
          <w:lang w:eastAsia="en-US"/>
          <w14:ligatures w14:val="standardContextual"/>
        </w:rPr>
      </w:pPr>
      <w:r w:rsidRPr="00307028">
        <w:rPr>
          <w:rFonts w:eastAsiaTheme="minorHAnsi"/>
          <w:b/>
          <w:bCs/>
          <w:i/>
          <w:iCs/>
          <w:kern w:val="2"/>
          <w:sz w:val="22"/>
          <w:szCs w:val="22"/>
          <w:lang w:eastAsia="en-US"/>
          <w14:ligatures w14:val="standardContextual"/>
        </w:rPr>
        <w:t>2.1.3. tabula</w:t>
      </w:r>
      <w:r w:rsidRPr="00307028">
        <w:rPr>
          <w:rFonts w:eastAsiaTheme="minorHAnsi"/>
          <w:b/>
          <w:bCs/>
          <w:kern w:val="2"/>
          <w:sz w:val="22"/>
          <w:szCs w:val="22"/>
          <w:lang w:eastAsia="en-US"/>
          <w14:ligatures w14:val="standardContextual"/>
        </w:rPr>
        <w:t xml:space="preserve"> Nepieciešamā finansējuma pārdale uz KM budžetu</w:t>
      </w:r>
    </w:p>
    <w:tbl>
      <w:tblPr>
        <w:tblStyle w:val="TableGrid4"/>
        <w:tblW w:w="7792" w:type="dxa"/>
        <w:jc w:val="center"/>
        <w:tblLook w:val="04A0" w:firstRow="1" w:lastRow="0" w:firstColumn="1" w:lastColumn="0" w:noHBand="0" w:noVBand="1"/>
      </w:tblPr>
      <w:tblGrid>
        <w:gridCol w:w="2263"/>
        <w:gridCol w:w="1885"/>
        <w:gridCol w:w="2074"/>
        <w:gridCol w:w="1570"/>
      </w:tblGrid>
      <w:tr w:rsidR="00EE3DBD" w:rsidRPr="00307028" w14:paraId="28B6CEB9" w14:textId="77777777" w:rsidTr="0033230F">
        <w:trPr>
          <w:trHeight w:val="235"/>
          <w:jc w:val="center"/>
        </w:trPr>
        <w:tc>
          <w:tcPr>
            <w:tcW w:w="2263" w:type="dxa"/>
          </w:tcPr>
          <w:p w14:paraId="1883ACD0" w14:textId="77777777" w:rsidR="00EE3DBD" w:rsidRPr="00307028" w:rsidRDefault="00EE3DBD" w:rsidP="0033230F">
            <w:pPr>
              <w:spacing w:line="259" w:lineRule="auto"/>
              <w:jc w:val="both"/>
              <w:rPr>
                <w:rFonts w:eastAsiaTheme="minorHAnsi"/>
                <w:kern w:val="2"/>
                <w:sz w:val="20"/>
                <w:szCs w:val="20"/>
                <w:lang w:val="lv-LV" w:eastAsia="en-US"/>
                <w14:ligatures w14:val="standardContextual"/>
              </w:rPr>
            </w:pPr>
          </w:p>
        </w:tc>
        <w:tc>
          <w:tcPr>
            <w:tcW w:w="1885" w:type="dxa"/>
          </w:tcPr>
          <w:p w14:paraId="0E8953A0" w14:textId="77777777" w:rsidR="00EE3DBD" w:rsidRPr="00307028" w:rsidRDefault="00EE3DBD" w:rsidP="0033230F">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2024. gads</w:t>
            </w:r>
          </w:p>
        </w:tc>
        <w:tc>
          <w:tcPr>
            <w:tcW w:w="2074" w:type="dxa"/>
          </w:tcPr>
          <w:p w14:paraId="4559CD1C" w14:textId="77777777" w:rsidR="00EE3DBD" w:rsidRPr="00307028" w:rsidRDefault="00EE3DBD" w:rsidP="0033230F">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2025. gads</w:t>
            </w:r>
          </w:p>
        </w:tc>
        <w:tc>
          <w:tcPr>
            <w:tcW w:w="1570" w:type="dxa"/>
          </w:tcPr>
          <w:p w14:paraId="211E768D" w14:textId="77777777" w:rsidR="00EE3DBD" w:rsidRPr="00307028" w:rsidRDefault="00EE3DBD" w:rsidP="0033230F">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2026. gads</w:t>
            </w:r>
          </w:p>
        </w:tc>
      </w:tr>
      <w:tr w:rsidR="00EE3DBD" w:rsidRPr="00307028" w14:paraId="1CA0B587" w14:textId="77777777" w:rsidTr="00DB4AD2">
        <w:trPr>
          <w:jc w:val="center"/>
        </w:trPr>
        <w:tc>
          <w:tcPr>
            <w:tcW w:w="7792" w:type="dxa"/>
            <w:gridSpan w:val="4"/>
          </w:tcPr>
          <w:p w14:paraId="08255E56" w14:textId="00EE1A9B"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 xml:space="preserve">42.03.00 “Latvijas </w:t>
            </w:r>
            <w:r w:rsidR="00E25617" w:rsidRPr="00307028">
              <w:rPr>
                <w:rFonts w:eastAsiaTheme="minorHAnsi"/>
                <w:kern w:val="2"/>
                <w:sz w:val="20"/>
                <w:szCs w:val="20"/>
                <w:lang w:val="lv-LV" w:eastAsia="en-US"/>
                <w14:ligatures w14:val="standardContextual"/>
              </w:rPr>
              <w:t>S</w:t>
            </w:r>
            <w:r w:rsidRPr="00307028">
              <w:rPr>
                <w:rFonts w:eastAsiaTheme="minorHAnsi"/>
                <w:kern w:val="2"/>
                <w:sz w:val="20"/>
                <w:szCs w:val="20"/>
                <w:lang w:val="lv-LV" w:eastAsia="en-US"/>
                <w14:ligatures w14:val="standardContextual"/>
              </w:rPr>
              <w:t>kolu jaunatnes un studentu dziesmu un deju svētki”</w:t>
            </w:r>
          </w:p>
        </w:tc>
      </w:tr>
      <w:tr w:rsidR="00EE3DBD" w:rsidRPr="00307028" w14:paraId="3F78B455" w14:textId="77777777" w:rsidTr="00DB4AD2">
        <w:trPr>
          <w:jc w:val="center"/>
        </w:trPr>
        <w:tc>
          <w:tcPr>
            <w:tcW w:w="2263" w:type="dxa"/>
          </w:tcPr>
          <w:p w14:paraId="5C60BCEE"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Bāze</w:t>
            </w:r>
          </w:p>
        </w:tc>
        <w:tc>
          <w:tcPr>
            <w:tcW w:w="1885" w:type="dxa"/>
          </w:tcPr>
          <w:p w14:paraId="063CDBD8"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100 067</w:t>
            </w:r>
          </w:p>
        </w:tc>
        <w:tc>
          <w:tcPr>
            <w:tcW w:w="2074" w:type="dxa"/>
          </w:tcPr>
          <w:p w14:paraId="67CA97BA"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100 067</w:t>
            </w:r>
          </w:p>
        </w:tc>
        <w:tc>
          <w:tcPr>
            <w:tcW w:w="1570" w:type="dxa"/>
          </w:tcPr>
          <w:p w14:paraId="622BA57E"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100 067</w:t>
            </w:r>
          </w:p>
        </w:tc>
      </w:tr>
      <w:tr w:rsidR="00EE3DBD" w:rsidRPr="00307028" w14:paraId="7B7B97E1" w14:textId="77777777" w:rsidTr="00DB4AD2">
        <w:trPr>
          <w:jc w:val="center"/>
        </w:trPr>
        <w:tc>
          <w:tcPr>
            <w:tcW w:w="7792" w:type="dxa"/>
            <w:gridSpan w:val="4"/>
          </w:tcPr>
          <w:p w14:paraId="14AAE764"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42.06.00 “Valsts izglītības satura centra darbības nodrošināšana” (Darbinieku atalgojums)</w:t>
            </w:r>
          </w:p>
        </w:tc>
      </w:tr>
      <w:tr w:rsidR="00EE3DBD" w:rsidRPr="00307028" w14:paraId="7635AC90" w14:textId="77777777" w:rsidTr="00DB4AD2">
        <w:trPr>
          <w:jc w:val="center"/>
        </w:trPr>
        <w:tc>
          <w:tcPr>
            <w:tcW w:w="2263" w:type="dxa"/>
          </w:tcPr>
          <w:p w14:paraId="4F7E878D"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Bāze</w:t>
            </w:r>
          </w:p>
        </w:tc>
        <w:tc>
          <w:tcPr>
            <w:tcW w:w="1885" w:type="dxa"/>
          </w:tcPr>
          <w:p w14:paraId="44230CF5"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129 767</w:t>
            </w:r>
          </w:p>
        </w:tc>
        <w:tc>
          <w:tcPr>
            <w:tcW w:w="2074" w:type="dxa"/>
          </w:tcPr>
          <w:p w14:paraId="0FB4D997"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129 767</w:t>
            </w:r>
          </w:p>
        </w:tc>
        <w:tc>
          <w:tcPr>
            <w:tcW w:w="1570" w:type="dxa"/>
          </w:tcPr>
          <w:p w14:paraId="280C2D61" w14:textId="77777777" w:rsidR="00EE3DBD" w:rsidRPr="00307028" w:rsidRDefault="00EE3DBD" w:rsidP="00DB4AD2">
            <w:pPr>
              <w:spacing w:line="259" w:lineRule="auto"/>
              <w:jc w:val="both"/>
              <w:rPr>
                <w:rFonts w:eastAsiaTheme="minorHAnsi"/>
                <w:kern w:val="2"/>
                <w:sz w:val="20"/>
                <w:szCs w:val="20"/>
                <w:lang w:val="lv-LV" w:eastAsia="en-US"/>
                <w14:ligatures w14:val="standardContextual"/>
              </w:rPr>
            </w:pPr>
            <w:r w:rsidRPr="00307028">
              <w:rPr>
                <w:rFonts w:eastAsiaTheme="minorHAnsi"/>
                <w:kern w:val="2"/>
                <w:sz w:val="20"/>
                <w:szCs w:val="20"/>
                <w:lang w:val="lv-LV" w:eastAsia="en-US"/>
                <w14:ligatures w14:val="standardContextual"/>
              </w:rPr>
              <w:t>129 767</w:t>
            </w:r>
          </w:p>
        </w:tc>
      </w:tr>
      <w:tr w:rsidR="00EE3DBD" w:rsidRPr="00307028" w14:paraId="256DFA17" w14:textId="77777777" w:rsidTr="00DB4AD2">
        <w:trPr>
          <w:jc w:val="center"/>
        </w:trPr>
        <w:tc>
          <w:tcPr>
            <w:tcW w:w="2263" w:type="dxa"/>
          </w:tcPr>
          <w:p w14:paraId="042A17B6" w14:textId="77777777" w:rsidR="00EE3DBD" w:rsidRPr="00307028" w:rsidRDefault="00EE3DBD" w:rsidP="00DB4AD2">
            <w:pPr>
              <w:spacing w:line="259" w:lineRule="auto"/>
              <w:jc w:val="both"/>
              <w:rPr>
                <w:rFonts w:eastAsiaTheme="minorHAnsi"/>
                <w:b/>
                <w:bCs/>
                <w:kern w:val="2"/>
                <w:sz w:val="20"/>
                <w:szCs w:val="20"/>
                <w:lang w:val="lv-LV" w:eastAsia="en-US"/>
                <w14:ligatures w14:val="standardContextual"/>
              </w:rPr>
            </w:pPr>
            <w:r w:rsidRPr="00307028">
              <w:rPr>
                <w:rFonts w:eastAsiaTheme="minorHAnsi"/>
                <w:b/>
                <w:bCs/>
                <w:kern w:val="2"/>
                <w:sz w:val="20"/>
                <w:szCs w:val="20"/>
                <w:lang w:val="lv-LV" w:eastAsia="en-US"/>
                <w14:ligatures w14:val="standardContextual"/>
              </w:rPr>
              <w:t>Kopā</w:t>
            </w:r>
          </w:p>
        </w:tc>
        <w:tc>
          <w:tcPr>
            <w:tcW w:w="1885" w:type="dxa"/>
          </w:tcPr>
          <w:p w14:paraId="5DDC5D48" w14:textId="77777777" w:rsidR="00EE3DBD" w:rsidRPr="00307028" w:rsidRDefault="00EE3DBD" w:rsidP="00DB4AD2">
            <w:pPr>
              <w:spacing w:line="259" w:lineRule="auto"/>
              <w:jc w:val="both"/>
              <w:rPr>
                <w:rFonts w:eastAsiaTheme="minorHAnsi"/>
                <w:b/>
                <w:bCs/>
                <w:kern w:val="2"/>
                <w:sz w:val="20"/>
                <w:szCs w:val="20"/>
                <w:lang w:val="lv-LV" w:eastAsia="en-US"/>
                <w14:ligatures w14:val="standardContextual"/>
              </w:rPr>
            </w:pPr>
            <w:r w:rsidRPr="00307028">
              <w:rPr>
                <w:rFonts w:eastAsiaTheme="minorHAnsi"/>
                <w:b/>
                <w:bCs/>
                <w:kern w:val="2"/>
                <w:sz w:val="20"/>
                <w:szCs w:val="20"/>
                <w:lang w:val="lv-LV" w:eastAsia="en-US"/>
                <w14:ligatures w14:val="standardContextual"/>
              </w:rPr>
              <w:t>229 834</w:t>
            </w:r>
          </w:p>
        </w:tc>
        <w:tc>
          <w:tcPr>
            <w:tcW w:w="2074" w:type="dxa"/>
          </w:tcPr>
          <w:p w14:paraId="69F38DE3" w14:textId="77777777" w:rsidR="00EE3DBD" w:rsidRPr="00307028" w:rsidRDefault="00EE3DBD" w:rsidP="00DB4AD2">
            <w:pPr>
              <w:spacing w:line="259" w:lineRule="auto"/>
              <w:jc w:val="both"/>
              <w:rPr>
                <w:rFonts w:eastAsiaTheme="minorHAnsi"/>
                <w:b/>
                <w:bCs/>
                <w:kern w:val="2"/>
                <w:sz w:val="20"/>
                <w:szCs w:val="20"/>
                <w:lang w:val="lv-LV" w:eastAsia="en-US"/>
                <w14:ligatures w14:val="standardContextual"/>
              </w:rPr>
            </w:pPr>
            <w:r w:rsidRPr="00307028">
              <w:rPr>
                <w:rFonts w:eastAsiaTheme="minorHAnsi"/>
                <w:b/>
                <w:bCs/>
                <w:kern w:val="2"/>
                <w:sz w:val="20"/>
                <w:szCs w:val="20"/>
                <w:lang w:val="lv-LV" w:eastAsia="en-US"/>
                <w14:ligatures w14:val="standardContextual"/>
              </w:rPr>
              <w:t>229 834</w:t>
            </w:r>
          </w:p>
        </w:tc>
        <w:tc>
          <w:tcPr>
            <w:tcW w:w="1570" w:type="dxa"/>
          </w:tcPr>
          <w:p w14:paraId="3F972B89" w14:textId="77777777" w:rsidR="00EE3DBD" w:rsidRPr="00307028" w:rsidRDefault="00EE3DBD" w:rsidP="00DB4AD2">
            <w:pPr>
              <w:spacing w:line="259" w:lineRule="auto"/>
              <w:jc w:val="both"/>
              <w:rPr>
                <w:rFonts w:eastAsiaTheme="minorHAnsi"/>
                <w:b/>
                <w:bCs/>
                <w:kern w:val="2"/>
                <w:sz w:val="20"/>
                <w:szCs w:val="20"/>
                <w:lang w:val="lv-LV" w:eastAsia="en-US"/>
                <w14:ligatures w14:val="standardContextual"/>
              </w:rPr>
            </w:pPr>
            <w:r w:rsidRPr="00307028">
              <w:rPr>
                <w:rFonts w:eastAsiaTheme="minorHAnsi"/>
                <w:b/>
                <w:bCs/>
                <w:kern w:val="2"/>
                <w:sz w:val="20"/>
                <w:szCs w:val="20"/>
                <w:lang w:val="lv-LV" w:eastAsia="en-US"/>
                <w14:ligatures w14:val="standardContextual"/>
              </w:rPr>
              <w:t>229 834</w:t>
            </w:r>
          </w:p>
        </w:tc>
      </w:tr>
    </w:tbl>
    <w:p w14:paraId="07201D99" w14:textId="77777777" w:rsidR="00EE3DBD" w:rsidRPr="00307028" w:rsidRDefault="00EE3DBD" w:rsidP="00DB4AD2">
      <w:pPr>
        <w:spacing w:before="120" w:after="120" w:line="259" w:lineRule="auto"/>
        <w:ind w:firstLine="720"/>
        <w:jc w:val="both"/>
        <w:rPr>
          <w:rFonts w:eastAsiaTheme="minorHAnsi"/>
          <w:kern w:val="2"/>
          <w:shd w:val="clear" w:color="auto" w:fill="FFFFFF"/>
          <w:lang w:eastAsia="en-US"/>
          <w14:ligatures w14:val="standardContextual"/>
        </w:rPr>
      </w:pPr>
      <w:r w:rsidRPr="00307028">
        <w:rPr>
          <w:rFonts w:eastAsiaTheme="minorHAnsi"/>
          <w:kern w:val="2"/>
          <w:lang w:eastAsia="en-US"/>
          <w14:ligatures w14:val="standardContextual"/>
        </w:rPr>
        <w:t xml:space="preserve">Šobrīd </w:t>
      </w:r>
      <w:bookmarkStart w:id="74" w:name="_Hlk141340904"/>
      <w:r w:rsidRPr="00307028">
        <w:rPr>
          <w:rFonts w:eastAsiaTheme="minorHAnsi"/>
          <w:kern w:val="2"/>
          <w:shd w:val="clear" w:color="auto" w:fill="FFFFFF"/>
          <w:lang w:eastAsia="en-US"/>
          <w14:ligatures w14:val="standardContextual"/>
        </w:rPr>
        <w:t xml:space="preserve">Latvijas Skolu jaunatnes dziesmu un deju svētku sagatavošanu un norisi </w:t>
      </w:r>
      <w:bookmarkEnd w:id="74"/>
      <w:r w:rsidRPr="00307028">
        <w:rPr>
          <w:rFonts w:eastAsiaTheme="minorHAnsi"/>
          <w:kern w:val="2"/>
          <w:shd w:val="clear" w:color="auto" w:fill="FFFFFF"/>
          <w:lang w:eastAsia="en-US"/>
          <w14:ligatures w14:val="standardContextual"/>
        </w:rPr>
        <w:t>nodrošina VISC Sadarbības atbalsta departamenta Nemateriālā kultūras mantojuma un ilgtspējīgas attīstības projektu nodaļa, kuras sastāvā ir astoņas amata vietas (7 slodzes):</w:t>
      </w:r>
    </w:p>
    <w:p w14:paraId="761C36DE" w14:textId="77777777" w:rsidR="00EE3DBD" w:rsidRPr="00307028" w:rsidRDefault="00EE3DBD" w:rsidP="00070D5F">
      <w:pPr>
        <w:numPr>
          <w:ilvl w:val="0"/>
          <w:numId w:val="33"/>
        </w:numPr>
        <w:spacing w:after="120" w:line="259" w:lineRule="auto"/>
        <w:ind w:left="0" w:firstLine="720"/>
        <w:jc w:val="both"/>
        <w:rPr>
          <w:rFonts w:eastAsiaTheme="minorHAnsi"/>
          <w:lang w:eastAsia="en-US"/>
        </w:rPr>
      </w:pPr>
      <w:r w:rsidRPr="00307028">
        <w:rPr>
          <w:rFonts w:eastAsiaTheme="minorHAnsi"/>
          <w:shd w:val="clear" w:color="auto" w:fill="FFFFFF"/>
          <w:lang w:eastAsia="en-US"/>
        </w:rPr>
        <w:t>viena ierēdņa – nodaļas vadītāja amata vieta;</w:t>
      </w:r>
    </w:p>
    <w:p w14:paraId="3371DD02" w14:textId="77777777" w:rsidR="00EE3DBD" w:rsidRPr="00307028" w:rsidRDefault="00EE3DBD" w:rsidP="00070D5F">
      <w:pPr>
        <w:numPr>
          <w:ilvl w:val="0"/>
          <w:numId w:val="33"/>
        </w:numPr>
        <w:spacing w:after="120" w:line="259" w:lineRule="auto"/>
        <w:ind w:left="0" w:firstLine="720"/>
        <w:jc w:val="both"/>
        <w:rPr>
          <w:rFonts w:eastAsiaTheme="minorHAnsi"/>
          <w:lang w:eastAsia="en-US"/>
        </w:rPr>
      </w:pPr>
      <w:r w:rsidRPr="00307028">
        <w:rPr>
          <w:rFonts w:eastAsiaTheme="minorHAnsi"/>
          <w:shd w:val="clear" w:color="auto" w:fill="FFFFFF"/>
          <w:lang w:eastAsia="en-US"/>
        </w:rPr>
        <w:t>sešas vecāko ekspertu (darbinieku) amata vietas;</w:t>
      </w:r>
    </w:p>
    <w:p w14:paraId="32386108" w14:textId="77777777" w:rsidR="00EE3DBD" w:rsidRPr="00307028" w:rsidRDefault="00EE3DBD" w:rsidP="00070D5F">
      <w:pPr>
        <w:numPr>
          <w:ilvl w:val="0"/>
          <w:numId w:val="33"/>
        </w:numPr>
        <w:spacing w:after="120" w:line="259" w:lineRule="auto"/>
        <w:ind w:left="0" w:firstLine="720"/>
        <w:jc w:val="both"/>
        <w:rPr>
          <w:rFonts w:eastAsiaTheme="minorHAnsi"/>
          <w:lang w:eastAsia="en-US"/>
        </w:rPr>
      </w:pPr>
      <w:r w:rsidRPr="00307028">
        <w:rPr>
          <w:rFonts w:eastAsiaTheme="minorHAnsi"/>
          <w:shd w:val="clear" w:color="auto" w:fill="FFFFFF"/>
          <w:lang w:eastAsia="en-US"/>
        </w:rPr>
        <w:t>viena projekta koordinatora (darbinieka) amata vieta.</w:t>
      </w:r>
    </w:p>
    <w:p w14:paraId="37EF3870" w14:textId="77777777" w:rsidR="00EE3DBD" w:rsidRPr="00307028" w:rsidRDefault="00EE3DBD" w:rsidP="00EE3DBD">
      <w:pPr>
        <w:spacing w:after="120" w:line="259" w:lineRule="auto"/>
        <w:jc w:val="center"/>
        <w:rPr>
          <w:rFonts w:eastAsiaTheme="minorHAnsi"/>
          <w:b/>
          <w:bCs/>
          <w:sz w:val="22"/>
          <w:szCs w:val="22"/>
          <w:lang w:eastAsia="en-US"/>
        </w:rPr>
      </w:pPr>
      <w:r w:rsidRPr="00307028">
        <w:rPr>
          <w:rFonts w:eastAsiaTheme="minorHAnsi"/>
          <w:b/>
          <w:bCs/>
          <w:i/>
          <w:iCs/>
          <w:sz w:val="22"/>
          <w:szCs w:val="22"/>
          <w:lang w:eastAsia="en-US"/>
        </w:rPr>
        <w:t>2.1.4. tabula</w:t>
      </w:r>
      <w:r w:rsidRPr="00307028">
        <w:rPr>
          <w:rFonts w:eastAsiaTheme="minorHAnsi"/>
          <w:b/>
          <w:bCs/>
          <w:sz w:val="22"/>
          <w:szCs w:val="22"/>
          <w:lang w:eastAsia="en-US"/>
        </w:rPr>
        <w:t xml:space="preserve"> Amata vietas VISC, kas līdz šim nodrošinājušas Latvijas Skolu jaunatnes dziesmu un deju svētku sagatavošanu un norisi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7"/>
        <w:gridCol w:w="1221"/>
        <w:gridCol w:w="997"/>
        <w:gridCol w:w="853"/>
        <w:gridCol w:w="1128"/>
        <w:gridCol w:w="1411"/>
        <w:gridCol w:w="984"/>
        <w:gridCol w:w="1046"/>
      </w:tblGrid>
      <w:tr w:rsidR="00474ABD" w:rsidRPr="00307028" w14:paraId="20F1E4E5" w14:textId="77777777" w:rsidTr="00242A43">
        <w:trPr>
          <w:trHeight w:val="603"/>
        </w:trPr>
        <w:tc>
          <w:tcPr>
            <w:tcW w:w="1437" w:type="dxa"/>
            <w:shd w:val="clear" w:color="auto" w:fill="auto"/>
            <w:tcMar>
              <w:top w:w="12" w:type="dxa"/>
              <w:left w:w="84" w:type="dxa"/>
              <w:bottom w:w="0" w:type="dxa"/>
              <w:right w:w="84" w:type="dxa"/>
            </w:tcMar>
            <w:vAlign w:val="center"/>
            <w:hideMark/>
          </w:tcPr>
          <w:p w14:paraId="0F871DD3"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Amata nosaukums</w:t>
            </w:r>
          </w:p>
        </w:tc>
        <w:tc>
          <w:tcPr>
            <w:tcW w:w="1229" w:type="dxa"/>
            <w:shd w:val="clear" w:color="auto" w:fill="auto"/>
            <w:tcMar>
              <w:top w:w="12" w:type="dxa"/>
              <w:left w:w="84" w:type="dxa"/>
              <w:bottom w:w="0" w:type="dxa"/>
              <w:right w:w="84" w:type="dxa"/>
            </w:tcMar>
            <w:vAlign w:val="center"/>
            <w:hideMark/>
          </w:tcPr>
          <w:p w14:paraId="4D8FF3B4"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Amata juridiskais statuss</w:t>
            </w:r>
          </w:p>
        </w:tc>
        <w:tc>
          <w:tcPr>
            <w:tcW w:w="1007" w:type="dxa"/>
            <w:shd w:val="clear" w:color="auto" w:fill="auto"/>
            <w:tcMar>
              <w:top w:w="12" w:type="dxa"/>
              <w:left w:w="84" w:type="dxa"/>
              <w:bottom w:w="0" w:type="dxa"/>
              <w:right w:w="84" w:type="dxa"/>
            </w:tcMar>
            <w:vAlign w:val="center"/>
            <w:hideMark/>
          </w:tcPr>
          <w:p w14:paraId="2685283E"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Amatu vietas</w:t>
            </w:r>
          </w:p>
        </w:tc>
        <w:tc>
          <w:tcPr>
            <w:tcW w:w="858" w:type="dxa"/>
            <w:shd w:val="clear" w:color="auto" w:fill="auto"/>
            <w:tcMar>
              <w:top w:w="12" w:type="dxa"/>
              <w:left w:w="84" w:type="dxa"/>
              <w:bottom w:w="0" w:type="dxa"/>
              <w:right w:w="84" w:type="dxa"/>
            </w:tcMar>
            <w:vAlign w:val="center"/>
            <w:hideMark/>
          </w:tcPr>
          <w:p w14:paraId="5D65A2EC"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Slodze</w:t>
            </w:r>
          </w:p>
        </w:tc>
        <w:tc>
          <w:tcPr>
            <w:tcW w:w="1134" w:type="dxa"/>
            <w:shd w:val="clear" w:color="auto" w:fill="auto"/>
            <w:tcMar>
              <w:top w:w="12" w:type="dxa"/>
              <w:left w:w="84" w:type="dxa"/>
              <w:bottom w:w="0" w:type="dxa"/>
              <w:right w:w="84" w:type="dxa"/>
            </w:tcMar>
            <w:vAlign w:val="center"/>
            <w:hideMark/>
          </w:tcPr>
          <w:p w14:paraId="1F280DC1"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Profesijas kods</w:t>
            </w:r>
          </w:p>
        </w:tc>
        <w:tc>
          <w:tcPr>
            <w:tcW w:w="1418" w:type="dxa"/>
            <w:shd w:val="clear" w:color="auto" w:fill="auto"/>
            <w:tcMar>
              <w:top w:w="12" w:type="dxa"/>
              <w:left w:w="84" w:type="dxa"/>
              <w:bottom w:w="0" w:type="dxa"/>
              <w:right w:w="84" w:type="dxa"/>
            </w:tcMar>
            <w:vAlign w:val="center"/>
            <w:hideMark/>
          </w:tcPr>
          <w:p w14:paraId="5EA46CAB"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Amata saime (apakšsaime)</w:t>
            </w:r>
          </w:p>
        </w:tc>
        <w:tc>
          <w:tcPr>
            <w:tcW w:w="992" w:type="dxa"/>
            <w:shd w:val="clear" w:color="auto" w:fill="auto"/>
            <w:tcMar>
              <w:top w:w="12" w:type="dxa"/>
              <w:left w:w="84" w:type="dxa"/>
              <w:bottom w:w="0" w:type="dxa"/>
              <w:right w:w="84" w:type="dxa"/>
            </w:tcMar>
            <w:vAlign w:val="center"/>
            <w:hideMark/>
          </w:tcPr>
          <w:p w14:paraId="64E9C7DE"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Amata līmenis</w:t>
            </w:r>
          </w:p>
        </w:tc>
        <w:tc>
          <w:tcPr>
            <w:tcW w:w="992" w:type="dxa"/>
            <w:shd w:val="clear" w:color="auto" w:fill="auto"/>
            <w:tcMar>
              <w:top w:w="12" w:type="dxa"/>
              <w:left w:w="84" w:type="dxa"/>
              <w:bottom w:w="0" w:type="dxa"/>
              <w:right w:w="84" w:type="dxa"/>
            </w:tcMar>
            <w:vAlign w:val="center"/>
            <w:hideMark/>
          </w:tcPr>
          <w:p w14:paraId="77A57121" w14:textId="77777777" w:rsidR="00474ABD" w:rsidRPr="00307028" w:rsidRDefault="00474ABD" w:rsidP="00242A43">
            <w:pPr>
              <w:spacing w:line="259" w:lineRule="auto"/>
              <w:jc w:val="center"/>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Mēnešalgu grupa</w:t>
            </w:r>
          </w:p>
        </w:tc>
      </w:tr>
      <w:tr w:rsidR="00474ABD" w:rsidRPr="00307028" w14:paraId="04742D0C" w14:textId="77777777" w:rsidTr="00242A43">
        <w:trPr>
          <w:trHeight w:val="542"/>
        </w:trPr>
        <w:tc>
          <w:tcPr>
            <w:tcW w:w="1437" w:type="dxa"/>
            <w:shd w:val="clear" w:color="auto" w:fill="auto"/>
            <w:tcMar>
              <w:top w:w="12" w:type="dxa"/>
              <w:left w:w="84" w:type="dxa"/>
              <w:bottom w:w="0" w:type="dxa"/>
              <w:right w:w="84" w:type="dxa"/>
            </w:tcMar>
            <w:vAlign w:val="center"/>
            <w:hideMark/>
          </w:tcPr>
          <w:p w14:paraId="7AE6D9DD"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Nodaļas vadītājs</w:t>
            </w:r>
          </w:p>
        </w:tc>
        <w:tc>
          <w:tcPr>
            <w:tcW w:w="1229" w:type="dxa"/>
            <w:shd w:val="clear" w:color="auto" w:fill="auto"/>
            <w:tcMar>
              <w:top w:w="12" w:type="dxa"/>
              <w:left w:w="84" w:type="dxa"/>
              <w:bottom w:w="0" w:type="dxa"/>
              <w:right w:w="84" w:type="dxa"/>
            </w:tcMar>
            <w:vAlign w:val="center"/>
            <w:hideMark/>
          </w:tcPr>
          <w:p w14:paraId="0540E7B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I</w:t>
            </w:r>
          </w:p>
        </w:tc>
        <w:tc>
          <w:tcPr>
            <w:tcW w:w="1007" w:type="dxa"/>
            <w:shd w:val="clear" w:color="auto" w:fill="auto"/>
            <w:tcMar>
              <w:top w:w="12" w:type="dxa"/>
              <w:left w:w="84" w:type="dxa"/>
              <w:bottom w:w="0" w:type="dxa"/>
              <w:right w:w="84" w:type="dxa"/>
            </w:tcMar>
            <w:vAlign w:val="center"/>
            <w:hideMark/>
          </w:tcPr>
          <w:p w14:paraId="2606888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w:t>
            </w:r>
          </w:p>
        </w:tc>
        <w:tc>
          <w:tcPr>
            <w:tcW w:w="858" w:type="dxa"/>
            <w:shd w:val="clear" w:color="auto" w:fill="auto"/>
            <w:tcMar>
              <w:top w:w="12" w:type="dxa"/>
              <w:left w:w="84" w:type="dxa"/>
              <w:bottom w:w="0" w:type="dxa"/>
              <w:right w:w="84" w:type="dxa"/>
            </w:tcMar>
            <w:vAlign w:val="center"/>
            <w:hideMark/>
          </w:tcPr>
          <w:p w14:paraId="63B0D1EC"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w:t>
            </w:r>
          </w:p>
        </w:tc>
        <w:tc>
          <w:tcPr>
            <w:tcW w:w="1134" w:type="dxa"/>
            <w:shd w:val="clear" w:color="auto" w:fill="auto"/>
            <w:tcMar>
              <w:top w:w="12" w:type="dxa"/>
              <w:left w:w="84" w:type="dxa"/>
              <w:bottom w:w="0" w:type="dxa"/>
              <w:right w:w="84" w:type="dxa"/>
            </w:tcMar>
            <w:vAlign w:val="center"/>
            <w:hideMark/>
          </w:tcPr>
          <w:p w14:paraId="117248FE"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1213 05</w:t>
            </w:r>
          </w:p>
        </w:tc>
        <w:tc>
          <w:tcPr>
            <w:tcW w:w="1418" w:type="dxa"/>
            <w:shd w:val="clear" w:color="auto" w:fill="auto"/>
            <w:tcMar>
              <w:top w:w="12" w:type="dxa"/>
              <w:left w:w="84" w:type="dxa"/>
              <w:bottom w:w="0" w:type="dxa"/>
              <w:right w:w="84" w:type="dxa"/>
            </w:tcMar>
            <w:vAlign w:val="center"/>
            <w:hideMark/>
          </w:tcPr>
          <w:p w14:paraId="6866EE38"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36</w:t>
            </w:r>
          </w:p>
        </w:tc>
        <w:tc>
          <w:tcPr>
            <w:tcW w:w="992" w:type="dxa"/>
            <w:shd w:val="clear" w:color="auto" w:fill="auto"/>
            <w:tcMar>
              <w:top w:w="12" w:type="dxa"/>
              <w:left w:w="84" w:type="dxa"/>
              <w:bottom w:w="0" w:type="dxa"/>
              <w:right w:w="84" w:type="dxa"/>
            </w:tcMar>
            <w:vAlign w:val="center"/>
            <w:hideMark/>
          </w:tcPr>
          <w:p w14:paraId="4FCDD227"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V</w:t>
            </w:r>
          </w:p>
        </w:tc>
        <w:tc>
          <w:tcPr>
            <w:tcW w:w="992" w:type="dxa"/>
            <w:shd w:val="clear" w:color="auto" w:fill="auto"/>
            <w:tcMar>
              <w:top w:w="12" w:type="dxa"/>
              <w:left w:w="84" w:type="dxa"/>
              <w:bottom w:w="0" w:type="dxa"/>
              <w:right w:w="84" w:type="dxa"/>
            </w:tcMar>
            <w:vAlign w:val="center"/>
            <w:hideMark/>
          </w:tcPr>
          <w:p w14:paraId="26040D05"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11</w:t>
            </w:r>
          </w:p>
        </w:tc>
      </w:tr>
      <w:tr w:rsidR="00474ABD" w:rsidRPr="00307028" w14:paraId="58471D84" w14:textId="77777777" w:rsidTr="00242A43">
        <w:trPr>
          <w:trHeight w:val="537"/>
        </w:trPr>
        <w:tc>
          <w:tcPr>
            <w:tcW w:w="1437" w:type="dxa"/>
            <w:shd w:val="clear" w:color="auto" w:fill="auto"/>
            <w:tcMar>
              <w:top w:w="12" w:type="dxa"/>
              <w:left w:w="84" w:type="dxa"/>
              <w:bottom w:w="0" w:type="dxa"/>
              <w:right w:w="84" w:type="dxa"/>
            </w:tcMar>
            <w:vAlign w:val="center"/>
            <w:hideMark/>
          </w:tcPr>
          <w:p w14:paraId="77F0C99F"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Vecākais eksperts</w:t>
            </w:r>
          </w:p>
        </w:tc>
        <w:tc>
          <w:tcPr>
            <w:tcW w:w="1229" w:type="dxa"/>
            <w:shd w:val="clear" w:color="auto" w:fill="auto"/>
            <w:tcMar>
              <w:top w:w="12" w:type="dxa"/>
              <w:left w:w="84" w:type="dxa"/>
              <w:bottom w:w="0" w:type="dxa"/>
              <w:right w:w="84" w:type="dxa"/>
            </w:tcMar>
            <w:vAlign w:val="center"/>
            <w:hideMark/>
          </w:tcPr>
          <w:p w14:paraId="6B73D5A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D</w:t>
            </w:r>
          </w:p>
        </w:tc>
        <w:tc>
          <w:tcPr>
            <w:tcW w:w="1007" w:type="dxa"/>
            <w:shd w:val="clear" w:color="auto" w:fill="auto"/>
            <w:tcMar>
              <w:top w:w="12" w:type="dxa"/>
              <w:left w:w="84" w:type="dxa"/>
              <w:bottom w:w="0" w:type="dxa"/>
              <w:right w:w="84" w:type="dxa"/>
            </w:tcMar>
            <w:vAlign w:val="center"/>
            <w:hideMark/>
          </w:tcPr>
          <w:p w14:paraId="55D8D32B"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w:t>
            </w:r>
          </w:p>
        </w:tc>
        <w:tc>
          <w:tcPr>
            <w:tcW w:w="858" w:type="dxa"/>
            <w:shd w:val="clear" w:color="auto" w:fill="auto"/>
            <w:tcMar>
              <w:top w:w="12" w:type="dxa"/>
              <w:left w:w="84" w:type="dxa"/>
              <w:bottom w:w="0" w:type="dxa"/>
              <w:right w:w="84" w:type="dxa"/>
            </w:tcMar>
            <w:vAlign w:val="center"/>
            <w:hideMark/>
          </w:tcPr>
          <w:p w14:paraId="7A29EE90"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w:t>
            </w:r>
          </w:p>
        </w:tc>
        <w:tc>
          <w:tcPr>
            <w:tcW w:w="1134" w:type="dxa"/>
            <w:shd w:val="clear" w:color="auto" w:fill="auto"/>
            <w:tcMar>
              <w:top w:w="12" w:type="dxa"/>
              <w:left w:w="84" w:type="dxa"/>
              <w:bottom w:w="0" w:type="dxa"/>
              <w:right w:w="84" w:type="dxa"/>
            </w:tcMar>
            <w:vAlign w:val="center"/>
            <w:hideMark/>
          </w:tcPr>
          <w:p w14:paraId="35B1F144"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2422 09</w:t>
            </w:r>
          </w:p>
        </w:tc>
        <w:tc>
          <w:tcPr>
            <w:tcW w:w="1418" w:type="dxa"/>
            <w:shd w:val="clear" w:color="auto" w:fill="auto"/>
            <w:tcMar>
              <w:top w:w="12" w:type="dxa"/>
              <w:left w:w="84" w:type="dxa"/>
              <w:bottom w:w="0" w:type="dxa"/>
              <w:right w:w="84" w:type="dxa"/>
            </w:tcMar>
            <w:vAlign w:val="center"/>
            <w:hideMark/>
          </w:tcPr>
          <w:p w14:paraId="0681875D"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36</w:t>
            </w:r>
          </w:p>
        </w:tc>
        <w:tc>
          <w:tcPr>
            <w:tcW w:w="992" w:type="dxa"/>
            <w:shd w:val="clear" w:color="auto" w:fill="auto"/>
            <w:tcMar>
              <w:top w:w="12" w:type="dxa"/>
              <w:left w:w="84" w:type="dxa"/>
              <w:bottom w:w="0" w:type="dxa"/>
              <w:right w:w="84" w:type="dxa"/>
            </w:tcMar>
            <w:vAlign w:val="center"/>
            <w:hideMark/>
          </w:tcPr>
          <w:p w14:paraId="32329D1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III</w:t>
            </w:r>
          </w:p>
        </w:tc>
        <w:tc>
          <w:tcPr>
            <w:tcW w:w="992" w:type="dxa"/>
            <w:shd w:val="clear" w:color="auto" w:fill="auto"/>
            <w:tcMar>
              <w:top w:w="12" w:type="dxa"/>
              <w:left w:w="84" w:type="dxa"/>
              <w:bottom w:w="0" w:type="dxa"/>
              <w:right w:w="84" w:type="dxa"/>
            </w:tcMar>
            <w:vAlign w:val="center"/>
            <w:hideMark/>
          </w:tcPr>
          <w:p w14:paraId="5AC1CFA0"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9</w:t>
            </w:r>
          </w:p>
        </w:tc>
      </w:tr>
      <w:tr w:rsidR="00474ABD" w:rsidRPr="00307028" w14:paraId="233BCE62" w14:textId="77777777" w:rsidTr="00242A43">
        <w:trPr>
          <w:trHeight w:val="502"/>
        </w:trPr>
        <w:tc>
          <w:tcPr>
            <w:tcW w:w="1437" w:type="dxa"/>
            <w:shd w:val="clear" w:color="auto" w:fill="auto"/>
            <w:tcMar>
              <w:top w:w="12" w:type="dxa"/>
              <w:left w:w="84" w:type="dxa"/>
              <w:bottom w:w="0" w:type="dxa"/>
              <w:right w:w="84" w:type="dxa"/>
            </w:tcMar>
            <w:vAlign w:val="center"/>
            <w:hideMark/>
          </w:tcPr>
          <w:p w14:paraId="3B443C7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Vecākais eksperts</w:t>
            </w:r>
          </w:p>
        </w:tc>
        <w:tc>
          <w:tcPr>
            <w:tcW w:w="1229" w:type="dxa"/>
            <w:shd w:val="clear" w:color="auto" w:fill="auto"/>
            <w:tcMar>
              <w:top w:w="12" w:type="dxa"/>
              <w:left w:w="84" w:type="dxa"/>
              <w:bottom w:w="0" w:type="dxa"/>
              <w:right w:w="84" w:type="dxa"/>
            </w:tcMar>
            <w:vAlign w:val="center"/>
            <w:hideMark/>
          </w:tcPr>
          <w:p w14:paraId="43D0E0E6"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D</w:t>
            </w:r>
          </w:p>
        </w:tc>
        <w:tc>
          <w:tcPr>
            <w:tcW w:w="1007" w:type="dxa"/>
            <w:shd w:val="clear" w:color="auto" w:fill="auto"/>
            <w:tcMar>
              <w:top w:w="12" w:type="dxa"/>
              <w:left w:w="84" w:type="dxa"/>
              <w:bottom w:w="0" w:type="dxa"/>
              <w:right w:w="84" w:type="dxa"/>
            </w:tcMar>
            <w:vAlign w:val="center"/>
            <w:hideMark/>
          </w:tcPr>
          <w:p w14:paraId="3F50A375"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5</w:t>
            </w:r>
          </w:p>
        </w:tc>
        <w:tc>
          <w:tcPr>
            <w:tcW w:w="858" w:type="dxa"/>
            <w:shd w:val="clear" w:color="auto" w:fill="auto"/>
            <w:tcMar>
              <w:top w:w="12" w:type="dxa"/>
              <w:left w:w="84" w:type="dxa"/>
              <w:bottom w:w="0" w:type="dxa"/>
              <w:right w:w="84" w:type="dxa"/>
            </w:tcMar>
            <w:vAlign w:val="center"/>
            <w:hideMark/>
          </w:tcPr>
          <w:p w14:paraId="139B996C"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4,5</w:t>
            </w:r>
          </w:p>
        </w:tc>
        <w:tc>
          <w:tcPr>
            <w:tcW w:w="1134" w:type="dxa"/>
            <w:shd w:val="clear" w:color="auto" w:fill="auto"/>
            <w:tcMar>
              <w:top w:w="12" w:type="dxa"/>
              <w:left w:w="84" w:type="dxa"/>
              <w:bottom w:w="0" w:type="dxa"/>
              <w:right w:w="84" w:type="dxa"/>
            </w:tcMar>
            <w:vAlign w:val="center"/>
            <w:hideMark/>
          </w:tcPr>
          <w:p w14:paraId="53597683"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2422 09</w:t>
            </w:r>
          </w:p>
        </w:tc>
        <w:tc>
          <w:tcPr>
            <w:tcW w:w="1418" w:type="dxa"/>
            <w:shd w:val="clear" w:color="auto" w:fill="auto"/>
            <w:tcMar>
              <w:top w:w="12" w:type="dxa"/>
              <w:left w:w="84" w:type="dxa"/>
              <w:bottom w:w="0" w:type="dxa"/>
              <w:right w:w="84" w:type="dxa"/>
            </w:tcMar>
            <w:vAlign w:val="center"/>
            <w:hideMark/>
          </w:tcPr>
          <w:p w14:paraId="2A2454DC"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36</w:t>
            </w:r>
          </w:p>
        </w:tc>
        <w:tc>
          <w:tcPr>
            <w:tcW w:w="992" w:type="dxa"/>
            <w:shd w:val="clear" w:color="auto" w:fill="auto"/>
            <w:tcMar>
              <w:top w:w="12" w:type="dxa"/>
              <w:left w:w="84" w:type="dxa"/>
              <w:bottom w:w="0" w:type="dxa"/>
              <w:right w:w="84" w:type="dxa"/>
            </w:tcMar>
            <w:vAlign w:val="center"/>
            <w:hideMark/>
          </w:tcPr>
          <w:p w14:paraId="4ED84A85"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II</w:t>
            </w:r>
          </w:p>
        </w:tc>
        <w:tc>
          <w:tcPr>
            <w:tcW w:w="992" w:type="dxa"/>
            <w:shd w:val="clear" w:color="auto" w:fill="auto"/>
            <w:tcMar>
              <w:top w:w="12" w:type="dxa"/>
              <w:left w:w="84" w:type="dxa"/>
              <w:bottom w:w="0" w:type="dxa"/>
              <w:right w:w="84" w:type="dxa"/>
            </w:tcMar>
            <w:vAlign w:val="center"/>
            <w:hideMark/>
          </w:tcPr>
          <w:p w14:paraId="5AAFBEE9"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8</w:t>
            </w:r>
          </w:p>
        </w:tc>
      </w:tr>
      <w:tr w:rsidR="00474ABD" w:rsidRPr="00307028" w14:paraId="5E1BFC59" w14:textId="77777777" w:rsidTr="00242A43">
        <w:trPr>
          <w:trHeight w:val="627"/>
        </w:trPr>
        <w:tc>
          <w:tcPr>
            <w:tcW w:w="1437" w:type="dxa"/>
            <w:shd w:val="clear" w:color="auto" w:fill="auto"/>
            <w:tcMar>
              <w:top w:w="12" w:type="dxa"/>
              <w:left w:w="84" w:type="dxa"/>
              <w:bottom w:w="0" w:type="dxa"/>
              <w:right w:w="84" w:type="dxa"/>
            </w:tcMar>
            <w:vAlign w:val="center"/>
            <w:hideMark/>
          </w:tcPr>
          <w:p w14:paraId="486941FE"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bCs/>
                <w:kern w:val="2"/>
                <w:sz w:val="20"/>
                <w:szCs w:val="20"/>
                <w:lang w:eastAsia="en-US"/>
                <w14:ligatures w14:val="standardContextual"/>
              </w:rPr>
              <w:t>Projektu koordinators</w:t>
            </w:r>
          </w:p>
        </w:tc>
        <w:tc>
          <w:tcPr>
            <w:tcW w:w="1229" w:type="dxa"/>
            <w:shd w:val="clear" w:color="auto" w:fill="auto"/>
            <w:tcMar>
              <w:top w:w="12" w:type="dxa"/>
              <w:left w:w="84" w:type="dxa"/>
              <w:bottom w:w="0" w:type="dxa"/>
              <w:right w:w="84" w:type="dxa"/>
            </w:tcMar>
            <w:vAlign w:val="center"/>
            <w:hideMark/>
          </w:tcPr>
          <w:p w14:paraId="0915968D"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D</w:t>
            </w:r>
          </w:p>
        </w:tc>
        <w:tc>
          <w:tcPr>
            <w:tcW w:w="1007" w:type="dxa"/>
            <w:shd w:val="clear" w:color="auto" w:fill="auto"/>
            <w:tcMar>
              <w:top w:w="12" w:type="dxa"/>
              <w:left w:w="84" w:type="dxa"/>
              <w:bottom w:w="0" w:type="dxa"/>
              <w:right w:w="84" w:type="dxa"/>
            </w:tcMar>
            <w:vAlign w:val="center"/>
            <w:hideMark/>
          </w:tcPr>
          <w:p w14:paraId="1C3D5A92" w14:textId="77777777" w:rsidR="00474ABD" w:rsidRPr="00307028" w:rsidRDefault="00474ABD" w:rsidP="00242A43">
            <w:pPr>
              <w:spacing w:line="259" w:lineRule="auto"/>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1</w:t>
            </w:r>
          </w:p>
        </w:tc>
        <w:tc>
          <w:tcPr>
            <w:tcW w:w="858" w:type="dxa"/>
            <w:shd w:val="clear" w:color="auto" w:fill="auto"/>
            <w:tcMar>
              <w:top w:w="12" w:type="dxa"/>
              <w:left w:w="84" w:type="dxa"/>
              <w:bottom w:w="0" w:type="dxa"/>
              <w:right w:w="84" w:type="dxa"/>
            </w:tcMar>
            <w:vAlign w:val="center"/>
            <w:hideMark/>
          </w:tcPr>
          <w:p w14:paraId="78C8411E"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0,5</w:t>
            </w:r>
          </w:p>
        </w:tc>
        <w:tc>
          <w:tcPr>
            <w:tcW w:w="1134" w:type="dxa"/>
            <w:shd w:val="clear" w:color="auto" w:fill="auto"/>
            <w:tcMar>
              <w:top w:w="12" w:type="dxa"/>
              <w:left w:w="84" w:type="dxa"/>
              <w:bottom w:w="0" w:type="dxa"/>
              <w:right w:w="84" w:type="dxa"/>
            </w:tcMar>
            <w:vAlign w:val="center"/>
            <w:hideMark/>
          </w:tcPr>
          <w:p w14:paraId="357710F0" w14:textId="1E2B5672"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2422</w:t>
            </w:r>
            <w:r w:rsidR="00F240E3" w:rsidRPr="00307028">
              <w:rPr>
                <w:rFonts w:eastAsiaTheme="minorHAnsi"/>
                <w:kern w:val="2"/>
                <w:sz w:val="20"/>
                <w:szCs w:val="20"/>
                <w:lang w:eastAsia="en-US"/>
                <w14:ligatures w14:val="standardContextual"/>
              </w:rPr>
              <w:t xml:space="preserve"> </w:t>
            </w:r>
            <w:r w:rsidRPr="00307028">
              <w:rPr>
                <w:rFonts w:eastAsiaTheme="minorHAnsi"/>
                <w:kern w:val="2"/>
                <w:sz w:val="20"/>
                <w:szCs w:val="20"/>
                <w:lang w:eastAsia="en-US"/>
                <w14:ligatures w14:val="standardContextual"/>
              </w:rPr>
              <w:t>02</w:t>
            </w:r>
          </w:p>
        </w:tc>
        <w:tc>
          <w:tcPr>
            <w:tcW w:w="1418" w:type="dxa"/>
            <w:shd w:val="clear" w:color="auto" w:fill="auto"/>
            <w:tcMar>
              <w:top w:w="12" w:type="dxa"/>
              <w:left w:w="84" w:type="dxa"/>
              <w:bottom w:w="0" w:type="dxa"/>
              <w:right w:w="84" w:type="dxa"/>
            </w:tcMar>
            <w:vAlign w:val="center"/>
            <w:hideMark/>
          </w:tcPr>
          <w:p w14:paraId="33D1968A"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39.1.</w:t>
            </w:r>
          </w:p>
        </w:tc>
        <w:tc>
          <w:tcPr>
            <w:tcW w:w="992" w:type="dxa"/>
            <w:shd w:val="clear" w:color="auto" w:fill="auto"/>
            <w:tcMar>
              <w:top w:w="12" w:type="dxa"/>
              <w:left w:w="84" w:type="dxa"/>
              <w:bottom w:w="0" w:type="dxa"/>
              <w:right w:w="84" w:type="dxa"/>
            </w:tcMar>
            <w:vAlign w:val="center"/>
            <w:hideMark/>
          </w:tcPr>
          <w:p w14:paraId="0A88ED53"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I</w:t>
            </w:r>
          </w:p>
        </w:tc>
        <w:tc>
          <w:tcPr>
            <w:tcW w:w="992" w:type="dxa"/>
            <w:shd w:val="clear" w:color="auto" w:fill="auto"/>
            <w:tcMar>
              <w:top w:w="12" w:type="dxa"/>
              <w:left w:w="84" w:type="dxa"/>
              <w:bottom w:w="0" w:type="dxa"/>
              <w:right w:w="84" w:type="dxa"/>
            </w:tcMar>
            <w:vAlign w:val="center"/>
            <w:hideMark/>
          </w:tcPr>
          <w:p w14:paraId="42053DAD" w14:textId="77777777" w:rsidR="00474ABD" w:rsidRPr="00307028" w:rsidRDefault="00474ABD" w:rsidP="00242A43">
            <w:pPr>
              <w:spacing w:line="259" w:lineRule="auto"/>
              <w:jc w:val="both"/>
              <w:rPr>
                <w:rFonts w:eastAsiaTheme="minorHAnsi"/>
                <w:kern w:val="2"/>
                <w:sz w:val="20"/>
                <w:szCs w:val="20"/>
                <w:lang w:eastAsia="en-US"/>
                <w14:ligatures w14:val="standardContextual"/>
              </w:rPr>
            </w:pPr>
            <w:r w:rsidRPr="00307028">
              <w:rPr>
                <w:rFonts w:eastAsiaTheme="minorHAnsi"/>
                <w:kern w:val="2"/>
                <w:sz w:val="20"/>
                <w:szCs w:val="20"/>
                <w:lang w:eastAsia="en-US"/>
                <w14:ligatures w14:val="standardContextual"/>
              </w:rPr>
              <w:t>8</w:t>
            </w:r>
          </w:p>
        </w:tc>
      </w:tr>
    </w:tbl>
    <w:p w14:paraId="0EBF80AD" w14:textId="38B3D052" w:rsidR="00EE3DBD" w:rsidRPr="00307028" w:rsidRDefault="00EE3DBD" w:rsidP="00DB4AD2">
      <w:pPr>
        <w:spacing w:before="120"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Izvērtējot VISC darbiniekiem noteiktās amata saimes, grupas un mēnešalgas, secināms, ka tās ir zemākas nekā LNKC darbiniekiem. Līdz ar to, lai nodrošinātu vienotu pieeju darbinieku amatu saimju, grupu un mēnešalgu noteikšanā ir aprēķināts, ka no 2024. gada katru gadu papildus nepieciešami resursi</w:t>
      </w:r>
      <w:r w:rsidR="00F240E3"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22 753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w:t>
      </w:r>
    </w:p>
    <w:p w14:paraId="63B81C5A" w14:textId="77777777"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Papildus no VISC pārdalāmajām amata vietām, ņemot vērā, ka gan Latvijas Skolu jaunatnes dziesmu un deju svētki, gan Vispārējie latviešu dziesmu un deju svētki tiek rīkoti ik </w:t>
      </w:r>
      <w:r w:rsidRPr="00307028">
        <w:rPr>
          <w:rFonts w:eastAsiaTheme="minorHAnsi"/>
          <w:kern w:val="2"/>
          <w:lang w:eastAsia="en-US"/>
          <w14:ligatures w14:val="standardContextual"/>
        </w:rPr>
        <w:lastRenderedPageBreak/>
        <w:t xml:space="preserve">pēc 5 gadiem, katru svētku īstenošanai no to nodrošināšanai paredzētā finansējuma atsevišķi tiek algots personāls, kas nodrošina svētku īstenošanu, nododot abu svētku rīkošanu vienas institūcijas atbildībā, būtu lietderīgi izveidot jaunu pastāvīgu struktūrvienību LNKC, kas nodrošinātu svētku organizēšanu, jo starp svētku rīkošanu vairs neveidotos lieli pārtraukumi. Ņemot vērā līdzšinējo VISC un LNKC pieredzi, jaunās struktūrvienības optimālais amata vietu skaits būtu 8 amata vietas (biroja vadītājs, jurists, 2 kultūras projektu vadītāji, producents, mārketinga vadītājs, grāmatvedis un referents), kam no 2024. gada būtu nepieciešami pastāvīgi papildus resursi 372 283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(darbinieku atalgojumam 275 503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biroja darbības nodrošināšanai 3 780 </w:t>
      </w:r>
      <w:r w:rsidRPr="00307028">
        <w:rPr>
          <w:rFonts w:eastAsiaTheme="minorHAnsi"/>
          <w:i/>
          <w:iCs/>
          <w:kern w:val="2"/>
          <w:lang w:eastAsia="en-US"/>
          <w14:ligatures w14:val="standardContextual"/>
        </w:rPr>
        <w:t xml:space="preserve">euro </w:t>
      </w:r>
      <w:r w:rsidRPr="00307028">
        <w:rPr>
          <w:rFonts w:eastAsiaTheme="minorHAnsi"/>
          <w:kern w:val="2"/>
          <w:lang w:eastAsia="en-US"/>
          <w14:ligatures w14:val="standardContextual"/>
        </w:rPr>
        <w:t xml:space="preserve">un VISC virsdiriģentu un virsvadītāju atlīdzības izlīdzināšanai ar LNKC 93 000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un vienreizējās izmaksas 70 600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(datortehnika, mikroautobuss u.c. inventārs). Tomēr šis jautājums būtu skatāms budžeta procesā. Likumprojekta “Par valsts budžetu 2024. gadam un budžeta ietvaru 2024., 2025. un 2026. gadam” sagatavošanas gaitā KM ir iesniegusi attiecīgu PP pieteikumu papildus nepieciešamajam finansējumam 2024. gadam un turpmākajiem gadiem, kurš tiks izskatīts kopā ar visu ministriju un citu centrālo valsts iestāžu PP pieteikumiem, ievērojot valsts budžeta finansiālās iespējas. </w:t>
      </w:r>
    </w:p>
    <w:p w14:paraId="292488AE" w14:textId="233444CD"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Tādējādi kopumā LNKC kopējais papildu amata vietu skaits veidotu 16</w:t>
      </w:r>
      <w:r w:rsidR="00474ABD" w:rsidRPr="00307028">
        <w:rPr>
          <w:rFonts w:eastAsiaTheme="minorHAnsi"/>
          <w:kern w:val="2"/>
          <w:lang w:eastAsia="en-US"/>
          <w14:ligatures w14:val="standardContextual"/>
        </w:rPr>
        <w:t>, proti,</w:t>
      </w:r>
      <w:r w:rsidRPr="00307028">
        <w:rPr>
          <w:rFonts w:eastAsiaTheme="minorHAnsi"/>
          <w:kern w:val="2"/>
          <w:lang w:eastAsia="en-US"/>
          <w14:ligatures w14:val="standardContextual"/>
        </w:rPr>
        <w:t xml:space="preserve"> 8 no VISC</w:t>
      </w:r>
      <w:r w:rsidR="00474ABD" w:rsidRPr="00307028">
        <w:rPr>
          <w:rFonts w:eastAsiaTheme="minorHAnsi"/>
          <w:kern w:val="2"/>
          <w:lang w:eastAsia="en-US"/>
          <w14:ligatures w14:val="standardContextual"/>
        </w:rPr>
        <w:t xml:space="preserve"> pārdalītas amata vietas</w:t>
      </w:r>
      <w:r w:rsidRPr="00307028">
        <w:rPr>
          <w:rFonts w:eastAsiaTheme="minorHAnsi"/>
          <w:kern w:val="2"/>
          <w:lang w:eastAsia="en-US"/>
          <w14:ligatures w14:val="standardContextual"/>
        </w:rPr>
        <w:t xml:space="preserve">, </w:t>
      </w:r>
      <w:r w:rsidR="00474ABD" w:rsidRPr="00307028">
        <w:rPr>
          <w:rFonts w:eastAsiaTheme="minorHAnsi"/>
          <w:kern w:val="2"/>
          <w:lang w:eastAsia="en-US"/>
          <w14:ligatures w14:val="standardContextual"/>
        </w:rPr>
        <w:t>kā arī</w:t>
      </w:r>
      <w:r w:rsidRPr="00307028">
        <w:rPr>
          <w:rFonts w:eastAsiaTheme="minorHAnsi"/>
          <w:kern w:val="2"/>
          <w:lang w:eastAsia="en-US"/>
          <w14:ligatures w14:val="standardContextual"/>
        </w:rPr>
        <w:t xml:space="preserve"> 8 </w:t>
      </w:r>
      <w:r w:rsidR="00474ABD" w:rsidRPr="00307028">
        <w:rPr>
          <w:rFonts w:eastAsiaTheme="minorHAnsi"/>
          <w:kern w:val="2"/>
          <w:lang w:eastAsia="en-US"/>
          <w14:ligatures w14:val="standardContextual"/>
        </w:rPr>
        <w:t>jaunizveidotas amata vietas</w:t>
      </w:r>
      <w:r w:rsidRPr="00307028">
        <w:rPr>
          <w:rFonts w:eastAsiaTheme="minorHAnsi"/>
          <w:kern w:val="2"/>
          <w:lang w:eastAsia="en-US"/>
          <w14:ligatures w14:val="standardContextual"/>
        </w:rPr>
        <w:t>. Tāpat nepieciešami grozījumi normatīvajos aktos, k</w:t>
      </w:r>
      <w:r w:rsidR="00474ABD" w:rsidRPr="00307028">
        <w:rPr>
          <w:rFonts w:eastAsiaTheme="minorHAnsi"/>
          <w:kern w:val="2"/>
          <w:lang w:eastAsia="en-US"/>
          <w14:ligatures w14:val="standardContextual"/>
        </w:rPr>
        <w:t>as</w:t>
      </w:r>
      <w:r w:rsidRPr="00307028">
        <w:rPr>
          <w:rFonts w:eastAsiaTheme="minorHAnsi"/>
          <w:kern w:val="2"/>
          <w:lang w:eastAsia="en-US"/>
          <w14:ligatures w14:val="standardContextual"/>
        </w:rPr>
        <w:t xml:space="preserve"> no</w:t>
      </w:r>
      <w:r w:rsidR="00474ABD" w:rsidRPr="00307028">
        <w:rPr>
          <w:rFonts w:eastAsiaTheme="minorHAnsi"/>
          <w:kern w:val="2"/>
          <w:lang w:eastAsia="en-US"/>
          <w14:ligatures w14:val="standardContextual"/>
        </w:rPr>
        <w:t>teiktu</w:t>
      </w:r>
      <w:r w:rsidRPr="00307028">
        <w:rPr>
          <w:rFonts w:eastAsiaTheme="minorHAnsi"/>
          <w:kern w:val="2"/>
          <w:lang w:eastAsia="en-US"/>
          <w14:ligatures w14:val="standardContextual"/>
        </w:rPr>
        <w:t xml:space="preserve"> IZM un VISC atbildību, funkcijas un uzdevumus.</w:t>
      </w:r>
    </w:p>
    <w:p w14:paraId="799C48D5" w14:textId="7D0DF3B8"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Dziesmu un deju svētku likuma 7. pants, 8</w:t>
      </w:r>
      <w:r w:rsidRPr="00307028">
        <w:rPr>
          <w:rFonts w:eastAsiaTheme="minorHAnsi"/>
          <w:kern w:val="2"/>
          <w:vertAlign w:val="superscript"/>
          <w:lang w:eastAsia="en-US"/>
          <w14:ligatures w14:val="standardContextual"/>
        </w:rPr>
        <w:t>1</w:t>
      </w:r>
      <w:r w:rsidRPr="00307028">
        <w:rPr>
          <w:rFonts w:eastAsiaTheme="minorHAnsi"/>
          <w:color w:val="FF0000"/>
          <w:kern w:val="2"/>
          <w:lang w:eastAsia="en-US"/>
          <w14:ligatures w14:val="standardContextual"/>
        </w:rPr>
        <w:t>.</w:t>
      </w:r>
      <w:r w:rsidRPr="00307028">
        <w:rPr>
          <w:rFonts w:eastAsiaTheme="minorHAnsi"/>
          <w:kern w:val="2"/>
          <w:lang w:eastAsia="en-US"/>
          <w14:ligatures w14:val="standardContextual"/>
        </w:rPr>
        <w:t xml:space="preserve"> pants un 9. pants nosaka, kāda ir IZM kompetence svētku rīkošanā. Ņemot vērā, ka IZM kompetenci pārņem KM</w:t>
      </w:r>
      <w:r w:rsidR="00474ABD"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ir veicami grozījumi Dziesmu un deju svētku likumā. Vienlaicīgi ir veicami grozījumi arī MK 2009. gada 30. jūnija noteikumos Nr. 682 “Valsts izglītības satura centra nolikums” un 2012. gada 18. decembra MK noteikumos Nr. 931 “Latvijas Nacionālā kultūras centra nolikums”, precizējot veicamās funkcijas un uzdevumus.</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0E1AFE11" w14:textId="77777777" w:rsidTr="00957D12">
        <w:trPr>
          <w:trHeight w:val="227"/>
          <w:jc w:val="center"/>
        </w:trPr>
        <w:tc>
          <w:tcPr>
            <w:tcW w:w="709" w:type="dxa"/>
            <w:shd w:val="clear" w:color="auto" w:fill="B2D9EC"/>
            <w:vAlign w:val="center"/>
          </w:tcPr>
          <w:p w14:paraId="7BA31A79"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3B3B80FA" w14:textId="77777777" w:rsidR="00EE3DBD" w:rsidRPr="00307028" w:rsidRDefault="00EE3DBD" w:rsidP="00EE3DBD">
            <w:pPr>
              <w:jc w:val="center"/>
              <w:rPr>
                <w:rFonts w:eastAsia="Calibri"/>
                <w:szCs w:val="22"/>
                <w:lang w:eastAsia="en-US"/>
              </w:rPr>
            </w:pPr>
            <w:r w:rsidRPr="00307028">
              <w:rPr>
                <w:rFonts w:eastAsia="Calibri"/>
                <w:szCs w:val="22"/>
                <w:lang w:eastAsia="en-US"/>
              </w:rPr>
              <w:t>229 834</w:t>
            </w:r>
          </w:p>
        </w:tc>
        <w:tc>
          <w:tcPr>
            <w:tcW w:w="696" w:type="dxa"/>
            <w:shd w:val="clear" w:color="auto" w:fill="B2D9EC"/>
            <w:vAlign w:val="center"/>
          </w:tcPr>
          <w:p w14:paraId="74CFDBBF"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652E21ED" w14:textId="77777777" w:rsidR="00EE3DBD" w:rsidRPr="00307028" w:rsidRDefault="00EE3DBD" w:rsidP="00EE3DBD">
            <w:pPr>
              <w:jc w:val="center"/>
              <w:rPr>
                <w:rFonts w:eastAsia="Calibri"/>
                <w:szCs w:val="22"/>
                <w:lang w:eastAsia="en-US"/>
              </w:rPr>
            </w:pPr>
            <w:r w:rsidRPr="00307028">
              <w:rPr>
                <w:rFonts w:eastAsia="Calibri"/>
                <w:szCs w:val="22"/>
                <w:lang w:eastAsia="en-US"/>
              </w:rPr>
              <w:t>229 834</w:t>
            </w:r>
          </w:p>
        </w:tc>
        <w:tc>
          <w:tcPr>
            <w:tcW w:w="696" w:type="dxa"/>
            <w:shd w:val="clear" w:color="auto" w:fill="B2D9EC"/>
            <w:vAlign w:val="center"/>
          </w:tcPr>
          <w:p w14:paraId="35D85E89"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48AF74A7" w14:textId="77777777" w:rsidR="00EE3DBD" w:rsidRPr="00307028" w:rsidRDefault="00EE3DBD" w:rsidP="00EE3DBD">
            <w:pPr>
              <w:jc w:val="center"/>
              <w:rPr>
                <w:rFonts w:eastAsia="Calibri"/>
                <w:szCs w:val="22"/>
                <w:lang w:eastAsia="en-US"/>
              </w:rPr>
            </w:pPr>
            <w:r w:rsidRPr="00307028">
              <w:rPr>
                <w:rFonts w:eastAsia="Calibri"/>
                <w:szCs w:val="22"/>
                <w:lang w:eastAsia="en-US"/>
              </w:rPr>
              <w:t>229 834</w:t>
            </w:r>
          </w:p>
        </w:tc>
      </w:tr>
    </w:tbl>
    <w:p w14:paraId="3C918C05" w14:textId="77777777" w:rsidR="00EE3DBD" w:rsidRPr="00307028" w:rsidRDefault="00EE3DBD" w:rsidP="00C1691E">
      <w:pPr>
        <w:spacing w:after="120" w:line="259" w:lineRule="auto"/>
        <w:jc w:val="both"/>
        <w:rPr>
          <w:rFonts w:eastAsiaTheme="minorHAnsi"/>
          <w:kern w:val="2"/>
          <w:lang w:eastAsia="en-US"/>
          <w14:ligatures w14:val="standardContextual"/>
        </w:rPr>
      </w:pPr>
    </w:p>
    <w:p w14:paraId="36B57E59" w14:textId="77777777" w:rsidR="00EE3DBD" w:rsidRPr="00307028" w:rsidRDefault="00EE3DBD" w:rsidP="00EE3DBD">
      <w:pPr>
        <w:spacing w:after="120" w:line="259" w:lineRule="auto"/>
        <w:jc w:val="center"/>
        <w:rPr>
          <w:rFonts w:eastAsiaTheme="minorHAnsi" w:cstheme="minorBidi"/>
          <w:b/>
          <w:bCs/>
          <w:kern w:val="2"/>
          <w:szCs w:val="22"/>
          <w:lang w:eastAsia="en-US"/>
          <w14:ligatures w14:val="standardContextual"/>
        </w:rPr>
      </w:pPr>
      <w:r w:rsidRPr="00307028">
        <w:rPr>
          <w:rFonts w:eastAsiaTheme="minorHAnsi" w:cstheme="minorBidi"/>
          <w:b/>
          <w:bCs/>
          <w:kern w:val="2"/>
          <w:szCs w:val="22"/>
          <w:lang w:eastAsia="en-US"/>
          <w14:ligatures w14:val="standardContextual"/>
        </w:rPr>
        <w:t>Kultūras ministrija</w:t>
      </w:r>
    </w:p>
    <w:p w14:paraId="6BBCF0B3" w14:textId="50E6ECC8" w:rsidR="00EE3DBD" w:rsidRPr="00307028" w:rsidRDefault="00EE3DBD" w:rsidP="00EE3DBD">
      <w:pPr>
        <w:spacing w:after="120" w:line="259" w:lineRule="auto"/>
        <w:jc w:val="both"/>
        <w:rPr>
          <w:rFonts w:eastAsiaTheme="minorHAnsi" w:cstheme="minorBidi"/>
          <w:b/>
          <w:bCs/>
          <w:kern w:val="2"/>
          <w:szCs w:val="22"/>
          <w:lang w:eastAsia="en-US"/>
          <w14:ligatures w14:val="standardContextual"/>
        </w:rPr>
      </w:pPr>
      <w:r w:rsidRPr="00307028">
        <w:rPr>
          <w:rFonts w:eastAsiaTheme="minorHAnsi" w:cstheme="minorBidi"/>
          <w:b/>
          <w:bCs/>
          <w:kern w:val="2"/>
          <w:szCs w:val="22"/>
          <w:lang w:eastAsia="en-US"/>
          <w14:ligatures w14:val="standardContextual"/>
        </w:rPr>
        <w:t>KM – līdzekļu ietaupījums Muzeju krātuvju kompleksa Pulka ielā 8 komunālo maksājumu segšanai</w:t>
      </w:r>
    </w:p>
    <w:p w14:paraId="4A6AF119" w14:textId="300435F0"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Saskaņā ar MK 2018. gada 12. jūnija rīkojuma Nr. 267 “Par finansējumu Rīgas pils Konventa Pils laukumā 3, Rīgā, un Muzeju krātuvju kompleksa Pulka ielā 8, Rīgā, būvniecības projekta, nomas maksas, pārcelšanās un aprīkojuma iegādes izdevumu segšanai” 2.2. apakšpunktu KM budžeta bāzes izdevumos no 2024. gada ir paredzēts finansējums </w:t>
      </w:r>
      <w:bookmarkStart w:id="75" w:name="_Hlk141359216"/>
      <w:r w:rsidRPr="00307028">
        <w:rPr>
          <w:rFonts w:eastAsiaTheme="minorHAnsi"/>
          <w:kern w:val="2"/>
          <w:lang w:eastAsia="en-US"/>
          <w14:ligatures w14:val="standardContextual"/>
        </w:rPr>
        <w:t>Muzeju krātuvju kompleksa Pulka ielā 8</w:t>
      </w:r>
      <w:bookmarkEnd w:id="75"/>
      <w:r w:rsidRPr="00307028">
        <w:rPr>
          <w:rFonts w:eastAsiaTheme="minorHAnsi"/>
          <w:kern w:val="2"/>
          <w:lang w:eastAsia="en-US"/>
          <w14:ligatures w14:val="standardContextual"/>
        </w:rPr>
        <w:t>, Rīgā</w:t>
      </w:r>
      <w:r w:rsidR="00362133"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w:t>
      </w:r>
      <w:bookmarkStart w:id="76" w:name="_Hlk141359236"/>
      <w:r w:rsidRPr="00307028">
        <w:rPr>
          <w:rFonts w:eastAsiaTheme="minorHAnsi"/>
          <w:kern w:val="2"/>
          <w:lang w:eastAsia="en-US"/>
          <w14:ligatures w14:val="standardContextual"/>
        </w:rPr>
        <w:t xml:space="preserve">komunālo maksājumu segšanai </w:t>
      </w:r>
      <w:bookmarkEnd w:id="76"/>
      <w:r w:rsidRPr="00307028">
        <w:rPr>
          <w:rFonts w:eastAsiaTheme="minorHAnsi"/>
          <w:kern w:val="2"/>
          <w:lang w:eastAsia="en-US"/>
          <w14:ligatures w14:val="standardContextual"/>
        </w:rPr>
        <w:t xml:space="preserve">783 361 </w:t>
      </w:r>
      <w:r w:rsidRPr="00307028">
        <w:rPr>
          <w:rFonts w:eastAsiaTheme="minorHAnsi"/>
          <w:i/>
          <w:iCs/>
          <w:kern w:val="2"/>
          <w:lang w:eastAsia="en-US"/>
          <w14:ligatures w14:val="standardContextual"/>
        </w:rPr>
        <w:t xml:space="preserve">euro </w:t>
      </w:r>
      <w:r w:rsidRPr="00307028">
        <w:rPr>
          <w:rFonts w:eastAsiaTheme="minorHAnsi"/>
          <w:kern w:val="2"/>
          <w:lang w:eastAsia="en-US"/>
          <w14:ligatures w14:val="standardContextual"/>
        </w:rPr>
        <w:t>apmērā. Ņemot vērā iepriekšējo gadu pieredzi un to, ka izveidojies līdzekļu atlikums tika novirzīts citām kultūras nozarei svarīgām aktivitātēm, arī 2023. gadā KM</w:t>
      </w:r>
      <w:r w:rsidR="00362133"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izvērtējot 2023. gada četru mēnešu un 2022. gada septiņu mēnešu (maijs – decembris) faktiskos izdevumus, veica plānoto resursu pārrēķinu, kā rezultātā prognozējams, ka veidojas līdzekļu atlikums 241 624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KM ierosina minēto finansējumu novirzīt citām ar kultūras nozari svarīgām aktivitātēm:</w:t>
      </w:r>
    </w:p>
    <w:p w14:paraId="03B01F7B" w14:textId="27403920" w:rsidR="00EE3DBD" w:rsidRPr="00307028" w:rsidRDefault="00EE3DBD" w:rsidP="00070D5F">
      <w:pPr>
        <w:numPr>
          <w:ilvl w:val="0"/>
          <w:numId w:val="30"/>
        </w:numPr>
        <w:spacing w:after="120" w:line="259" w:lineRule="auto"/>
        <w:jc w:val="both"/>
        <w:rPr>
          <w:rFonts w:eastAsiaTheme="minorHAnsi"/>
          <w:lang w:eastAsia="en-US"/>
        </w:rPr>
      </w:pPr>
      <w:r w:rsidRPr="00307028">
        <w:rPr>
          <w:rFonts w:eastAsiaTheme="minorHAnsi"/>
          <w:lang w:eastAsia="en-US"/>
        </w:rPr>
        <w:t xml:space="preserve">2024. gadā 241 624 </w:t>
      </w:r>
      <w:r w:rsidRPr="00307028">
        <w:rPr>
          <w:rFonts w:eastAsiaTheme="minorHAnsi"/>
          <w:i/>
          <w:iCs/>
          <w:lang w:eastAsia="en-US"/>
        </w:rPr>
        <w:t>euro</w:t>
      </w:r>
      <w:r w:rsidRPr="00307028">
        <w:rPr>
          <w:rFonts w:eastAsiaTheme="minorHAnsi"/>
          <w:lang w:eastAsia="en-US"/>
        </w:rPr>
        <w:t xml:space="preserve"> apmērā Rakstniecības un mūzikas muzeja Mārstaļu ielā 6, Rīgā</w:t>
      </w:r>
      <w:r w:rsidR="00362133" w:rsidRPr="00307028">
        <w:rPr>
          <w:rFonts w:eastAsiaTheme="minorHAnsi"/>
          <w:lang w:eastAsia="en-US"/>
        </w:rPr>
        <w:t>,</w:t>
      </w:r>
      <w:r w:rsidRPr="00307028">
        <w:rPr>
          <w:rFonts w:eastAsiaTheme="minorHAnsi"/>
          <w:lang w:eastAsia="en-US"/>
        </w:rPr>
        <w:t xml:space="preserve"> ekspozīcijas izveidei (turpmāk – M6). M6 ekspozīcijas izveidei 2022. gadā bija plānots finansējums 957 625 </w:t>
      </w:r>
      <w:r w:rsidRPr="00307028">
        <w:rPr>
          <w:rFonts w:eastAsiaTheme="minorHAnsi"/>
          <w:i/>
          <w:iCs/>
          <w:lang w:eastAsia="en-US"/>
        </w:rPr>
        <w:t>euro</w:t>
      </w:r>
      <w:r w:rsidRPr="00307028">
        <w:rPr>
          <w:rFonts w:eastAsiaTheme="minorHAnsi"/>
          <w:lang w:eastAsia="en-US"/>
        </w:rPr>
        <w:t xml:space="preserve"> apmērā, bet minētais finansējums saskaņā ar MK 2023. gada 14. jūlija rīkojumu Nr. 455 “Grozījumi MK 2018. gada 16. oktobra rīkojumā Nr. 522 “Par finansējumu Rakstniecības un mūzikas muzejam nekustamā īpašuma Mārstaļu ielā 6, Rīgā, daļas nomas maksas, papildu maksājumu, pārcelšanās, </w:t>
      </w:r>
      <w:r w:rsidRPr="00307028">
        <w:rPr>
          <w:rFonts w:eastAsiaTheme="minorHAnsi"/>
          <w:lang w:eastAsia="en-US"/>
        </w:rPr>
        <w:lastRenderedPageBreak/>
        <w:t>labiekārtošanas un ekspozīcijas izveides izdevumu segšanai” 2023. gadā novirzīts VNĪ M6 būvniecības sadārdzinājuma segšanai. Līdz ar to pēc būvniecības darbu pabeigšanas finansējums ekspozīcijas izveidei šobrīd nav plānots.</w:t>
      </w:r>
    </w:p>
    <w:p w14:paraId="16B46B88" w14:textId="475E9057" w:rsidR="00EE3DBD" w:rsidRPr="00307028" w:rsidRDefault="00EE3DBD" w:rsidP="00070D5F">
      <w:pPr>
        <w:numPr>
          <w:ilvl w:val="0"/>
          <w:numId w:val="30"/>
        </w:numPr>
        <w:spacing w:after="120" w:line="259" w:lineRule="auto"/>
        <w:jc w:val="both"/>
        <w:rPr>
          <w:rFonts w:eastAsiaTheme="minorHAnsi"/>
          <w:lang w:eastAsia="en-US"/>
        </w:rPr>
      </w:pPr>
      <w:r w:rsidRPr="00307028">
        <w:rPr>
          <w:rFonts w:eastAsiaTheme="minorHAnsi"/>
          <w:lang w:eastAsia="en-US"/>
        </w:rPr>
        <w:t>2025. gadā un turpmākajos gados Latvijas Nacionālā vēstures muzeja ekspozīcijas Rīgas pilī un VSIA “Jaunais Rīgas teātris” atjaunotās ēkas Lāčplēša ielā 25, Rīgā</w:t>
      </w:r>
      <w:r w:rsidR="00362133" w:rsidRPr="00307028">
        <w:rPr>
          <w:rFonts w:eastAsiaTheme="minorHAnsi"/>
          <w:lang w:eastAsia="en-US"/>
        </w:rPr>
        <w:t>,</w:t>
      </w:r>
      <w:r w:rsidRPr="00307028">
        <w:rPr>
          <w:rFonts w:eastAsiaTheme="minorHAnsi"/>
          <w:lang w:eastAsia="en-US"/>
        </w:rPr>
        <w:t xml:space="preserve"> komunālo maksājumu segšanai. KM</w:t>
      </w:r>
      <w:r w:rsidR="00362133" w:rsidRPr="00307028">
        <w:rPr>
          <w:rFonts w:eastAsiaTheme="minorHAnsi"/>
          <w:lang w:eastAsia="en-US"/>
        </w:rPr>
        <w:t>,</w:t>
      </w:r>
      <w:r w:rsidRPr="00307028">
        <w:rPr>
          <w:rFonts w:eastAsiaTheme="minorHAnsi"/>
          <w:lang w:eastAsia="en-US"/>
        </w:rPr>
        <w:t xml:space="preserve"> ņemot vērā līdzīga lieluma objektus</w:t>
      </w:r>
      <w:r w:rsidR="00362133" w:rsidRPr="00307028">
        <w:rPr>
          <w:rFonts w:eastAsiaTheme="minorHAnsi"/>
          <w:lang w:eastAsia="en-US"/>
        </w:rPr>
        <w:t>,</w:t>
      </w:r>
      <w:r w:rsidRPr="00307028">
        <w:rPr>
          <w:rFonts w:eastAsiaTheme="minorHAnsi"/>
          <w:lang w:eastAsia="en-US"/>
        </w:rPr>
        <w:t xml:space="preserve"> prognozē, ka finansējums 241 624 </w:t>
      </w:r>
      <w:r w:rsidRPr="00307028">
        <w:rPr>
          <w:rFonts w:eastAsiaTheme="minorHAnsi"/>
          <w:i/>
          <w:iCs/>
          <w:lang w:eastAsia="en-US"/>
        </w:rPr>
        <w:t>euro</w:t>
      </w:r>
      <w:r w:rsidRPr="00307028">
        <w:rPr>
          <w:rFonts w:eastAsiaTheme="minorHAnsi"/>
          <w:lang w:eastAsia="en-US"/>
        </w:rPr>
        <w:t xml:space="preserve"> apmērā daļēji segtu abu ēku komunālo maksājumus.</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73A88B3B" w14:textId="77777777" w:rsidTr="00957D12">
        <w:trPr>
          <w:jc w:val="center"/>
        </w:trPr>
        <w:tc>
          <w:tcPr>
            <w:tcW w:w="709" w:type="dxa"/>
            <w:shd w:val="clear" w:color="auto" w:fill="B2D9EC"/>
            <w:vAlign w:val="center"/>
          </w:tcPr>
          <w:p w14:paraId="228DFC93"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2024</w:t>
            </w:r>
          </w:p>
        </w:tc>
        <w:tc>
          <w:tcPr>
            <w:tcW w:w="1413" w:type="dxa"/>
            <w:vAlign w:val="center"/>
          </w:tcPr>
          <w:p w14:paraId="3C1F67C6"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241 624</w:t>
            </w:r>
          </w:p>
        </w:tc>
        <w:tc>
          <w:tcPr>
            <w:tcW w:w="696" w:type="dxa"/>
            <w:shd w:val="clear" w:color="auto" w:fill="B2D9EC"/>
            <w:vAlign w:val="center"/>
          </w:tcPr>
          <w:p w14:paraId="1BDCDEA3"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2025</w:t>
            </w:r>
          </w:p>
        </w:tc>
        <w:tc>
          <w:tcPr>
            <w:tcW w:w="1430" w:type="dxa"/>
            <w:vAlign w:val="center"/>
          </w:tcPr>
          <w:p w14:paraId="0355E68A"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241 624</w:t>
            </w:r>
          </w:p>
        </w:tc>
        <w:tc>
          <w:tcPr>
            <w:tcW w:w="696" w:type="dxa"/>
            <w:shd w:val="clear" w:color="auto" w:fill="B2D9EC"/>
            <w:vAlign w:val="center"/>
          </w:tcPr>
          <w:p w14:paraId="1179EF03"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2026</w:t>
            </w:r>
          </w:p>
        </w:tc>
        <w:tc>
          <w:tcPr>
            <w:tcW w:w="1430" w:type="dxa"/>
            <w:vAlign w:val="center"/>
          </w:tcPr>
          <w:p w14:paraId="0DD30662" w14:textId="77777777" w:rsidR="00EE3DBD" w:rsidRPr="00307028" w:rsidRDefault="00EE3DBD" w:rsidP="00EE3DBD">
            <w:pPr>
              <w:spacing w:line="259" w:lineRule="auto"/>
              <w:jc w:val="center"/>
              <w:rPr>
                <w:rFonts w:eastAsia="Calibri"/>
                <w:szCs w:val="22"/>
                <w:lang w:eastAsia="en-US"/>
              </w:rPr>
            </w:pPr>
            <w:r w:rsidRPr="00307028">
              <w:rPr>
                <w:rFonts w:eastAsia="Calibri"/>
                <w:szCs w:val="22"/>
                <w:lang w:eastAsia="en-US"/>
              </w:rPr>
              <w:t>241 624</w:t>
            </w:r>
          </w:p>
        </w:tc>
      </w:tr>
    </w:tbl>
    <w:p w14:paraId="23F24807" w14:textId="507C04EE" w:rsidR="00EE3DBD" w:rsidRPr="00307028" w:rsidRDefault="00EE3DBD" w:rsidP="00EE3DBD">
      <w:pPr>
        <w:spacing w:before="120" w:after="120" w:line="259" w:lineRule="auto"/>
        <w:jc w:val="both"/>
        <w:rPr>
          <w:rFonts w:eastAsiaTheme="minorHAnsi" w:cstheme="minorBidi"/>
          <w:b/>
          <w:bCs/>
          <w:kern w:val="2"/>
          <w:szCs w:val="22"/>
          <w:lang w:eastAsia="en-US"/>
          <w14:ligatures w14:val="standardContextual"/>
        </w:rPr>
      </w:pPr>
      <w:r w:rsidRPr="00307028">
        <w:rPr>
          <w:rFonts w:eastAsiaTheme="minorHAnsi" w:cstheme="minorBidi"/>
          <w:b/>
          <w:bCs/>
          <w:kern w:val="2"/>
          <w:szCs w:val="22"/>
          <w:lang w:eastAsia="en-US"/>
          <w14:ligatures w14:val="standardContextual"/>
        </w:rPr>
        <w:t>KM –</w:t>
      </w:r>
      <w:r w:rsidR="00F240E3" w:rsidRPr="00307028">
        <w:rPr>
          <w:rFonts w:eastAsiaTheme="minorHAnsi" w:cstheme="minorBidi"/>
          <w:b/>
          <w:bCs/>
          <w:kern w:val="2"/>
          <w:szCs w:val="22"/>
          <w:lang w:eastAsia="en-US"/>
          <w14:ligatures w14:val="standardContextual"/>
        </w:rPr>
        <w:t xml:space="preserve"> </w:t>
      </w:r>
      <w:r w:rsidRPr="00307028">
        <w:rPr>
          <w:rFonts w:eastAsiaTheme="minorHAnsi"/>
          <w:b/>
          <w:bCs/>
          <w:kern w:val="2"/>
          <w:lang w:eastAsia="en-US"/>
          <w14:ligatures w14:val="standardContextual"/>
        </w:rPr>
        <w:t>NVO fonda finansējuma pārcelšanu uz SIF</w:t>
      </w:r>
    </w:p>
    <w:p w14:paraId="20C1F61C" w14:textId="6B83D511"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Atbilstoši 2015. gada 16. decembra MK rīkojumam Nr.</w:t>
      </w:r>
      <w:r w:rsidR="00362133"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792 “Par konceptuālo ziņojumu “Par valsts finansēta nevalstisko organizāciju fonda izveidi” </w:t>
      </w:r>
      <w:bookmarkStart w:id="77" w:name="_Hlk140830807"/>
      <w:r w:rsidRPr="00307028">
        <w:rPr>
          <w:rFonts w:eastAsiaTheme="minorHAnsi"/>
          <w:kern w:val="2"/>
          <w:lang w:eastAsia="en-US"/>
          <w14:ligatures w14:val="standardContextual"/>
        </w:rPr>
        <w:t>programmas “NVO fonds”</w:t>
      </w:r>
      <w:bookmarkEnd w:id="77"/>
      <w:r w:rsidRPr="00307028">
        <w:rPr>
          <w:rFonts w:eastAsiaTheme="minorHAnsi"/>
          <w:kern w:val="2"/>
          <w:lang w:eastAsia="en-US"/>
          <w14:ligatures w14:val="standardContextual"/>
        </w:rPr>
        <w:t xml:space="preserve"> finansējums tiek plānots KM budžetā, bet atklāta projektu konkursa īstenošana tiek nodota SIF. KM ik gadu slēdz līgumu ar SIF par valsts budžeta finansējuma izlietošanu.</w:t>
      </w:r>
    </w:p>
    <w:p w14:paraId="4C0B412D" w14:textId="6386CB06"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KM budžetā 2023. gadā</w:t>
      </w:r>
      <w:r w:rsidR="00F240E3"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plānoti 1 800 000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programmas “NVO fonds” īstenošanai, tāpat SIF PP “Finansējuma palielinājums programmai “NVO fonds”</w:t>
      </w:r>
      <w:r w:rsidR="00362133"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ietvaros no 2023. gada un turpmāk ik gadu ir plānots finansējums 500 000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Arī turpmākajos gados KM budžetā ir plānots finansējums 1 800 000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programmas “NVO fonds” finansēšanai.</w:t>
      </w:r>
    </w:p>
    <w:p w14:paraId="66D02D3E" w14:textId="45277F3E"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Pēdējo gadu laikā SIF saskaņā ar noslēgtajiem līgumiem katra gada beigās ir veicis neizlietoto transferta izdevumu atmaksu KM </w:t>
      </w:r>
      <w:r w:rsidR="00362133"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2020. gadā 41 457,16 </w:t>
      </w:r>
      <w:r w:rsidRPr="00307028">
        <w:rPr>
          <w:rFonts w:eastAsiaTheme="minorHAnsi"/>
          <w:i/>
          <w:iCs/>
          <w:kern w:val="2"/>
          <w:lang w:eastAsia="en-US"/>
          <w14:ligatures w14:val="standardContextual"/>
        </w:rPr>
        <w:t xml:space="preserve">euro, </w:t>
      </w:r>
      <w:r w:rsidRPr="00307028">
        <w:rPr>
          <w:rFonts w:eastAsiaTheme="minorHAnsi"/>
          <w:kern w:val="2"/>
          <w:lang w:eastAsia="en-US"/>
          <w14:ligatures w14:val="standardContextual"/>
        </w:rPr>
        <w:t xml:space="preserve">2021. gadā 14 708,73 </w:t>
      </w:r>
      <w:r w:rsidRPr="00307028">
        <w:rPr>
          <w:rFonts w:eastAsiaTheme="minorHAnsi"/>
          <w:i/>
          <w:iCs/>
          <w:kern w:val="2"/>
          <w:lang w:eastAsia="en-US"/>
          <w14:ligatures w14:val="standardContextual"/>
        </w:rPr>
        <w:t xml:space="preserve">euro, </w:t>
      </w:r>
      <w:r w:rsidR="00004010" w:rsidRPr="00307028">
        <w:rPr>
          <w:rFonts w:eastAsiaTheme="minorHAnsi"/>
          <w:kern w:val="2"/>
          <w:lang w:eastAsia="en-US"/>
          <w14:ligatures w14:val="standardContextual"/>
        </w:rPr>
        <w:t xml:space="preserve">bet </w:t>
      </w:r>
      <w:r w:rsidRPr="00307028">
        <w:rPr>
          <w:rFonts w:eastAsiaTheme="minorHAnsi"/>
          <w:kern w:val="2"/>
          <w:lang w:eastAsia="en-US"/>
          <w14:ligatures w14:val="standardContextual"/>
        </w:rPr>
        <w:t xml:space="preserve">2022. gadā 0,00 </w:t>
      </w:r>
      <w:r w:rsidRPr="00307028">
        <w:rPr>
          <w:rFonts w:eastAsiaTheme="minorHAnsi"/>
          <w:i/>
          <w:iCs/>
          <w:kern w:val="2"/>
          <w:lang w:eastAsia="en-US"/>
          <w14:ligatures w14:val="standardContextual"/>
        </w:rPr>
        <w:t>euro</w:t>
      </w:r>
      <w:r w:rsidR="00004010" w:rsidRPr="00307028">
        <w:rPr>
          <w:rFonts w:eastAsiaTheme="minorHAnsi"/>
          <w:i/>
          <w:iCs/>
          <w:kern w:val="2"/>
          <w:lang w:eastAsia="en-US"/>
          <w14:ligatures w14:val="standardContextual"/>
        </w:rPr>
        <w:t xml:space="preserve"> </w:t>
      </w:r>
      <w:r w:rsidR="00004010" w:rsidRPr="00307028">
        <w:rPr>
          <w:rFonts w:eastAsiaTheme="minorHAnsi"/>
          <w:kern w:val="2"/>
          <w:lang w:eastAsia="en-US"/>
          <w14:ligatures w14:val="standardContextual"/>
        </w:rPr>
        <w:t>apmērā</w:t>
      </w:r>
      <w:r w:rsidRPr="00307028">
        <w:rPr>
          <w:rFonts w:eastAsiaTheme="minorHAnsi"/>
          <w:i/>
          <w:iCs/>
          <w:kern w:val="2"/>
          <w:lang w:eastAsia="en-US"/>
          <w14:ligatures w14:val="standardContextual"/>
        </w:rPr>
        <w:t>.</w:t>
      </w:r>
    </w:p>
    <w:p w14:paraId="5B6491D1" w14:textId="6EA13FD8"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Esošais finansējuma modelis (transferts no KM uz SIF) saīsina projektu īstenošanas laiku par 1,5</w:t>
      </w:r>
      <w:r w:rsidR="00004010" w:rsidRPr="00307028">
        <w:rPr>
          <w:rFonts w:eastAsiaTheme="minorHAnsi"/>
          <w:kern w:val="2"/>
          <w:lang w:eastAsia="en-US"/>
          <w14:ligatures w14:val="standardContextual"/>
        </w:rPr>
        <w:t xml:space="preserve"> līdz </w:t>
      </w:r>
      <w:r w:rsidRPr="00307028">
        <w:rPr>
          <w:rFonts w:eastAsiaTheme="minorHAnsi"/>
          <w:kern w:val="2"/>
          <w:lang w:eastAsia="en-US"/>
          <w14:ligatures w14:val="standardContextual"/>
        </w:rPr>
        <w:t xml:space="preserve">2 mēnešiem, jo līdz attiecīgā gada beigām jāveic noslēguma pārskatu izskatīšana un gala maksājumu veikšana. Projektu īstenošana katru gadu noslēdzas 30. oktobrī, bet noslēguma pārskatu iesniegšana tiek plānota 11. novembrī, </w:t>
      </w:r>
      <w:r w:rsidR="00004010" w:rsidRPr="00307028">
        <w:rPr>
          <w:rFonts w:eastAsiaTheme="minorHAnsi"/>
          <w:kern w:val="2"/>
          <w:lang w:eastAsia="en-US"/>
          <w14:ligatures w14:val="standardContextual"/>
        </w:rPr>
        <w:t>k</w:t>
      </w:r>
      <w:r w:rsidRPr="00307028">
        <w:rPr>
          <w:rFonts w:eastAsiaTheme="minorHAnsi"/>
          <w:kern w:val="2"/>
          <w:lang w:eastAsia="en-US"/>
          <w14:ligatures w14:val="standardContextual"/>
        </w:rPr>
        <w:t xml:space="preserve">as </w:t>
      </w:r>
      <w:r w:rsidR="00004010" w:rsidRPr="00307028">
        <w:rPr>
          <w:rFonts w:eastAsiaTheme="minorHAnsi"/>
          <w:kern w:val="2"/>
          <w:lang w:eastAsia="en-US"/>
          <w14:ligatures w14:val="standardContextual"/>
        </w:rPr>
        <w:t xml:space="preserve">gada beigās SIF </w:t>
      </w:r>
      <w:r w:rsidRPr="00307028">
        <w:rPr>
          <w:rFonts w:eastAsiaTheme="minorHAnsi"/>
          <w:kern w:val="2"/>
          <w:lang w:eastAsia="en-US"/>
          <w14:ligatures w14:val="standardContextual"/>
        </w:rPr>
        <w:t>rada lielu administratīvo slogu, kā arī apgrūtina finansējuma pilnvērtīgu un racionālu apgūšanu.</w:t>
      </w:r>
    </w:p>
    <w:p w14:paraId="3C3AE727" w14:textId="0F7D877C"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Visa programmas “NVO fonds” finansējuma plānošana SIF budžetā ļaus racionāli izmantot finansējumu un gada beigās neizlietoto finansējumu pārcelt uz nākamajiem gadiem, kas šobrīd nav iespējama. </w:t>
      </w:r>
      <w:r w:rsidR="00004010" w:rsidRPr="00307028">
        <w:rPr>
          <w:rFonts w:eastAsiaTheme="minorHAnsi"/>
          <w:kern w:val="2"/>
          <w:lang w:eastAsia="en-US"/>
          <w14:ligatures w14:val="standardContextual"/>
        </w:rPr>
        <w:t>Tāpat</w:t>
      </w:r>
      <w:r w:rsidRPr="00307028">
        <w:rPr>
          <w:rFonts w:eastAsiaTheme="minorHAnsi"/>
          <w:kern w:val="2"/>
          <w:lang w:eastAsia="en-US"/>
          <w14:ligatures w14:val="standardContextual"/>
        </w:rPr>
        <w:t xml:space="preserve"> finansējuma pārcelšana uz SIF ļaus </w:t>
      </w:r>
      <w:r w:rsidR="00004010" w:rsidRPr="00307028">
        <w:rPr>
          <w:rFonts w:eastAsiaTheme="minorHAnsi"/>
          <w:kern w:val="2"/>
          <w:lang w:eastAsia="en-US"/>
          <w14:ligatures w14:val="standardContextual"/>
        </w:rPr>
        <w:t>tā</w:t>
      </w:r>
      <w:r w:rsidRPr="00307028">
        <w:rPr>
          <w:rFonts w:eastAsiaTheme="minorHAnsi"/>
          <w:kern w:val="2"/>
          <w:lang w:eastAsia="en-US"/>
          <w14:ligatures w14:val="standardContextual"/>
        </w:rPr>
        <w:t xml:space="preserve"> saņēmējiem projektu īstenošanu veikt arī novembra un decembra mēnešos. Līdz ar programmas “NVO fonds” finansējuma nodošanu SIF nav nepieciešamības veikt izmaiņas normatīvajā regulējumā, jo 2015. gada 16. decembra MK rīkojums Nr. 792 “Par konceptuālo ziņojumu “Par valsts finansēta nevalstisko organizāciju fonda izveidi”</w:t>
      </w:r>
      <w:r w:rsidR="00004010"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paredz konsultācijas un programmas “NVO fonds” prioritāšu sagatavošanu Stratēģiskās plānošanas komitejas ietvaros, kā arī programmas “NVO fonds” prioritāšu apstiprināšanu NVO un MK sadarbības memoranda īstenošanas padomē un KM Saliedētas un pilsoniski aktīvas sabiedrības attīstības pamatnostādņu 2021.</w:t>
      </w:r>
      <w:r w:rsidR="003B7F2B" w:rsidRPr="00307028">
        <w:rPr>
          <w:rFonts w:eastAsiaTheme="minorHAnsi"/>
          <w:kern w:val="2"/>
          <w:lang w:eastAsia="en-US"/>
          <w14:ligatures w14:val="standardContextual"/>
        </w:rPr>
        <w:t> </w:t>
      </w:r>
      <w:r w:rsidR="00004010" w:rsidRPr="00307028">
        <w:rPr>
          <w:rFonts w:eastAsiaTheme="minorHAnsi"/>
          <w:kern w:val="2"/>
          <w:lang w:eastAsia="en-US"/>
          <w14:ligatures w14:val="standardContextual"/>
        </w:rPr>
        <w:t>– </w:t>
      </w:r>
      <w:r w:rsidRPr="00307028">
        <w:rPr>
          <w:rFonts w:eastAsiaTheme="minorHAnsi"/>
          <w:kern w:val="2"/>
          <w:lang w:eastAsia="en-US"/>
          <w14:ligatures w14:val="standardContextual"/>
        </w:rPr>
        <w:t>2027.</w:t>
      </w:r>
      <w:r w:rsidR="003B7F2B"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gadam. uzraudzības padomē. Tādējādi tiek nodrošināta NVO vajadzību izzināšana un plānoto prioritāšu saskaņotība gan ar sektora vajadzībām, gan Saliedētas un pilsoniski aktīvas sabiedrības pamatnostādnēm 2021.</w:t>
      </w:r>
      <w:r w:rsidR="00004010" w:rsidRPr="00307028">
        <w:rPr>
          <w:rFonts w:eastAsiaTheme="minorHAnsi"/>
          <w:kern w:val="2"/>
          <w:lang w:eastAsia="en-US"/>
          <w14:ligatures w14:val="standardContextual"/>
        </w:rPr>
        <w:t xml:space="preserve"> – </w:t>
      </w:r>
      <w:r w:rsidRPr="00307028">
        <w:rPr>
          <w:rFonts w:eastAsiaTheme="minorHAnsi"/>
          <w:kern w:val="2"/>
          <w:lang w:eastAsia="en-US"/>
          <w14:ligatures w14:val="standardContextual"/>
        </w:rPr>
        <w:t>2027. gadam.</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056A22B9" w14:textId="77777777" w:rsidTr="00957D12">
        <w:trPr>
          <w:jc w:val="center"/>
        </w:trPr>
        <w:tc>
          <w:tcPr>
            <w:tcW w:w="709" w:type="dxa"/>
            <w:shd w:val="clear" w:color="auto" w:fill="B2D9EC"/>
            <w:vAlign w:val="center"/>
          </w:tcPr>
          <w:p w14:paraId="3AC2900C"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551CDDC5" w14:textId="77777777" w:rsidR="00EE3DBD" w:rsidRPr="00307028" w:rsidRDefault="00EE3DBD" w:rsidP="00EE3DBD">
            <w:pPr>
              <w:jc w:val="center"/>
              <w:rPr>
                <w:rFonts w:eastAsia="Calibri"/>
                <w:szCs w:val="22"/>
                <w:lang w:eastAsia="en-US"/>
              </w:rPr>
            </w:pPr>
            <w:r w:rsidRPr="00307028">
              <w:rPr>
                <w:rFonts w:eastAsia="Calibri"/>
                <w:szCs w:val="22"/>
                <w:lang w:eastAsia="en-US"/>
              </w:rPr>
              <w:t>1 800 000</w:t>
            </w:r>
          </w:p>
        </w:tc>
        <w:tc>
          <w:tcPr>
            <w:tcW w:w="696" w:type="dxa"/>
            <w:shd w:val="clear" w:color="auto" w:fill="B2D9EC"/>
            <w:vAlign w:val="center"/>
          </w:tcPr>
          <w:p w14:paraId="4F74BE5C"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4CB7A98F" w14:textId="77777777" w:rsidR="00EE3DBD" w:rsidRPr="00307028" w:rsidRDefault="00EE3DBD" w:rsidP="00EE3DBD">
            <w:pPr>
              <w:jc w:val="center"/>
              <w:rPr>
                <w:rFonts w:eastAsia="Calibri"/>
                <w:szCs w:val="22"/>
                <w:lang w:eastAsia="en-US"/>
              </w:rPr>
            </w:pPr>
            <w:r w:rsidRPr="00307028">
              <w:rPr>
                <w:rFonts w:eastAsia="Calibri"/>
                <w:szCs w:val="22"/>
                <w:lang w:eastAsia="en-US"/>
              </w:rPr>
              <w:t>1 800 000</w:t>
            </w:r>
          </w:p>
        </w:tc>
        <w:tc>
          <w:tcPr>
            <w:tcW w:w="696" w:type="dxa"/>
            <w:shd w:val="clear" w:color="auto" w:fill="B2D9EC"/>
            <w:vAlign w:val="center"/>
          </w:tcPr>
          <w:p w14:paraId="3CF0C07F"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7B15910A" w14:textId="77777777" w:rsidR="00EE3DBD" w:rsidRPr="00307028" w:rsidRDefault="00EE3DBD" w:rsidP="00EE3DBD">
            <w:pPr>
              <w:jc w:val="center"/>
              <w:rPr>
                <w:rFonts w:eastAsia="Calibri"/>
                <w:szCs w:val="22"/>
                <w:lang w:eastAsia="en-US"/>
              </w:rPr>
            </w:pPr>
            <w:r w:rsidRPr="00307028">
              <w:rPr>
                <w:rFonts w:eastAsia="Calibri"/>
                <w:szCs w:val="22"/>
                <w:lang w:eastAsia="en-US"/>
              </w:rPr>
              <w:t>1 800 000</w:t>
            </w:r>
          </w:p>
        </w:tc>
      </w:tr>
    </w:tbl>
    <w:p w14:paraId="73D3E7A8" w14:textId="611D8E6A" w:rsidR="00EE3DBD" w:rsidRPr="00307028" w:rsidRDefault="00EE3DBD" w:rsidP="00EE3DBD">
      <w:pPr>
        <w:keepNext/>
        <w:keepLines/>
        <w:spacing w:before="120" w:after="120" w:line="259" w:lineRule="auto"/>
        <w:jc w:val="center"/>
        <w:rPr>
          <w:rFonts w:eastAsia="Calibri"/>
          <w:b/>
          <w:bCs/>
          <w:szCs w:val="22"/>
          <w:lang w:eastAsia="en-US"/>
        </w:rPr>
      </w:pPr>
      <w:r w:rsidRPr="00307028">
        <w:rPr>
          <w:rFonts w:eastAsia="Calibri"/>
          <w:b/>
          <w:bCs/>
          <w:szCs w:val="22"/>
          <w:lang w:eastAsia="en-US"/>
        </w:rPr>
        <w:lastRenderedPageBreak/>
        <w:t>Labklājības ministrija</w:t>
      </w:r>
    </w:p>
    <w:p w14:paraId="236B0069" w14:textId="77777777" w:rsidR="00EE3DBD" w:rsidRPr="00307028" w:rsidRDefault="00EE3DBD" w:rsidP="00EE3DBD">
      <w:pPr>
        <w:keepNext/>
        <w:keepLines/>
        <w:spacing w:after="120" w:line="259" w:lineRule="auto"/>
        <w:jc w:val="both"/>
        <w:rPr>
          <w:rFonts w:eastAsia="Calibri"/>
          <w:b/>
          <w:bCs/>
          <w:szCs w:val="22"/>
          <w:lang w:eastAsia="en-US"/>
        </w:rPr>
      </w:pPr>
      <w:bookmarkStart w:id="78" w:name="_Hlk141255921"/>
      <w:r w:rsidRPr="00307028">
        <w:rPr>
          <w:rFonts w:eastAsia="Calibri"/>
          <w:b/>
          <w:bCs/>
          <w:szCs w:val="22"/>
          <w:lang w:eastAsia="en-US"/>
        </w:rPr>
        <w:t>LM – projekts “Nekustamā īpašuma Kuldīgas ielā 2, Ventspilī, nomas maksas un papildu maksājumu segšana VNĪ”</w:t>
      </w:r>
      <w:bookmarkEnd w:id="78"/>
    </w:p>
    <w:p w14:paraId="5AFB70AB" w14:textId="75963F91" w:rsidR="00EE3DBD" w:rsidRPr="00307028" w:rsidRDefault="00DB4AD2" w:rsidP="00EE3DBD">
      <w:pPr>
        <w:tabs>
          <w:tab w:val="left" w:pos="0"/>
        </w:tabs>
        <w:spacing w:after="120" w:line="259" w:lineRule="auto"/>
        <w:jc w:val="both"/>
        <w:rPr>
          <w:rFonts w:eastAsia="Times New Roman"/>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Saskaņā ar MK 2018.</w:t>
      </w:r>
      <w:r w:rsidR="008E73FF">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gada 19.</w:t>
      </w:r>
      <w:r w:rsidR="008E73FF">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septembra rīkojumu Nr. 448 un MK 2020.</w:t>
      </w:r>
      <w:r w:rsidR="008E73FF">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gada 18.</w:t>
      </w:r>
      <w:r w:rsidR="003B7F2B" w:rsidRPr="00307028">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augusta sēdes prot. Nr. 49 46.</w:t>
      </w:r>
      <w:r w:rsidR="003B7F2B" w:rsidRPr="00307028">
        <w:rPr>
          <w:rFonts w:eastAsia="Times New Roman"/>
          <w:kern w:val="2"/>
          <w:szCs w:val="22"/>
          <w:lang w:eastAsia="en-US"/>
          <w14:ligatures w14:val="standardContextual"/>
        </w:rPr>
        <w:t xml:space="preserve"> </w:t>
      </w:r>
      <w:r w:rsidR="00EE3DBD" w:rsidRPr="00307028">
        <w:rPr>
          <w:rFonts w:eastAsia="Times New Roman"/>
          <w:kern w:val="2"/>
          <w:szCs w:val="22"/>
          <w:lang w:eastAsia="en-US"/>
          <w14:ligatures w14:val="standardContextual"/>
        </w:rPr>
        <w:t>§ 12.10.1. apakšpunktu LM tika paredzēts papildu finansējums īpašuma Kuldīgas ielā 2, Ventspilī, pielāgošanai VPVKAC. VNĪ 2022. gada 11. oktobrī savā vēstulē Nr.</w:t>
      </w:r>
      <w:r w:rsidR="003B7F2B" w:rsidRPr="00307028">
        <w:rPr>
          <w:rFonts w:eastAsia="Times New Roman"/>
          <w:kern w:val="2"/>
          <w:szCs w:val="22"/>
          <w:lang w:eastAsia="en-US"/>
          <w14:ligatures w14:val="standardContextual"/>
        </w:rPr>
        <w:t xml:space="preserve"> </w:t>
      </w:r>
      <w:r w:rsidR="00EE3DBD" w:rsidRPr="00307028">
        <w:rPr>
          <w:rFonts w:eastAsia="Times New Roman"/>
          <w:kern w:val="2"/>
          <w:szCs w:val="22"/>
          <w:lang w:eastAsia="en-US"/>
          <w14:ligatures w14:val="standardContextual"/>
        </w:rPr>
        <w:t>4/2-7/8643 norādīja, ka LM atsakās no Kuldīgas ielā 2, Ventspilī, projekta turpināšanas, ņemot vērā plānotās nomas maksas apmēra pieaugumu. Ņemot vērā, ka projekts par nekustamā īpašuma Kuldīgas ielā 2, Ventspilī, pielāgošanu VPVKAC izveidei izmaksu sadārdzināšanās dēļ ir apturēts, LM budžetā piešķirtais papildu finansējums 140</w:t>
      </w:r>
      <w:r w:rsidR="00A91DF3" w:rsidRPr="00307028">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106</w:t>
      </w:r>
      <w:r w:rsidR="00A91DF3" w:rsidRPr="00307028">
        <w:rPr>
          <w:rFonts w:eastAsia="Times New Roman"/>
          <w:kern w:val="2"/>
          <w:szCs w:val="22"/>
          <w:lang w:eastAsia="en-US"/>
          <w14:ligatures w14:val="standardContextual"/>
        </w:rPr>
        <w:t>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2024. gadam un turpmāk ik gadu nomas maksas, komunālo pakalpojumu un pārcelšanās izdevumu izmaksām netiks izlietots attiecīgajam mērķim. </w:t>
      </w:r>
    </w:p>
    <w:p w14:paraId="7B1E369F" w14:textId="3B9D60DF" w:rsidR="00EE3DBD" w:rsidRPr="00307028" w:rsidRDefault="00DB4AD2" w:rsidP="00EE3DBD">
      <w:pPr>
        <w:tabs>
          <w:tab w:val="left" w:pos="0"/>
        </w:tabs>
        <w:spacing w:after="120" w:line="259" w:lineRule="auto"/>
        <w:jc w:val="both"/>
        <w:rPr>
          <w:rFonts w:eastAsia="Times New Roman"/>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 xml:space="preserve">LM ir apzinājusi virkni neatliekamus pasākumus, kuriem ir nepieciešams papildu finansējums 2024. gadā un turpmāk ik gadu. LM uzsver, ka nomas maksas pieaugums pēdējos gados ir bijis būtisks. LM un tās padotības iestādēs noteiktā nomas maksa ir nepietiekama nekustamo īpašumu uzturēšanai – ilgtermiņā nav iespējams nodrošināt normālu īpašuma apsaimniekošanas praksi un īpašuma pārvaldīšanu, ievērojot normatīvajam regulējumam atbilstošas prasības (ugunsdrošība, energoefektivitāte, būvkonstrukcijas utt.). Situācija VSIA “Šampētera nams” pārvaldītajos īpašumos jau kļūst kritiska, jo pakalpojumu izmaksas katru gadu pieaug un vairs nav </w:t>
      </w:r>
      <w:r w:rsidR="003B7F2B" w:rsidRPr="00307028">
        <w:rPr>
          <w:rFonts w:eastAsia="Times New Roman"/>
          <w:kern w:val="2"/>
          <w:szCs w:val="22"/>
          <w:lang w:eastAsia="en-US"/>
          <w14:ligatures w14:val="standardContextual"/>
        </w:rPr>
        <w:t>samazināmu izdevumu pozīciju</w:t>
      </w:r>
      <w:r w:rsidR="00EE3DBD" w:rsidRPr="00307028">
        <w:rPr>
          <w:rFonts w:eastAsia="Times New Roman"/>
          <w:kern w:val="2"/>
          <w:szCs w:val="22"/>
          <w:lang w:eastAsia="en-US"/>
          <w14:ligatures w14:val="standardContextual"/>
        </w:rPr>
        <w:t xml:space="preserve">, lai segtu ēku uzturēšanas izdevumus. Lai nodrošinātu LM valdījumā esošo ēku infrastruktūras uzlabošanu, nepieciešams palielināt nomas maksu vidēji par 1,55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par m² – no 3,68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par m² ar PVN uz 5,23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par m² ar PVN (pret 2022. gada izdevumiem). </w:t>
      </w:r>
    </w:p>
    <w:p w14:paraId="51225E2F" w14:textId="2D97DA3B" w:rsidR="00EE3DBD" w:rsidRPr="00307028" w:rsidRDefault="00DB4AD2" w:rsidP="00EE3DBD">
      <w:pPr>
        <w:tabs>
          <w:tab w:val="left" w:pos="0"/>
        </w:tabs>
        <w:spacing w:after="120" w:line="259" w:lineRule="auto"/>
        <w:jc w:val="both"/>
        <w:rPr>
          <w:rFonts w:eastAsia="Times New Roman"/>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 xml:space="preserve">Vienlaikus būtisks tarifu pieaugums ir konstatēts arī pasta izdevumu apmaksai VDEĀVK, jo ir ne tikai pieauguši pasta tarifi, bet strauji pieaudzis arī iesniegumu skaits invaliditātes ekspertīzes veikšanai. Lai arī tiek ieviesti digitālie risinājumi, joprojām liels skaits VDEĀVK klientu digitālos risinājumus neizmanto, līdz ar to saglabājas vēstuļu nosūtīšanas nepieciešamība. </w:t>
      </w:r>
    </w:p>
    <w:p w14:paraId="3742DE30" w14:textId="732C3678" w:rsidR="00912269" w:rsidRPr="00307028" w:rsidRDefault="00DB4AD2" w:rsidP="00912269">
      <w:pPr>
        <w:tabs>
          <w:tab w:val="left" w:pos="0"/>
        </w:tabs>
        <w:spacing w:after="120" w:line="259" w:lineRule="auto"/>
        <w:jc w:val="both"/>
        <w:rPr>
          <w:rFonts w:eastAsia="Times New Roman"/>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 xml:space="preserve">Ņemot vērā, ka LM budžetā plānotais finansējums Kuldīgas ielā 2, Ventspilī, </w:t>
      </w:r>
      <w:r w:rsidR="00EE3DBD" w:rsidRPr="00307028">
        <w:rPr>
          <w:rFonts w:eastAsia="Calibri"/>
          <w:lang w:eastAsia="en-US"/>
        </w:rPr>
        <w:t>VPVKAC</w:t>
      </w:r>
      <w:r w:rsidR="00EE3DBD" w:rsidRPr="00307028">
        <w:rPr>
          <w:rFonts w:eastAsia="Times New Roman"/>
          <w:kern w:val="2"/>
          <w:szCs w:val="22"/>
          <w:lang w:eastAsia="en-US"/>
          <w14:ligatures w14:val="standardContextual"/>
        </w:rPr>
        <w:t xml:space="preserve"> pielāgošanai netiks izmantots attiecīgajam mērķim, 2024. gadam un turpmāk ik gadu veidojas pieejamais resurss 140 106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lai daļēji segtu nomas maksas pieaugumu VSIA “Šampētera nams” apsaimniekotajos īpašumos (104 126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un VDEĀVK nodrošinātu daļēju pasta tarifu sadārdzinājumu un nosūtāmo vēstuļu palielinājumu izmaksas (35 980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w:t>
      </w:r>
    </w:p>
    <w:p w14:paraId="19B20F8C" w14:textId="28F0C8D0" w:rsidR="00EE3DBD" w:rsidRPr="00307028" w:rsidRDefault="00912269" w:rsidP="00912269">
      <w:pPr>
        <w:tabs>
          <w:tab w:val="left" w:pos="0"/>
        </w:tabs>
        <w:spacing w:after="120" w:line="259" w:lineRule="auto"/>
        <w:jc w:val="both"/>
        <w:rPr>
          <w:rFonts w:eastAsia="Times New Roman"/>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 xml:space="preserve">Vienlaikus saistībā ar finansējumu Kuldīgas ielā 2, Ventspilī, </w:t>
      </w:r>
      <w:r w:rsidR="00EE3DBD" w:rsidRPr="00307028">
        <w:rPr>
          <w:rFonts w:eastAsia="Calibri"/>
          <w:lang w:eastAsia="en-US"/>
        </w:rPr>
        <w:t>VPVKAC</w:t>
      </w:r>
      <w:r w:rsidR="00EE3DBD" w:rsidRPr="00307028">
        <w:rPr>
          <w:rFonts w:eastAsia="Times New Roman"/>
          <w:kern w:val="2"/>
          <w:szCs w:val="22"/>
          <w:lang w:eastAsia="en-US"/>
          <w14:ligatures w14:val="standardContextual"/>
        </w:rPr>
        <w:t xml:space="preserve"> pielāgošanai, 2023. gada un turpmāko gadu ilgtermiņa saistībās tika paredzēts ne tikai papildu piešķirtais finansējums saskaņā ar MK</w:t>
      </w:r>
      <w:r w:rsidR="003B7F2B" w:rsidRPr="00307028">
        <w:rPr>
          <w:rFonts w:eastAsia="Times New Roman"/>
          <w:kern w:val="2"/>
          <w:szCs w:val="22"/>
          <w:lang w:eastAsia="en-US"/>
          <w14:ligatures w14:val="standardContextual"/>
        </w:rPr>
        <w:t xml:space="preserve"> </w:t>
      </w:r>
      <w:r w:rsidR="00EE3DBD" w:rsidRPr="00307028">
        <w:rPr>
          <w:rFonts w:eastAsia="Times New Roman"/>
          <w:kern w:val="2"/>
          <w:szCs w:val="22"/>
          <w:lang w:eastAsia="en-US"/>
          <w14:ligatures w14:val="standardContextual"/>
        </w:rPr>
        <w:t>2020.</w:t>
      </w:r>
      <w:r w:rsidR="003B7F2B" w:rsidRPr="00307028">
        <w:rPr>
          <w:rFonts w:eastAsia="Times New Roman"/>
          <w:kern w:val="2"/>
          <w:szCs w:val="22"/>
          <w:lang w:eastAsia="en-US"/>
          <w14:ligatures w14:val="standardContextual"/>
        </w:rPr>
        <w:t xml:space="preserve"> gada 18. augusta</w:t>
      </w:r>
      <w:r w:rsidR="00EE3DBD" w:rsidRPr="00307028">
        <w:rPr>
          <w:rFonts w:eastAsia="Times New Roman"/>
          <w:kern w:val="2"/>
          <w:szCs w:val="22"/>
          <w:lang w:eastAsia="en-US"/>
          <w14:ligatures w14:val="standardContextual"/>
        </w:rPr>
        <w:t xml:space="preserve"> sēdes prot. Nr. 49</w:t>
      </w:r>
      <w:r w:rsidR="003B7F2B" w:rsidRPr="00307028">
        <w:rPr>
          <w:rFonts w:eastAsia="Times New Roman"/>
          <w:kern w:val="2"/>
          <w:szCs w:val="22"/>
          <w:lang w:eastAsia="en-US"/>
          <w14:ligatures w14:val="standardContextual"/>
        </w:rPr>
        <w:t xml:space="preserve"> </w:t>
      </w:r>
      <w:r w:rsidR="00EE3DBD" w:rsidRPr="00307028">
        <w:rPr>
          <w:rFonts w:eastAsia="Times New Roman"/>
          <w:kern w:val="2"/>
          <w:szCs w:val="22"/>
          <w:lang w:eastAsia="en-US"/>
          <w14:ligatures w14:val="standardContextual"/>
        </w:rPr>
        <w:t>46.</w:t>
      </w:r>
      <w:r w:rsidR="003B7F2B" w:rsidRPr="00307028">
        <w:rPr>
          <w:rFonts w:eastAsia="Times New Roman"/>
          <w:kern w:val="2"/>
          <w:szCs w:val="22"/>
          <w:lang w:eastAsia="en-US"/>
          <w14:ligatures w14:val="standardContextual"/>
        </w:rPr>
        <w:t xml:space="preserve"> </w:t>
      </w:r>
      <w:r w:rsidR="00EE3DBD" w:rsidRPr="00307028">
        <w:rPr>
          <w:rFonts w:eastAsia="Times New Roman"/>
          <w:kern w:val="2"/>
          <w:szCs w:val="22"/>
          <w:lang w:eastAsia="en-US"/>
          <w14:ligatures w14:val="standardContextual"/>
        </w:rPr>
        <w:t xml:space="preserve">§ 12.10.1. apakšpunktu, bet arī saskaņā ar MK 2018. </w:t>
      </w:r>
      <w:r w:rsidR="003B7F2B" w:rsidRPr="00307028">
        <w:rPr>
          <w:rFonts w:eastAsia="Times New Roman"/>
          <w:kern w:val="2"/>
          <w:szCs w:val="22"/>
          <w:lang w:eastAsia="en-US"/>
          <w14:ligatures w14:val="standardContextual"/>
        </w:rPr>
        <w:t xml:space="preserve">gada 19. septembra </w:t>
      </w:r>
      <w:r w:rsidR="00EE3DBD" w:rsidRPr="00307028">
        <w:rPr>
          <w:rFonts w:eastAsia="Times New Roman"/>
          <w:kern w:val="2"/>
          <w:szCs w:val="22"/>
          <w:lang w:eastAsia="en-US"/>
          <w14:ligatures w14:val="standardContextual"/>
        </w:rPr>
        <w:t xml:space="preserve">rīkojuma Nr. 448 apakšpunktu katras iestādes esošais finansējums 2023. gadam 20 929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un 2024.</w:t>
      </w:r>
      <w:r w:rsidR="008E73FF">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 xml:space="preserve">gadam un turpmāk ik gadu 25 115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Līdz ar to ilgtermiņa saistībās nepieciešams samazināt plānoto finansējumu (katras iestādes esošos resursus), saglabājot finansējumu katrai iestādei nomas maksas izdevumu segšanai, tai skaitā: NVA 2023. gadam 5 932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2024. gadam un turpmāk ik gadu 7 119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VDI 2023. gadam 2 405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2024. gadam un turpmāk ik gadu 2 886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un VSAA 2023. gadam 12</w:t>
      </w:r>
      <w:r w:rsidR="008E73FF">
        <w:rPr>
          <w:rFonts w:eastAsia="Times New Roman"/>
          <w:kern w:val="2"/>
          <w:szCs w:val="22"/>
          <w:lang w:eastAsia="en-US"/>
          <w14:ligatures w14:val="standardContextual"/>
        </w:rPr>
        <w:t> </w:t>
      </w:r>
      <w:r w:rsidR="00EE3DBD" w:rsidRPr="00307028">
        <w:rPr>
          <w:rFonts w:eastAsia="Times New Roman"/>
          <w:kern w:val="2"/>
          <w:szCs w:val="22"/>
          <w:lang w:eastAsia="en-US"/>
          <w14:ligatures w14:val="standardContextual"/>
        </w:rPr>
        <w:t>592</w:t>
      </w:r>
      <w:r w:rsidR="008E73FF">
        <w:rPr>
          <w:rFonts w:eastAsia="Times New Roman"/>
          <w:kern w:val="2"/>
          <w:szCs w:val="22"/>
          <w:lang w:eastAsia="en-US"/>
          <w14:ligatures w14:val="standardContextual"/>
        </w:rPr>
        <w:t>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2024. gadam un turpmāk ik gadu 15 110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3B2C8A71" w14:textId="77777777" w:rsidTr="00957D12">
        <w:trPr>
          <w:jc w:val="center"/>
        </w:trPr>
        <w:tc>
          <w:tcPr>
            <w:tcW w:w="709" w:type="dxa"/>
            <w:shd w:val="clear" w:color="auto" w:fill="B2D9EC"/>
            <w:vAlign w:val="center"/>
          </w:tcPr>
          <w:p w14:paraId="5F0B21C8"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491BF123" w14:textId="77777777" w:rsidR="00EE3DBD" w:rsidRPr="00307028" w:rsidRDefault="00EE3DBD" w:rsidP="00EE3DBD">
            <w:pPr>
              <w:jc w:val="center"/>
              <w:rPr>
                <w:rFonts w:eastAsia="Calibri"/>
                <w:szCs w:val="22"/>
                <w:lang w:eastAsia="en-US"/>
              </w:rPr>
            </w:pPr>
            <w:r w:rsidRPr="00307028">
              <w:rPr>
                <w:rFonts w:eastAsia="Calibri"/>
                <w:szCs w:val="22"/>
                <w:lang w:eastAsia="en-US"/>
              </w:rPr>
              <w:t>140 106</w:t>
            </w:r>
          </w:p>
        </w:tc>
        <w:tc>
          <w:tcPr>
            <w:tcW w:w="696" w:type="dxa"/>
            <w:shd w:val="clear" w:color="auto" w:fill="B2D9EC"/>
            <w:vAlign w:val="center"/>
          </w:tcPr>
          <w:p w14:paraId="4FFEB2BE"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791BF37E" w14:textId="77777777" w:rsidR="00EE3DBD" w:rsidRPr="00307028" w:rsidRDefault="00EE3DBD" w:rsidP="00EE3DBD">
            <w:pPr>
              <w:jc w:val="center"/>
              <w:rPr>
                <w:rFonts w:eastAsia="Calibri"/>
                <w:szCs w:val="22"/>
                <w:lang w:eastAsia="en-US"/>
              </w:rPr>
            </w:pPr>
            <w:r w:rsidRPr="00307028">
              <w:rPr>
                <w:rFonts w:eastAsia="Calibri"/>
                <w:szCs w:val="22"/>
                <w:lang w:eastAsia="en-US"/>
              </w:rPr>
              <w:t>140 106</w:t>
            </w:r>
          </w:p>
        </w:tc>
        <w:tc>
          <w:tcPr>
            <w:tcW w:w="696" w:type="dxa"/>
            <w:shd w:val="clear" w:color="auto" w:fill="B2D9EC"/>
            <w:vAlign w:val="center"/>
          </w:tcPr>
          <w:p w14:paraId="40592C1F"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37FE8B23" w14:textId="77777777" w:rsidR="00EE3DBD" w:rsidRPr="00307028" w:rsidRDefault="00EE3DBD" w:rsidP="00EE3DBD">
            <w:pPr>
              <w:jc w:val="center"/>
              <w:rPr>
                <w:rFonts w:eastAsia="Calibri"/>
                <w:szCs w:val="22"/>
                <w:lang w:eastAsia="en-US"/>
              </w:rPr>
            </w:pPr>
            <w:r w:rsidRPr="00307028">
              <w:rPr>
                <w:rFonts w:eastAsia="Calibri"/>
                <w:szCs w:val="22"/>
                <w:lang w:eastAsia="en-US"/>
              </w:rPr>
              <w:t>140 106</w:t>
            </w:r>
          </w:p>
        </w:tc>
      </w:tr>
    </w:tbl>
    <w:p w14:paraId="2E8AFE80" w14:textId="3D79E6A0" w:rsidR="00EE3DBD" w:rsidRPr="00307028" w:rsidRDefault="00EE3DBD" w:rsidP="00EE3DBD">
      <w:pPr>
        <w:keepNext/>
        <w:keepLines/>
        <w:spacing w:before="120" w:after="120" w:line="259" w:lineRule="auto"/>
        <w:jc w:val="center"/>
        <w:rPr>
          <w:rFonts w:eastAsia="Calibri"/>
          <w:b/>
          <w:bCs/>
          <w:szCs w:val="22"/>
          <w:lang w:eastAsia="en-US"/>
        </w:rPr>
      </w:pPr>
      <w:r w:rsidRPr="00307028">
        <w:rPr>
          <w:rFonts w:eastAsia="Calibri"/>
          <w:b/>
          <w:bCs/>
          <w:szCs w:val="22"/>
          <w:lang w:eastAsia="en-US"/>
        </w:rPr>
        <w:lastRenderedPageBreak/>
        <w:t>Satiksmes</w:t>
      </w:r>
      <w:r w:rsidRPr="00307028">
        <w:rPr>
          <w:rFonts w:eastAsia="Times New Roman"/>
          <w:sz w:val="32"/>
          <w:szCs w:val="26"/>
          <w:lang w:eastAsia="en-US"/>
        </w:rPr>
        <w:t xml:space="preserve"> </w:t>
      </w:r>
      <w:r w:rsidRPr="00307028">
        <w:rPr>
          <w:rFonts w:eastAsia="Calibri"/>
          <w:b/>
          <w:bCs/>
          <w:szCs w:val="22"/>
          <w:lang w:eastAsia="en-US"/>
        </w:rPr>
        <w:t>ministrija</w:t>
      </w:r>
    </w:p>
    <w:p w14:paraId="25524DE4" w14:textId="77777777" w:rsidR="00EE3DBD" w:rsidRPr="00307028" w:rsidRDefault="00EE3DBD" w:rsidP="00EE3DBD">
      <w:pPr>
        <w:keepNext/>
        <w:keepLines/>
        <w:spacing w:after="120" w:line="259" w:lineRule="auto"/>
        <w:jc w:val="both"/>
        <w:rPr>
          <w:rFonts w:eastAsia="Times New Roman"/>
          <w:sz w:val="32"/>
          <w:szCs w:val="26"/>
          <w:lang w:eastAsia="en-US"/>
        </w:rPr>
      </w:pPr>
      <w:r w:rsidRPr="00307028">
        <w:rPr>
          <w:rFonts w:eastAsia="Calibri"/>
          <w:b/>
          <w:bCs/>
          <w:szCs w:val="22"/>
          <w:lang w:eastAsia="en-US"/>
        </w:rPr>
        <w:t>SM – pārskatīti biroja preču un inventāra iegādes izdevumi, samazināti ārvalstu komandējumi</w:t>
      </w:r>
    </w:p>
    <w:p w14:paraId="75AC73BD" w14:textId="77777777" w:rsidR="007C204C" w:rsidRPr="00307028" w:rsidRDefault="00EE3DBD" w:rsidP="00DB4AD2">
      <w:pPr>
        <w:spacing w:after="120" w:line="259" w:lineRule="auto"/>
        <w:ind w:firstLine="720"/>
        <w:jc w:val="both"/>
        <w:rPr>
          <w:rFonts w:eastAsiaTheme="minorHAnsi"/>
          <w:kern w:val="2"/>
          <w:lang w:eastAsia="en-US"/>
        </w:rPr>
      </w:pPr>
      <w:r w:rsidRPr="00307028">
        <w:rPr>
          <w:rFonts w:eastAsiaTheme="minorHAnsi"/>
          <w:kern w:val="2"/>
          <w:lang w:eastAsia="en-US"/>
        </w:rPr>
        <w:t xml:space="preserve">Lai </w:t>
      </w:r>
      <w:r w:rsidR="003B7F2B" w:rsidRPr="00307028">
        <w:rPr>
          <w:rFonts w:eastAsiaTheme="minorHAnsi"/>
          <w:kern w:val="2"/>
          <w:lang w:eastAsia="lv-LV"/>
        </w:rPr>
        <w:t>saglabātu</w:t>
      </w:r>
      <w:r w:rsidRPr="00307028">
        <w:rPr>
          <w:rFonts w:eastAsiaTheme="minorHAnsi"/>
          <w:kern w:val="2"/>
          <w:lang w:eastAsia="lv-LV"/>
        </w:rPr>
        <w:t xml:space="preserve"> ministrijas nodarbinātajiem konkurētspēj</w:t>
      </w:r>
      <w:r w:rsidR="003B7F2B" w:rsidRPr="00307028">
        <w:rPr>
          <w:rFonts w:eastAsiaTheme="minorHAnsi"/>
          <w:kern w:val="2"/>
          <w:lang w:eastAsia="lv-LV"/>
        </w:rPr>
        <w:t>īgu atlīdzību</w:t>
      </w:r>
      <w:r w:rsidRPr="00307028">
        <w:rPr>
          <w:rFonts w:eastAsiaTheme="minorHAnsi"/>
          <w:kern w:val="2"/>
          <w:lang w:eastAsia="lv-LV"/>
        </w:rPr>
        <w:t xml:space="preserve">, SM </w:t>
      </w:r>
      <w:r w:rsidRPr="00307028">
        <w:rPr>
          <w:rFonts w:eastAsiaTheme="minorHAnsi"/>
          <w:kern w:val="2"/>
          <w:lang w:eastAsia="en-US"/>
        </w:rPr>
        <w:t xml:space="preserve">lūdz veikt izdevumu pārdali starp izdevumu EKK programmā 97.00.00 “Nozaru vadība un politikas plānošana” 2025. gadam un turpmāk ik gadu, samazinot izdevumus precēm un pakalpojumiem 82 828 </w:t>
      </w:r>
      <w:r w:rsidRPr="00307028">
        <w:rPr>
          <w:rFonts w:eastAsiaTheme="minorHAnsi"/>
          <w:i/>
          <w:iCs/>
          <w:kern w:val="2"/>
          <w:lang w:eastAsia="en-US"/>
        </w:rPr>
        <w:t>euro</w:t>
      </w:r>
      <w:r w:rsidRPr="00307028">
        <w:rPr>
          <w:rFonts w:eastAsiaTheme="minorHAnsi"/>
          <w:kern w:val="2"/>
          <w:lang w:eastAsia="en-US"/>
        </w:rPr>
        <w:t xml:space="preserve"> apmērā un palielinot izdevumus atlīdzībai 82 828 </w:t>
      </w:r>
      <w:r w:rsidRPr="00307028">
        <w:rPr>
          <w:rFonts w:eastAsiaTheme="minorHAnsi"/>
          <w:i/>
          <w:iCs/>
          <w:kern w:val="2"/>
          <w:lang w:eastAsia="en-US"/>
        </w:rPr>
        <w:t>euro</w:t>
      </w:r>
      <w:r w:rsidRPr="00307028">
        <w:rPr>
          <w:rFonts w:eastAsiaTheme="minorHAnsi"/>
          <w:kern w:val="2"/>
          <w:lang w:eastAsia="en-US"/>
        </w:rPr>
        <w:t xml:space="preserve"> apmērā. Izdevumus precēm un pakalpojumiem iespējams samazināt, jo</w:t>
      </w:r>
      <w:r w:rsidRPr="00307028">
        <w:rPr>
          <w:rFonts w:eastAsiaTheme="minorHAnsi" w:cstheme="minorBidi"/>
          <w:kern w:val="2"/>
          <w:szCs w:val="22"/>
          <w:lang w:eastAsia="en-US"/>
          <w14:ligatures w14:val="standardContextual"/>
        </w:rPr>
        <w:t xml:space="preserve"> </w:t>
      </w:r>
      <w:r w:rsidRPr="00307028">
        <w:rPr>
          <w:rFonts w:eastAsiaTheme="minorHAnsi"/>
          <w:kern w:val="2"/>
          <w:lang w:eastAsia="en-US"/>
        </w:rPr>
        <w:t xml:space="preserve">tiek samazināti izdevumi inventāra iegādei un biroja precēm saistībā ar daļēji attālināto darbu un samazināti ēku un telpu būvdarbu izdevumi, kā arī tiek samazināti ārvalstu komandējumu izdevumi, izdevumi iestādes sabiedrisko aktivitāšu īstenošanai un par profesionālās darbības pakalpojumiem, piesaistot ES finanšu instrumentu ietvaros pieejamo finansējumu. </w:t>
      </w:r>
    </w:p>
    <w:p w14:paraId="6182F20D" w14:textId="371D2F4D" w:rsidR="00EE3DBD" w:rsidRPr="00307028" w:rsidRDefault="00EE3DBD" w:rsidP="00DB4AD2">
      <w:pPr>
        <w:spacing w:after="120" w:line="259" w:lineRule="auto"/>
        <w:ind w:firstLine="720"/>
        <w:jc w:val="both"/>
        <w:rPr>
          <w:rFonts w:eastAsiaTheme="minorHAnsi"/>
          <w:kern w:val="2"/>
          <w:lang w:eastAsia="en-US"/>
        </w:rPr>
      </w:pPr>
      <w:r w:rsidRPr="00307028">
        <w:rPr>
          <w:rFonts w:eastAsiaTheme="minorHAnsi"/>
          <w:kern w:val="2"/>
          <w:lang w:eastAsia="en-US"/>
        </w:rPr>
        <w:t>Savukārt izdevumus atlīdzībai nepieciešams palielināt, jo valsts un pašvaldību institūciju amatpersonu un darbinieku atlīdzības likuma grozījumi paredz pārveidot līdzšinējo atlīdzības politiku, risinot ilgstoši samilzušas problēmas – zemu darbinieku motivāciju, nespēju piesaistīt augsta līmeņa nozares profesionāļus, augstu personāla mainību, nespēju konkurēt ar vidējo darba samaksu nozarē un nepieciešamību ieguldīt apjomīgus resursus personāla attīstībā. Atlīdzības palielināšanas mērķis ir veicināt amatpersonu un darbinieku darba snieguma efektivitāti un kvalitāti, saglabājot ministrijas nodarbināto atlīdzības konkurētspēju, ieviešot konkurētspējīgus darba samaksas risinājumus.</w:t>
      </w:r>
    </w:p>
    <w:tbl>
      <w:tblPr>
        <w:tblStyle w:val="TableGrid11"/>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1C8CCD09" w14:textId="77777777" w:rsidTr="00957D12">
        <w:trPr>
          <w:jc w:val="center"/>
        </w:trPr>
        <w:tc>
          <w:tcPr>
            <w:tcW w:w="709" w:type="dxa"/>
            <w:shd w:val="clear" w:color="auto" w:fill="B2D9EC"/>
            <w:vAlign w:val="center"/>
          </w:tcPr>
          <w:p w14:paraId="778CCED6"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6FE7DA15"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c>
          <w:tcPr>
            <w:tcW w:w="696" w:type="dxa"/>
            <w:shd w:val="clear" w:color="auto" w:fill="B2D9EC"/>
            <w:vAlign w:val="center"/>
          </w:tcPr>
          <w:p w14:paraId="2CA638AA"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7FD88DEC" w14:textId="77777777" w:rsidR="00EE3DBD" w:rsidRPr="00307028" w:rsidRDefault="00EE3DBD" w:rsidP="00EE3DBD">
            <w:pPr>
              <w:jc w:val="center"/>
              <w:rPr>
                <w:rFonts w:eastAsia="Calibri"/>
                <w:szCs w:val="22"/>
                <w:lang w:eastAsia="en-US"/>
              </w:rPr>
            </w:pPr>
            <w:r w:rsidRPr="00307028">
              <w:rPr>
                <w:rFonts w:eastAsia="Calibri"/>
                <w:szCs w:val="22"/>
                <w:lang w:eastAsia="en-US"/>
              </w:rPr>
              <w:t>82 828</w:t>
            </w:r>
          </w:p>
        </w:tc>
        <w:tc>
          <w:tcPr>
            <w:tcW w:w="696" w:type="dxa"/>
            <w:shd w:val="clear" w:color="auto" w:fill="B2D9EC"/>
            <w:vAlign w:val="center"/>
          </w:tcPr>
          <w:p w14:paraId="31C99178"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1CDE7074" w14:textId="77777777" w:rsidR="00EE3DBD" w:rsidRPr="00307028" w:rsidRDefault="00EE3DBD" w:rsidP="00EE3DBD">
            <w:pPr>
              <w:jc w:val="center"/>
              <w:rPr>
                <w:rFonts w:eastAsia="Calibri"/>
                <w:szCs w:val="22"/>
                <w:lang w:eastAsia="en-US"/>
              </w:rPr>
            </w:pPr>
            <w:r w:rsidRPr="00307028">
              <w:rPr>
                <w:rFonts w:eastAsia="Calibri"/>
                <w:szCs w:val="22"/>
                <w:lang w:eastAsia="en-US"/>
              </w:rPr>
              <w:t>82 828</w:t>
            </w:r>
          </w:p>
        </w:tc>
      </w:tr>
    </w:tbl>
    <w:p w14:paraId="5A5E4F1A" w14:textId="77777777" w:rsidR="00EE3DBD" w:rsidRPr="00307028" w:rsidRDefault="00EE3DBD" w:rsidP="00EE3DBD">
      <w:pPr>
        <w:spacing w:after="120" w:line="259" w:lineRule="auto"/>
        <w:jc w:val="center"/>
        <w:rPr>
          <w:rFonts w:eastAsia="Calibri"/>
          <w:b/>
          <w:bCs/>
          <w:szCs w:val="22"/>
          <w:lang w:eastAsia="en-US"/>
        </w:rPr>
      </w:pPr>
    </w:p>
    <w:p w14:paraId="6F0D8BC2" w14:textId="77777777" w:rsidR="00EE3DBD" w:rsidRPr="00307028" w:rsidRDefault="00EE3DBD" w:rsidP="00EE3DBD">
      <w:pPr>
        <w:spacing w:after="120" w:line="259" w:lineRule="auto"/>
        <w:jc w:val="center"/>
        <w:rPr>
          <w:rFonts w:eastAsia="Calibri"/>
          <w:b/>
          <w:bCs/>
          <w:szCs w:val="22"/>
          <w:lang w:eastAsia="en-US"/>
        </w:rPr>
      </w:pPr>
      <w:r w:rsidRPr="00307028">
        <w:rPr>
          <w:rFonts w:eastAsia="Calibri"/>
          <w:b/>
          <w:bCs/>
          <w:szCs w:val="22"/>
          <w:lang w:eastAsia="en-US"/>
        </w:rPr>
        <w:t>Veselības ministrija</w:t>
      </w:r>
    </w:p>
    <w:p w14:paraId="75B78038" w14:textId="77777777" w:rsidR="00EE3DBD" w:rsidRPr="00307028" w:rsidRDefault="00EE3DBD" w:rsidP="00EE3DBD">
      <w:pPr>
        <w:spacing w:after="120" w:line="259" w:lineRule="auto"/>
        <w:jc w:val="both"/>
        <w:rPr>
          <w:rFonts w:eastAsia="Calibri"/>
          <w:b/>
          <w:bCs/>
          <w:szCs w:val="22"/>
          <w:lang w:eastAsia="en-US"/>
        </w:rPr>
      </w:pPr>
      <w:r w:rsidRPr="00307028">
        <w:rPr>
          <w:rFonts w:eastAsia="Calibri"/>
          <w:b/>
          <w:bCs/>
          <w:szCs w:val="22"/>
          <w:lang w:eastAsia="en-US"/>
        </w:rPr>
        <w:t>VM – finansējums, lai nodrošinātu samaksu par kompensējamiem medikamentiem, daļēji sedzot deficītu</w:t>
      </w:r>
    </w:p>
    <w:p w14:paraId="1BBED02B" w14:textId="5BD2CF22" w:rsidR="00EE3DBD" w:rsidRPr="00307028" w:rsidRDefault="003B7F2B" w:rsidP="00DB4AD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Budžeta a</w:t>
      </w:r>
      <w:r w:rsidR="00EE3DBD" w:rsidRPr="00307028">
        <w:rPr>
          <w:rFonts w:eastAsia="Times New Roman"/>
          <w:kern w:val="2"/>
          <w:lang w:eastAsia="en-US"/>
          <w14:ligatures w14:val="standardContextual"/>
        </w:rPr>
        <w:t xml:space="preserve">pakšprogrammā 46.01.00 “Uzraudzība un kontrole” VM sadarbībā ar Veselības inspekciju ir veikusi pamatfunkciju izdevumu izpildes analīzi par iepriekšējiem pārskata periodiem, kā arī, veicot izpildes prognozi 2023. gada 12 mēnešiem, tiek prognozēts finanšu līdzekļu atlikums 2024. gadam 29 460 </w:t>
      </w:r>
      <w:r w:rsidR="00EE3DBD" w:rsidRPr="00307028">
        <w:rPr>
          <w:rFonts w:eastAsia="Times New Roman"/>
          <w:i/>
          <w:iCs/>
          <w:kern w:val="2"/>
          <w:lang w:eastAsia="en-US"/>
          <w14:ligatures w14:val="standardContextual"/>
        </w:rPr>
        <w:t>euro</w:t>
      </w:r>
      <w:r w:rsidR="00EE3DBD" w:rsidRPr="00307028">
        <w:rPr>
          <w:rFonts w:eastAsia="Times New Roman"/>
          <w:kern w:val="2"/>
          <w:lang w:eastAsia="en-US"/>
          <w14:ligatures w14:val="standardContextual"/>
        </w:rPr>
        <w:t xml:space="preserve"> apmērā, 2025. gadam 25 514 </w:t>
      </w:r>
      <w:r w:rsidR="00EE3DBD" w:rsidRPr="00307028">
        <w:rPr>
          <w:rFonts w:eastAsia="Times New Roman"/>
          <w:i/>
          <w:iCs/>
          <w:kern w:val="2"/>
          <w:lang w:eastAsia="en-US"/>
          <w14:ligatures w14:val="standardContextual"/>
        </w:rPr>
        <w:t>euro</w:t>
      </w:r>
      <w:r w:rsidR="00EE3DBD" w:rsidRPr="00307028">
        <w:rPr>
          <w:rFonts w:eastAsia="Times New Roman"/>
          <w:kern w:val="2"/>
          <w:lang w:eastAsia="en-US"/>
          <w14:ligatures w14:val="standardContextual"/>
        </w:rPr>
        <w:t xml:space="preserve"> apmērā un 2026. gadam un turpmāk ik gadu 21 963 </w:t>
      </w:r>
      <w:r w:rsidR="00EE3DBD" w:rsidRPr="00307028">
        <w:rPr>
          <w:rFonts w:eastAsia="Times New Roman"/>
          <w:i/>
          <w:iCs/>
          <w:kern w:val="2"/>
          <w:lang w:eastAsia="en-US"/>
          <w14:ligatures w14:val="standardContextual"/>
        </w:rPr>
        <w:t>euro</w:t>
      </w:r>
      <w:r w:rsidR="00EE3DBD" w:rsidRPr="00307028">
        <w:rPr>
          <w:rFonts w:eastAsia="Times New Roman"/>
          <w:kern w:val="2"/>
          <w:lang w:eastAsia="en-US"/>
          <w14:ligatures w14:val="standardContextual"/>
        </w:rPr>
        <w:t xml:space="preserve"> apmērā. Izmaksu samazinājums tiek plānots mēnešbiļešu un degvielas kompensācijām personiskajam transportam, ārvalstu komandējumiem, tulkošanas un mācību pakalpojumiem, remontdarbiem, biroja precēm, degvielai, uzturēšanas materiāliem un precēm.</w:t>
      </w:r>
    </w:p>
    <w:p w14:paraId="0244C3C9" w14:textId="208CCF02" w:rsidR="00EE3DBD" w:rsidRPr="00307028" w:rsidRDefault="00EE3DBD" w:rsidP="00EE3DBD">
      <w:pPr>
        <w:spacing w:after="120" w:line="259" w:lineRule="auto"/>
        <w:jc w:val="center"/>
        <w:rPr>
          <w:rFonts w:eastAsiaTheme="minorHAnsi"/>
          <w:b/>
          <w:bCs/>
          <w:kern w:val="2"/>
          <w:sz w:val="22"/>
          <w:szCs w:val="22"/>
          <w:lang w:eastAsia="en-US"/>
          <w14:ligatures w14:val="standardContextual"/>
        </w:rPr>
      </w:pPr>
      <w:r w:rsidRPr="00307028">
        <w:rPr>
          <w:rFonts w:eastAsiaTheme="minorHAnsi"/>
          <w:b/>
          <w:bCs/>
          <w:i/>
          <w:iCs/>
          <w:kern w:val="2"/>
          <w:sz w:val="22"/>
          <w:szCs w:val="22"/>
          <w:lang w:eastAsia="en-US"/>
          <w14:ligatures w14:val="standardContextual"/>
        </w:rPr>
        <w:t>2.1.5. tabula</w:t>
      </w:r>
      <w:r w:rsidRPr="00307028">
        <w:rPr>
          <w:rFonts w:eastAsiaTheme="minorHAnsi"/>
          <w:b/>
          <w:bCs/>
          <w:kern w:val="2"/>
          <w:sz w:val="22"/>
          <w:szCs w:val="22"/>
          <w:lang w:eastAsia="en-US"/>
          <w14:ligatures w14:val="standardContextual"/>
        </w:rPr>
        <w:t xml:space="preserve"> Plānotais ietaupījums Veselības inspekcijai 2024.</w:t>
      </w:r>
      <w:r w:rsidR="003B7DFF" w:rsidRPr="00307028">
        <w:rPr>
          <w:rFonts w:eastAsiaTheme="minorHAnsi" w:cstheme="minorBidi"/>
          <w:iCs/>
          <w:szCs w:val="18"/>
          <w:lang w:eastAsia="en-US"/>
        </w:rPr>
        <w:t xml:space="preserve"> – </w:t>
      </w:r>
      <w:r w:rsidRPr="00307028">
        <w:rPr>
          <w:rFonts w:eastAsiaTheme="minorHAnsi"/>
          <w:b/>
          <w:bCs/>
          <w:kern w:val="2"/>
          <w:sz w:val="22"/>
          <w:szCs w:val="22"/>
          <w:lang w:eastAsia="en-US"/>
          <w14:ligatures w14:val="standardContextual"/>
        </w:rPr>
        <w:t>2026. gadam</w:t>
      </w:r>
    </w:p>
    <w:tbl>
      <w:tblPr>
        <w:tblStyle w:val="TableGrid4"/>
        <w:tblW w:w="0" w:type="auto"/>
        <w:tblLook w:val="04A0" w:firstRow="1" w:lastRow="0" w:firstColumn="1" w:lastColumn="0" w:noHBand="0" w:noVBand="1"/>
      </w:tblPr>
      <w:tblGrid>
        <w:gridCol w:w="6491"/>
        <w:gridCol w:w="967"/>
        <w:gridCol w:w="766"/>
        <w:gridCol w:w="837"/>
      </w:tblGrid>
      <w:tr w:rsidR="003B7F2B" w:rsidRPr="00307028" w14:paraId="5525AB6F" w14:textId="77777777" w:rsidTr="00957D12">
        <w:tc>
          <w:tcPr>
            <w:tcW w:w="6658" w:type="dxa"/>
            <w:shd w:val="clear" w:color="auto" w:fill="B2D9EC"/>
          </w:tcPr>
          <w:p w14:paraId="6B3FE5CC" w14:textId="77777777" w:rsidR="003B7F2B" w:rsidRPr="00307028" w:rsidRDefault="003B7F2B" w:rsidP="00242A43">
            <w:pPr>
              <w:jc w:val="both"/>
              <w:rPr>
                <w:rFonts w:eastAsia="Times New Roman"/>
                <w:kern w:val="2"/>
                <w:sz w:val="20"/>
                <w:szCs w:val="20"/>
                <w:lang w:val="lv-LV" w:eastAsia="en-US"/>
                <w14:ligatures w14:val="standardContextual"/>
              </w:rPr>
            </w:pPr>
          </w:p>
        </w:tc>
        <w:tc>
          <w:tcPr>
            <w:tcW w:w="974" w:type="dxa"/>
            <w:shd w:val="clear" w:color="auto" w:fill="B2D9EC"/>
            <w:vAlign w:val="center"/>
          </w:tcPr>
          <w:p w14:paraId="0D5FA7BE"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2024</w:t>
            </w:r>
          </w:p>
        </w:tc>
        <w:tc>
          <w:tcPr>
            <w:tcW w:w="585" w:type="dxa"/>
            <w:shd w:val="clear" w:color="auto" w:fill="B2D9EC"/>
            <w:vAlign w:val="center"/>
          </w:tcPr>
          <w:p w14:paraId="29B2D567"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2025</w:t>
            </w:r>
          </w:p>
        </w:tc>
        <w:tc>
          <w:tcPr>
            <w:tcW w:w="844" w:type="dxa"/>
            <w:shd w:val="clear" w:color="auto" w:fill="B2D9EC"/>
            <w:vAlign w:val="center"/>
          </w:tcPr>
          <w:p w14:paraId="4CB19ECB"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2026</w:t>
            </w:r>
          </w:p>
        </w:tc>
      </w:tr>
      <w:tr w:rsidR="003B7F2B" w:rsidRPr="00307028" w14:paraId="00657110" w14:textId="77777777" w:rsidTr="00242A43">
        <w:tc>
          <w:tcPr>
            <w:tcW w:w="6658" w:type="dxa"/>
            <w:vAlign w:val="center"/>
          </w:tcPr>
          <w:p w14:paraId="212EAB6D"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mēnešbiļešu izdevumiem, jo cenas ir samazinājušās un ir optimizēti darba braucieni</w:t>
            </w:r>
          </w:p>
        </w:tc>
        <w:tc>
          <w:tcPr>
            <w:tcW w:w="974" w:type="dxa"/>
            <w:vAlign w:val="center"/>
          </w:tcPr>
          <w:p w14:paraId="16732FDE"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810</w:t>
            </w:r>
          </w:p>
        </w:tc>
        <w:tc>
          <w:tcPr>
            <w:tcW w:w="585" w:type="dxa"/>
            <w:vAlign w:val="center"/>
          </w:tcPr>
          <w:p w14:paraId="5C00251F"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0</w:t>
            </w:r>
          </w:p>
        </w:tc>
        <w:tc>
          <w:tcPr>
            <w:tcW w:w="844" w:type="dxa"/>
            <w:vAlign w:val="center"/>
          </w:tcPr>
          <w:p w14:paraId="0C9D0F6D"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0</w:t>
            </w:r>
          </w:p>
        </w:tc>
      </w:tr>
      <w:tr w:rsidR="003B7F2B" w:rsidRPr="00307028" w14:paraId="0C6EC65C" w14:textId="77777777" w:rsidTr="00242A43">
        <w:tc>
          <w:tcPr>
            <w:tcW w:w="6658" w:type="dxa"/>
            <w:vAlign w:val="center"/>
          </w:tcPr>
          <w:p w14:paraId="4EAF2996"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degvielas izdevumu kompensēšanai personīgajam transportam dienesta braucienu nodrošināšanai, jo darbinieki, ar kuriem bija noslēgti patapinājuma līgumi, tiek aicināti izmantot Veselības inspekcijas nomātos transporta līdzekļus</w:t>
            </w:r>
          </w:p>
        </w:tc>
        <w:tc>
          <w:tcPr>
            <w:tcW w:w="974" w:type="dxa"/>
            <w:vAlign w:val="center"/>
          </w:tcPr>
          <w:p w14:paraId="30DB30DE"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960</w:t>
            </w:r>
          </w:p>
        </w:tc>
        <w:tc>
          <w:tcPr>
            <w:tcW w:w="585" w:type="dxa"/>
            <w:vAlign w:val="center"/>
          </w:tcPr>
          <w:p w14:paraId="63EE808D"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960</w:t>
            </w:r>
          </w:p>
        </w:tc>
        <w:tc>
          <w:tcPr>
            <w:tcW w:w="844" w:type="dxa"/>
            <w:vAlign w:val="center"/>
          </w:tcPr>
          <w:p w14:paraId="4FC67B23"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960</w:t>
            </w:r>
          </w:p>
        </w:tc>
      </w:tr>
      <w:tr w:rsidR="003B7F2B" w:rsidRPr="00307028" w14:paraId="6496CCF6" w14:textId="77777777" w:rsidTr="00242A43">
        <w:tc>
          <w:tcPr>
            <w:tcW w:w="6658" w:type="dxa"/>
            <w:vAlign w:val="center"/>
          </w:tcPr>
          <w:p w14:paraId="10BC6655"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ārvalstu komandējumu izdevumiem, jo tiek plānoti tikai obligātie braucieni – Latvijas pārstāvja nodrošināšana</w:t>
            </w:r>
          </w:p>
        </w:tc>
        <w:tc>
          <w:tcPr>
            <w:tcW w:w="974" w:type="dxa"/>
            <w:vAlign w:val="center"/>
          </w:tcPr>
          <w:p w14:paraId="26AE731E"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7 575</w:t>
            </w:r>
          </w:p>
        </w:tc>
        <w:tc>
          <w:tcPr>
            <w:tcW w:w="585" w:type="dxa"/>
            <w:vAlign w:val="center"/>
          </w:tcPr>
          <w:p w14:paraId="0D830E22"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7 575</w:t>
            </w:r>
          </w:p>
        </w:tc>
        <w:tc>
          <w:tcPr>
            <w:tcW w:w="844" w:type="dxa"/>
            <w:vAlign w:val="center"/>
          </w:tcPr>
          <w:p w14:paraId="77C1E5B8"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7 575</w:t>
            </w:r>
          </w:p>
        </w:tc>
      </w:tr>
      <w:tr w:rsidR="003B7F2B" w:rsidRPr="00307028" w14:paraId="35DB0CB8" w14:textId="77777777" w:rsidTr="00242A43">
        <w:tc>
          <w:tcPr>
            <w:tcW w:w="6658" w:type="dxa"/>
            <w:vAlign w:val="center"/>
          </w:tcPr>
          <w:p w14:paraId="0841E2CC"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mācību pakalpojumu izdevumiem, jo plānots vairāk apmeklēt bezmaksas VAS piedāvātās mācības</w:t>
            </w:r>
          </w:p>
        </w:tc>
        <w:tc>
          <w:tcPr>
            <w:tcW w:w="974" w:type="dxa"/>
            <w:vAlign w:val="center"/>
          </w:tcPr>
          <w:p w14:paraId="62A64F06"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c>
          <w:tcPr>
            <w:tcW w:w="585" w:type="dxa"/>
            <w:vAlign w:val="center"/>
          </w:tcPr>
          <w:p w14:paraId="21328BBF"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c>
          <w:tcPr>
            <w:tcW w:w="844" w:type="dxa"/>
            <w:vAlign w:val="center"/>
          </w:tcPr>
          <w:p w14:paraId="2B27EDD0"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r>
      <w:tr w:rsidR="003B7F2B" w:rsidRPr="00307028" w14:paraId="36471084" w14:textId="77777777" w:rsidTr="00242A43">
        <w:tc>
          <w:tcPr>
            <w:tcW w:w="6658" w:type="dxa"/>
            <w:vAlign w:val="center"/>
          </w:tcPr>
          <w:p w14:paraId="2F83C59D"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telpu remontam tiek plānots novirzīt mazāku finansējumu nekā sākotnēji plānots</w:t>
            </w:r>
          </w:p>
        </w:tc>
        <w:tc>
          <w:tcPr>
            <w:tcW w:w="974" w:type="dxa"/>
            <w:vAlign w:val="center"/>
          </w:tcPr>
          <w:p w14:paraId="6D40D88C"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6 315</w:t>
            </w:r>
          </w:p>
        </w:tc>
        <w:tc>
          <w:tcPr>
            <w:tcW w:w="585" w:type="dxa"/>
            <w:vAlign w:val="center"/>
          </w:tcPr>
          <w:p w14:paraId="6BC05BC2"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3 179</w:t>
            </w:r>
          </w:p>
        </w:tc>
        <w:tc>
          <w:tcPr>
            <w:tcW w:w="844" w:type="dxa"/>
            <w:vAlign w:val="center"/>
          </w:tcPr>
          <w:p w14:paraId="4D8D06B4" w14:textId="77777777" w:rsidR="003B7F2B" w:rsidRPr="00307028" w:rsidRDefault="003B7F2B" w:rsidP="00242A43">
            <w:pPr>
              <w:jc w:val="center"/>
              <w:rPr>
                <w:rFonts w:eastAsia="Times New Roman"/>
                <w:kern w:val="2"/>
                <w:sz w:val="20"/>
                <w:szCs w:val="20"/>
                <w:lang w:val="lv-LV" w:eastAsia="en-US"/>
                <w14:ligatures w14:val="standardContextual"/>
              </w:rPr>
            </w:pPr>
          </w:p>
        </w:tc>
      </w:tr>
      <w:tr w:rsidR="003B7F2B" w:rsidRPr="00307028" w14:paraId="4496BD8A" w14:textId="77777777" w:rsidTr="00242A43">
        <w:tc>
          <w:tcPr>
            <w:tcW w:w="6658" w:type="dxa"/>
            <w:vAlign w:val="center"/>
          </w:tcPr>
          <w:p w14:paraId="5F516BB9"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lastRenderedPageBreak/>
              <w:t>biroja precēm saistībā ar elektronizāciju</w:t>
            </w:r>
          </w:p>
        </w:tc>
        <w:tc>
          <w:tcPr>
            <w:tcW w:w="974" w:type="dxa"/>
            <w:vAlign w:val="center"/>
          </w:tcPr>
          <w:p w14:paraId="519E74E5"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c>
          <w:tcPr>
            <w:tcW w:w="585" w:type="dxa"/>
            <w:vAlign w:val="center"/>
          </w:tcPr>
          <w:p w14:paraId="46F7431E"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c>
          <w:tcPr>
            <w:tcW w:w="844" w:type="dxa"/>
            <w:vAlign w:val="center"/>
          </w:tcPr>
          <w:p w14:paraId="16D6AC25"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500</w:t>
            </w:r>
          </w:p>
        </w:tc>
      </w:tr>
      <w:tr w:rsidR="003B7F2B" w:rsidRPr="00307028" w14:paraId="2AE0BA71" w14:textId="77777777" w:rsidTr="00242A43">
        <w:tc>
          <w:tcPr>
            <w:tcW w:w="6658" w:type="dxa"/>
            <w:vAlign w:val="center"/>
          </w:tcPr>
          <w:p w14:paraId="65F23684"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degvielai saistībā ar darba braucienu optimizāciju</w:t>
            </w:r>
          </w:p>
        </w:tc>
        <w:tc>
          <w:tcPr>
            <w:tcW w:w="974" w:type="dxa"/>
            <w:vAlign w:val="center"/>
          </w:tcPr>
          <w:p w14:paraId="18224890"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10 000</w:t>
            </w:r>
          </w:p>
        </w:tc>
        <w:tc>
          <w:tcPr>
            <w:tcW w:w="585" w:type="dxa"/>
            <w:vAlign w:val="center"/>
          </w:tcPr>
          <w:p w14:paraId="76467149"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10 000</w:t>
            </w:r>
          </w:p>
        </w:tc>
        <w:tc>
          <w:tcPr>
            <w:tcW w:w="844" w:type="dxa"/>
            <w:vAlign w:val="center"/>
          </w:tcPr>
          <w:p w14:paraId="0774E779"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10 000</w:t>
            </w:r>
          </w:p>
        </w:tc>
      </w:tr>
      <w:tr w:rsidR="003B7F2B" w:rsidRPr="00307028" w14:paraId="773CB740" w14:textId="77777777" w:rsidTr="00242A43">
        <w:tc>
          <w:tcPr>
            <w:tcW w:w="6658" w:type="dxa"/>
            <w:vAlign w:val="center"/>
          </w:tcPr>
          <w:p w14:paraId="0A5D3E59"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laboratorijas precēm, jo sejas maskas tiek piegādātas bezatlīdzības ceļā</w:t>
            </w:r>
          </w:p>
        </w:tc>
        <w:tc>
          <w:tcPr>
            <w:tcW w:w="974" w:type="dxa"/>
            <w:vAlign w:val="center"/>
          </w:tcPr>
          <w:p w14:paraId="362D7FC6"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400</w:t>
            </w:r>
          </w:p>
        </w:tc>
        <w:tc>
          <w:tcPr>
            <w:tcW w:w="585" w:type="dxa"/>
            <w:vAlign w:val="center"/>
          </w:tcPr>
          <w:p w14:paraId="0A8BA58D"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400</w:t>
            </w:r>
          </w:p>
        </w:tc>
        <w:tc>
          <w:tcPr>
            <w:tcW w:w="844" w:type="dxa"/>
            <w:vAlign w:val="center"/>
          </w:tcPr>
          <w:p w14:paraId="2A5AC4CD"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400</w:t>
            </w:r>
          </w:p>
        </w:tc>
      </w:tr>
      <w:tr w:rsidR="003B7F2B" w:rsidRPr="00307028" w14:paraId="15EA7EF8" w14:textId="77777777" w:rsidTr="00242A43">
        <w:tc>
          <w:tcPr>
            <w:tcW w:w="6658" w:type="dxa"/>
            <w:vAlign w:val="center"/>
          </w:tcPr>
          <w:p w14:paraId="6F4EF6BA" w14:textId="77777777" w:rsidR="003B7F2B" w:rsidRPr="00307028" w:rsidRDefault="003B7F2B" w:rsidP="00242A43">
            <w:pP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remonta materiāliem tiek plānots novirzīt mazāku finansējumu nekā sākotnēji plānots</w:t>
            </w:r>
          </w:p>
        </w:tc>
        <w:tc>
          <w:tcPr>
            <w:tcW w:w="974" w:type="dxa"/>
            <w:vAlign w:val="center"/>
          </w:tcPr>
          <w:p w14:paraId="435C2DBD"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2 400</w:t>
            </w:r>
          </w:p>
        </w:tc>
        <w:tc>
          <w:tcPr>
            <w:tcW w:w="585" w:type="dxa"/>
            <w:vAlign w:val="center"/>
          </w:tcPr>
          <w:p w14:paraId="4253825A"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2 400</w:t>
            </w:r>
          </w:p>
        </w:tc>
        <w:tc>
          <w:tcPr>
            <w:tcW w:w="844" w:type="dxa"/>
            <w:vAlign w:val="center"/>
          </w:tcPr>
          <w:p w14:paraId="18BC969B" w14:textId="77777777" w:rsidR="003B7F2B" w:rsidRPr="00307028" w:rsidRDefault="003B7F2B" w:rsidP="00242A43">
            <w:pPr>
              <w:jc w:val="center"/>
              <w:rPr>
                <w:rFonts w:eastAsia="Times New Roman"/>
                <w:kern w:val="2"/>
                <w:sz w:val="20"/>
                <w:szCs w:val="20"/>
                <w:lang w:val="lv-LV" w:eastAsia="en-US"/>
                <w14:ligatures w14:val="standardContextual"/>
              </w:rPr>
            </w:pPr>
            <w:r w:rsidRPr="00307028">
              <w:rPr>
                <w:rFonts w:eastAsia="Times New Roman"/>
                <w:kern w:val="2"/>
                <w:sz w:val="20"/>
                <w:szCs w:val="20"/>
                <w:lang w:val="lv-LV" w:eastAsia="en-US"/>
                <w14:ligatures w14:val="standardContextual"/>
              </w:rPr>
              <w:t>2 028</w:t>
            </w:r>
          </w:p>
        </w:tc>
      </w:tr>
      <w:tr w:rsidR="003B7F2B" w:rsidRPr="00307028" w14:paraId="006A4237" w14:textId="77777777" w:rsidTr="00957D12">
        <w:tc>
          <w:tcPr>
            <w:tcW w:w="6658" w:type="dxa"/>
            <w:shd w:val="clear" w:color="auto" w:fill="B2D9EC"/>
            <w:vAlign w:val="center"/>
          </w:tcPr>
          <w:p w14:paraId="6015AE95" w14:textId="77777777" w:rsidR="003B7F2B" w:rsidRPr="00307028" w:rsidRDefault="003B7F2B" w:rsidP="00242A43">
            <w:pPr>
              <w:jc w:val="both"/>
              <w:rPr>
                <w:rFonts w:eastAsia="Times New Roman"/>
                <w:b/>
                <w:bCs/>
                <w:kern w:val="2"/>
                <w:sz w:val="20"/>
                <w:szCs w:val="20"/>
                <w:lang w:val="lv-LV" w:eastAsia="en-US"/>
                <w14:ligatures w14:val="standardContextual"/>
              </w:rPr>
            </w:pPr>
            <w:r w:rsidRPr="00307028">
              <w:rPr>
                <w:rFonts w:eastAsia="Times New Roman"/>
                <w:b/>
                <w:bCs/>
                <w:kern w:val="2"/>
                <w:sz w:val="20"/>
                <w:szCs w:val="20"/>
                <w:lang w:val="lv-LV" w:eastAsia="en-US"/>
                <w14:ligatures w14:val="standardContextual"/>
              </w:rPr>
              <w:t>KOPĀ:</w:t>
            </w:r>
          </w:p>
        </w:tc>
        <w:tc>
          <w:tcPr>
            <w:tcW w:w="974" w:type="dxa"/>
            <w:shd w:val="clear" w:color="auto" w:fill="B2D9EC"/>
            <w:vAlign w:val="center"/>
          </w:tcPr>
          <w:p w14:paraId="3AD776B3" w14:textId="77777777" w:rsidR="003B7F2B" w:rsidRPr="00307028" w:rsidRDefault="003B7F2B" w:rsidP="00242A43">
            <w:pPr>
              <w:jc w:val="center"/>
              <w:rPr>
                <w:rFonts w:eastAsia="Times New Roman"/>
                <w:b/>
                <w:bCs/>
                <w:kern w:val="2"/>
                <w:sz w:val="20"/>
                <w:szCs w:val="20"/>
                <w:lang w:val="lv-LV" w:eastAsia="en-US"/>
                <w14:ligatures w14:val="standardContextual"/>
              </w:rPr>
            </w:pPr>
            <w:r w:rsidRPr="00307028">
              <w:rPr>
                <w:rFonts w:eastAsia="Times New Roman"/>
                <w:b/>
                <w:bCs/>
                <w:kern w:val="2"/>
                <w:sz w:val="20"/>
                <w:szCs w:val="20"/>
                <w:lang w:val="lv-LV" w:eastAsia="en-US"/>
                <w14:ligatures w14:val="standardContextual"/>
              </w:rPr>
              <w:t>29 460</w:t>
            </w:r>
          </w:p>
        </w:tc>
        <w:tc>
          <w:tcPr>
            <w:tcW w:w="585" w:type="dxa"/>
            <w:shd w:val="clear" w:color="auto" w:fill="B2D9EC"/>
            <w:vAlign w:val="center"/>
          </w:tcPr>
          <w:p w14:paraId="76F1926E" w14:textId="77777777" w:rsidR="003B7F2B" w:rsidRPr="00307028" w:rsidRDefault="003B7F2B" w:rsidP="00242A43">
            <w:pPr>
              <w:jc w:val="center"/>
              <w:rPr>
                <w:rFonts w:eastAsia="Times New Roman"/>
                <w:b/>
                <w:bCs/>
                <w:kern w:val="2"/>
                <w:sz w:val="20"/>
                <w:szCs w:val="20"/>
                <w:lang w:val="lv-LV" w:eastAsia="en-US"/>
                <w14:ligatures w14:val="standardContextual"/>
              </w:rPr>
            </w:pPr>
            <w:r w:rsidRPr="00307028">
              <w:rPr>
                <w:rFonts w:eastAsia="Times New Roman"/>
                <w:b/>
                <w:bCs/>
                <w:kern w:val="2"/>
                <w:sz w:val="20"/>
                <w:szCs w:val="20"/>
                <w:lang w:val="lv-LV" w:eastAsia="en-US"/>
                <w14:ligatures w14:val="standardContextual"/>
              </w:rPr>
              <w:t>25 514</w:t>
            </w:r>
          </w:p>
        </w:tc>
        <w:tc>
          <w:tcPr>
            <w:tcW w:w="844" w:type="dxa"/>
            <w:shd w:val="clear" w:color="auto" w:fill="B2D9EC"/>
            <w:vAlign w:val="center"/>
          </w:tcPr>
          <w:p w14:paraId="2C8B8B43" w14:textId="77777777" w:rsidR="003B7F2B" w:rsidRPr="00307028" w:rsidRDefault="003B7F2B" w:rsidP="00242A43">
            <w:pPr>
              <w:jc w:val="center"/>
              <w:rPr>
                <w:rFonts w:eastAsia="Times New Roman"/>
                <w:b/>
                <w:bCs/>
                <w:kern w:val="2"/>
                <w:sz w:val="20"/>
                <w:szCs w:val="20"/>
                <w:lang w:val="lv-LV" w:eastAsia="en-US"/>
                <w14:ligatures w14:val="standardContextual"/>
              </w:rPr>
            </w:pPr>
            <w:r w:rsidRPr="00307028">
              <w:rPr>
                <w:rFonts w:eastAsia="Times New Roman"/>
                <w:b/>
                <w:bCs/>
                <w:kern w:val="2"/>
                <w:sz w:val="20"/>
                <w:szCs w:val="20"/>
                <w:lang w:val="lv-LV" w:eastAsia="en-US"/>
                <w14:ligatures w14:val="standardContextual"/>
              </w:rPr>
              <w:t>21 963</w:t>
            </w:r>
          </w:p>
        </w:tc>
      </w:tr>
    </w:tbl>
    <w:p w14:paraId="5AB3724F" w14:textId="3DA5F16E" w:rsidR="00EE3DBD" w:rsidRPr="00307028" w:rsidRDefault="00EE3DBD" w:rsidP="00DB4AD2">
      <w:pPr>
        <w:spacing w:before="120"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VM sniedz priekšlikumu 2024., 2025. un 2026. gadam un turpmāk ik gadu budžeta apakšprogrammā 46.01.00 “Uzraudzība un kontrole” samazināt vispārējā kārtībā sadalāmo dotāciju no vispārējiem ieņēmumiem un izdevumus subsīdijām un dotācijām 2024. gadam 29</w:t>
      </w:r>
      <w:r w:rsidR="003B7F2B" w:rsidRPr="00307028">
        <w:rPr>
          <w:rFonts w:eastAsia="Times New Roman"/>
          <w:kern w:val="2"/>
          <w:lang w:eastAsia="en-US"/>
          <w14:ligatures w14:val="standardContextual"/>
        </w:rPr>
        <w:t> </w:t>
      </w:r>
      <w:r w:rsidRPr="00307028">
        <w:rPr>
          <w:rFonts w:eastAsia="Times New Roman"/>
          <w:kern w:val="2"/>
          <w:lang w:eastAsia="en-US"/>
          <w14:ligatures w14:val="standardContextual"/>
        </w:rPr>
        <w:t xml:space="preserve">460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2025. gadam 25 514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un 2026. gadam un turpmāk ik gadu 21</w:t>
      </w:r>
      <w:r w:rsidR="003B7F2B" w:rsidRPr="00307028">
        <w:rPr>
          <w:rFonts w:eastAsia="Times New Roman"/>
          <w:kern w:val="2"/>
          <w:lang w:eastAsia="en-US"/>
          <w14:ligatures w14:val="standardContextual"/>
        </w:rPr>
        <w:t> </w:t>
      </w:r>
      <w:r w:rsidRPr="00307028">
        <w:rPr>
          <w:rFonts w:eastAsia="Times New Roman"/>
          <w:kern w:val="2"/>
          <w:lang w:eastAsia="en-US"/>
          <w14:ligatures w14:val="standardContextual"/>
        </w:rPr>
        <w:t xml:space="preserve">963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un attiecīgi palielināt apakšprogrammā 33.03.00 “Kompensējamo medikamentu un materiālu apmaksāšana” vispārējā kārtībā sadalāmo dotāciju no vispārējiem ieņēmumiem un izdevumus subsīdijām un dotācijām 2024. gadam 29 460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2025.</w:t>
      </w:r>
      <w:r w:rsidR="003B7F2B" w:rsidRPr="00307028">
        <w:rPr>
          <w:rFonts w:eastAsia="Times New Roman"/>
          <w:kern w:val="2"/>
          <w:lang w:eastAsia="en-US"/>
          <w14:ligatures w14:val="standardContextual"/>
        </w:rPr>
        <w:t> </w:t>
      </w:r>
      <w:r w:rsidRPr="00307028">
        <w:rPr>
          <w:rFonts w:eastAsia="Times New Roman"/>
          <w:kern w:val="2"/>
          <w:lang w:eastAsia="en-US"/>
          <w14:ligatures w14:val="standardContextual"/>
        </w:rPr>
        <w:t xml:space="preserve">gadam 25 514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un 2026.</w:t>
      </w:r>
      <w:r w:rsidR="003B7F2B"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 xml:space="preserve">gadam un turpmāk ik gadu 21 963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 </w:t>
      </w:r>
      <w:bookmarkStart w:id="79" w:name="_Hlk141171640"/>
      <w:r w:rsidRPr="00307028">
        <w:rPr>
          <w:rFonts w:eastAsia="Times New Roman"/>
          <w:kern w:val="2"/>
          <w:lang w:eastAsia="en-US"/>
          <w14:ligatures w14:val="standardContextual"/>
        </w:rPr>
        <w:t>lai nodrošinātu samaksu par kompensējamiem medikamentiem, daļēji sedzot deficītu</w:t>
      </w:r>
      <w:bookmarkEnd w:id="79"/>
      <w:r w:rsidRPr="00307028">
        <w:rPr>
          <w:rFonts w:eastAsia="Times New Roman"/>
          <w:kern w:val="2"/>
          <w:lang w:eastAsia="en-US"/>
          <w14:ligatures w14:val="standardContextual"/>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358ED4EF" w14:textId="77777777" w:rsidTr="00957D12">
        <w:trPr>
          <w:jc w:val="center"/>
        </w:trPr>
        <w:tc>
          <w:tcPr>
            <w:tcW w:w="709" w:type="dxa"/>
            <w:shd w:val="clear" w:color="auto" w:fill="B2D9EC"/>
            <w:vAlign w:val="center"/>
          </w:tcPr>
          <w:p w14:paraId="313524F4"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5ED77FD4" w14:textId="77777777" w:rsidR="00EE3DBD" w:rsidRPr="00307028" w:rsidRDefault="00EE3DBD" w:rsidP="00EE3DBD">
            <w:pPr>
              <w:jc w:val="center"/>
              <w:rPr>
                <w:rFonts w:eastAsia="Calibri"/>
                <w:szCs w:val="22"/>
                <w:lang w:eastAsia="en-US"/>
              </w:rPr>
            </w:pPr>
            <w:r w:rsidRPr="00307028">
              <w:rPr>
                <w:rFonts w:eastAsia="Calibri"/>
                <w:szCs w:val="22"/>
                <w:lang w:eastAsia="en-US"/>
              </w:rPr>
              <w:t>29 460</w:t>
            </w:r>
          </w:p>
        </w:tc>
        <w:tc>
          <w:tcPr>
            <w:tcW w:w="696" w:type="dxa"/>
            <w:shd w:val="clear" w:color="auto" w:fill="B2D9EC"/>
            <w:vAlign w:val="center"/>
          </w:tcPr>
          <w:p w14:paraId="0C4FC408"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6B201C7A" w14:textId="77777777" w:rsidR="00EE3DBD" w:rsidRPr="00307028" w:rsidRDefault="00EE3DBD" w:rsidP="00EE3DBD">
            <w:pPr>
              <w:jc w:val="center"/>
              <w:rPr>
                <w:rFonts w:eastAsia="Calibri"/>
                <w:szCs w:val="22"/>
                <w:lang w:eastAsia="en-US"/>
              </w:rPr>
            </w:pPr>
            <w:r w:rsidRPr="00307028">
              <w:rPr>
                <w:rFonts w:eastAsia="Calibri"/>
                <w:szCs w:val="22"/>
                <w:lang w:eastAsia="en-US"/>
              </w:rPr>
              <w:t>25 514</w:t>
            </w:r>
          </w:p>
        </w:tc>
        <w:tc>
          <w:tcPr>
            <w:tcW w:w="696" w:type="dxa"/>
            <w:shd w:val="clear" w:color="auto" w:fill="B2D9EC"/>
            <w:vAlign w:val="center"/>
          </w:tcPr>
          <w:p w14:paraId="49F16FA7"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4E5532E8" w14:textId="77777777" w:rsidR="00EE3DBD" w:rsidRPr="00307028" w:rsidRDefault="00EE3DBD" w:rsidP="00EE3DBD">
            <w:pPr>
              <w:jc w:val="center"/>
              <w:rPr>
                <w:rFonts w:eastAsia="Calibri"/>
                <w:szCs w:val="22"/>
                <w:lang w:eastAsia="en-US"/>
              </w:rPr>
            </w:pPr>
            <w:r w:rsidRPr="00307028">
              <w:rPr>
                <w:rFonts w:eastAsia="Calibri"/>
                <w:szCs w:val="22"/>
                <w:lang w:eastAsia="en-US"/>
              </w:rPr>
              <w:t>21 963</w:t>
            </w:r>
          </w:p>
        </w:tc>
      </w:tr>
    </w:tbl>
    <w:p w14:paraId="2DDAE326" w14:textId="77777777" w:rsidR="007C204C" w:rsidRPr="00307028" w:rsidRDefault="007C204C" w:rsidP="00957D12">
      <w:pPr>
        <w:spacing w:after="120" w:line="259" w:lineRule="auto"/>
        <w:rPr>
          <w:rFonts w:eastAsia="Calibri"/>
          <w:b/>
          <w:bCs/>
          <w:szCs w:val="22"/>
          <w:lang w:eastAsia="en-US"/>
        </w:rPr>
      </w:pPr>
    </w:p>
    <w:p w14:paraId="5FD84B84" w14:textId="52F576C9" w:rsidR="00EE3DBD" w:rsidRPr="00307028" w:rsidRDefault="00EE3DBD" w:rsidP="00EE3DBD">
      <w:pPr>
        <w:spacing w:after="120" w:line="259" w:lineRule="auto"/>
        <w:jc w:val="center"/>
        <w:rPr>
          <w:rFonts w:eastAsia="Calibri"/>
          <w:b/>
          <w:bCs/>
          <w:szCs w:val="22"/>
          <w:lang w:eastAsia="en-US"/>
        </w:rPr>
      </w:pPr>
      <w:r w:rsidRPr="00307028">
        <w:rPr>
          <w:rFonts w:eastAsia="Calibri"/>
          <w:b/>
          <w:bCs/>
          <w:szCs w:val="22"/>
          <w:lang w:eastAsia="en-US"/>
        </w:rPr>
        <w:t>Vides aizsardzības un reģionālās attīstības ministrija</w:t>
      </w:r>
    </w:p>
    <w:p w14:paraId="07D5EEE2" w14:textId="03CFD255" w:rsidR="00EE3DBD" w:rsidRPr="00307028" w:rsidRDefault="00EE3DBD" w:rsidP="00EE3DBD">
      <w:pPr>
        <w:spacing w:after="120" w:line="259" w:lineRule="auto"/>
        <w:jc w:val="both"/>
        <w:rPr>
          <w:rFonts w:eastAsia="Times New Roman"/>
          <w:b/>
          <w:bCs/>
          <w:color w:val="2A2A2A"/>
          <w:kern w:val="2"/>
          <w:lang w:eastAsia="lv-LV"/>
          <w14:ligatures w14:val="standardContextual"/>
        </w:rPr>
      </w:pPr>
      <w:r w:rsidRPr="00307028">
        <w:rPr>
          <w:rFonts w:eastAsia="Times New Roman"/>
          <w:b/>
          <w:bCs/>
          <w:color w:val="2A2A2A"/>
          <w:kern w:val="2"/>
          <w:lang w:eastAsia="lv-LV"/>
          <w14:ligatures w14:val="standardContextual"/>
        </w:rPr>
        <w:t xml:space="preserve">VARAM – Latvijas Atvērto </w:t>
      </w:r>
      <w:r w:rsidR="00A91DF3" w:rsidRPr="00307028">
        <w:rPr>
          <w:rFonts w:eastAsia="Times New Roman"/>
          <w:b/>
          <w:bCs/>
          <w:color w:val="2A2A2A"/>
          <w:kern w:val="2"/>
          <w:lang w:eastAsia="lv-LV"/>
          <w14:ligatures w14:val="standardContextual"/>
        </w:rPr>
        <w:t>d</w:t>
      </w:r>
      <w:r w:rsidRPr="00307028">
        <w:rPr>
          <w:rFonts w:eastAsia="Times New Roman"/>
          <w:b/>
          <w:bCs/>
          <w:color w:val="2A2A2A"/>
          <w:kern w:val="2"/>
          <w:lang w:eastAsia="lv-LV"/>
          <w14:ligatures w14:val="standardContextual"/>
        </w:rPr>
        <w:t>atu portāla funkcionalitātes un lietošanas uzlabošanai</w:t>
      </w:r>
    </w:p>
    <w:p w14:paraId="353A051B" w14:textId="5575B7FC" w:rsidR="00EE3DBD" w:rsidRPr="00307028" w:rsidRDefault="00EE3DBD" w:rsidP="00DB4AD2">
      <w:pPr>
        <w:spacing w:after="120" w:line="259" w:lineRule="auto"/>
        <w:ind w:firstLine="720"/>
        <w:jc w:val="both"/>
        <w:rPr>
          <w:rFonts w:eastAsiaTheme="minorHAnsi"/>
          <w:kern w:val="2"/>
          <w:lang w:eastAsia="en-US"/>
          <w14:ligatures w14:val="standardContextual"/>
        </w:rPr>
      </w:pPr>
      <w:r w:rsidRPr="00307028">
        <w:rPr>
          <w:rFonts w:eastAsia="Times New Roman"/>
          <w:kern w:val="2"/>
          <w:lang w:eastAsia="en-US"/>
          <w14:ligatures w14:val="standardContextual"/>
        </w:rPr>
        <w:t xml:space="preserve">VARAM informē, ka budžeta programmā 30.00.00 “Attīstības nacionālie atbalsta instrumenti” ir paredzēts finansējums 15 008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kas saskaņā ar MK 2014. gada 21. oktobra sēdes protokola Nr.</w:t>
      </w:r>
      <w:r w:rsidR="003B7F2B"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57</w:t>
      </w:r>
      <w:r w:rsidR="00F240E3"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40.</w:t>
      </w:r>
      <w:r w:rsidR="003B7F2B"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 4.2.</w:t>
      </w:r>
      <w:r w:rsidR="00C66CAC"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punktu tika piešķirts VARAM pārskaitīšanai Rīgas domei, Daugavpils pilsētas domei un Kandavas novada domei,</w:t>
      </w:r>
      <w:r w:rsidRPr="00307028">
        <w:rPr>
          <w:rFonts w:eastAsia="Times New Roman"/>
          <w:color w:val="414142"/>
          <w:kern w:val="2"/>
          <w:shd w:val="clear" w:color="auto" w:fill="FFFFFF"/>
          <w:lang w:eastAsia="en-US"/>
          <w14:ligatures w14:val="standardContextual"/>
        </w:rPr>
        <w:t xml:space="preserve"> </w:t>
      </w:r>
      <w:r w:rsidRPr="00307028">
        <w:rPr>
          <w:rFonts w:eastAsia="Times New Roman"/>
          <w:kern w:val="2"/>
          <w:lang w:eastAsia="en-US"/>
          <w14:ligatures w14:val="standardContextual"/>
        </w:rPr>
        <w:t xml:space="preserve">lai nodrošinātu pielāgoto IS datu nodošanai aizsargātā lietotāja tirdzniecības pakalpojuma sniedzējam uzturēšanu, tomēr šis finansējums līdzšinēji nav izmantots attiecīgajam mērķim, jo nav veikti grozījumi normatīvajos aktos, lai noteiktu izmaiņas deleģētajā mērķi un saņēmējos. </w:t>
      </w:r>
      <w:r w:rsidRPr="00307028">
        <w:rPr>
          <w:rFonts w:eastAsiaTheme="minorHAnsi"/>
          <w:kern w:val="2"/>
          <w:lang w:eastAsia="en-US"/>
          <w14:ligatures w14:val="standardContextual"/>
        </w:rPr>
        <w:t>Attiecīgi VARAM lūdz atbalstīt finansējuma pārdales 2024. gadā un turpmāk ik gadu samazināt budžeta programmā 30.00.00 “Attīstības nacionālie atbalsta instrumenti” vispārējā kārtībā sadalāmo dotāciju no vispārējiem ieņēmumiem un izdevumus pārējiem valsts budžeta uzturēšanas izdevumu transfertiem pašvaldībām 15 008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un palielināt budžeta programmā 32.00.00 “Valsts reģionālās attīstības politikas īstenošana” vispārējā kārtībā sadalāmo dotāciju no vispārējiem ieņēmumiem un izdevumus pamatkapitāla veidošanai 15 008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lai nodrošinātu Latvijas Atvērto </w:t>
      </w:r>
      <w:r w:rsidR="00A91DF3" w:rsidRPr="00307028">
        <w:rPr>
          <w:rFonts w:eastAsiaTheme="minorHAnsi"/>
          <w:kern w:val="2"/>
          <w:lang w:eastAsia="en-US"/>
          <w14:ligatures w14:val="standardContextual"/>
        </w:rPr>
        <w:t>d</w:t>
      </w:r>
      <w:r w:rsidRPr="00307028">
        <w:rPr>
          <w:rFonts w:eastAsiaTheme="minorHAnsi"/>
          <w:kern w:val="2"/>
          <w:lang w:eastAsia="en-US"/>
          <w14:ligatures w14:val="standardContextual"/>
        </w:rPr>
        <w:t xml:space="preserve">atu portāla funkcionalitātes un lietošanas uzlabošanu.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4D9101DD" w14:textId="77777777" w:rsidTr="00957D12">
        <w:trPr>
          <w:jc w:val="center"/>
        </w:trPr>
        <w:tc>
          <w:tcPr>
            <w:tcW w:w="709" w:type="dxa"/>
            <w:shd w:val="clear" w:color="auto" w:fill="B2D9EC"/>
            <w:vAlign w:val="center"/>
          </w:tcPr>
          <w:p w14:paraId="0DE2AEB5"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4C551DAF" w14:textId="77777777" w:rsidR="00EE3DBD" w:rsidRPr="00307028" w:rsidRDefault="00EE3DBD" w:rsidP="00EE3DBD">
            <w:pPr>
              <w:jc w:val="center"/>
              <w:rPr>
                <w:rFonts w:eastAsia="Calibri"/>
                <w:szCs w:val="22"/>
                <w:lang w:eastAsia="en-US"/>
              </w:rPr>
            </w:pPr>
            <w:r w:rsidRPr="00307028">
              <w:rPr>
                <w:rFonts w:eastAsia="Calibri"/>
                <w:szCs w:val="22"/>
                <w:lang w:eastAsia="en-US"/>
              </w:rPr>
              <w:t>15 008 </w:t>
            </w:r>
          </w:p>
        </w:tc>
        <w:tc>
          <w:tcPr>
            <w:tcW w:w="696" w:type="dxa"/>
            <w:shd w:val="clear" w:color="auto" w:fill="B2D9EC"/>
            <w:vAlign w:val="center"/>
          </w:tcPr>
          <w:p w14:paraId="7860AACC"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2F85475A" w14:textId="77777777" w:rsidR="00EE3DBD" w:rsidRPr="00307028" w:rsidRDefault="00EE3DBD" w:rsidP="00EE3DBD">
            <w:pPr>
              <w:jc w:val="center"/>
              <w:rPr>
                <w:rFonts w:eastAsia="Calibri"/>
                <w:szCs w:val="22"/>
                <w:lang w:eastAsia="en-US"/>
              </w:rPr>
            </w:pPr>
            <w:r w:rsidRPr="00307028">
              <w:rPr>
                <w:rFonts w:eastAsia="Calibri"/>
                <w:szCs w:val="22"/>
                <w:lang w:eastAsia="en-US"/>
              </w:rPr>
              <w:t>15 008</w:t>
            </w:r>
          </w:p>
        </w:tc>
        <w:tc>
          <w:tcPr>
            <w:tcW w:w="696" w:type="dxa"/>
            <w:shd w:val="clear" w:color="auto" w:fill="B2D9EC"/>
            <w:vAlign w:val="center"/>
          </w:tcPr>
          <w:p w14:paraId="270F0942"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06E30059" w14:textId="77777777" w:rsidR="00EE3DBD" w:rsidRPr="00307028" w:rsidRDefault="00EE3DBD" w:rsidP="00EE3DBD">
            <w:pPr>
              <w:jc w:val="center"/>
              <w:rPr>
                <w:rFonts w:eastAsia="Calibri"/>
                <w:szCs w:val="22"/>
                <w:lang w:eastAsia="en-US"/>
              </w:rPr>
            </w:pPr>
            <w:r w:rsidRPr="00307028">
              <w:rPr>
                <w:rFonts w:eastAsia="Calibri"/>
                <w:szCs w:val="22"/>
                <w:lang w:eastAsia="en-US"/>
              </w:rPr>
              <w:t>15 008 </w:t>
            </w:r>
          </w:p>
        </w:tc>
      </w:tr>
    </w:tbl>
    <w:p w14:paraId="4F016994" w14:textId="77777777" w:rsidR="00EE3DBD" w:rsidRPr="00307028" w:rsidRDefault="00EE3DBD" w:rsidP="00EE3DBD">
      <w:pPr>
        <w:spacing w:after="120" w:line="259" w:lineRule="auto"/>
        <w:jc w:val="both"/>
        <w:rPr>
          <w:rFonts w:eastAsiaTheme="minorHAnsi"/>
          <w:b/>
          <w:bCs/>
          <w:kern w:val="2"/>
          <w:lang w:eastAsia="en-US"/>
          <w14:ligatures w14:val="standardContextual"/>
        </w:rPr>
      </w:pPr>
    </w:p>
    <w:p w14:paraId="043C3AFF" w14:textId="77777777" w:rsidR="00EE3DBD" w:rsidRPr="00307028" w:rsidRDefault="00EE3DBD" w:rsidP="00EE3DBD">
      <w:pPr>
        <w:spacing w:after="120" w:line="259" w:lineRule="auto"/>
        <w:jc w:val="center"/>
        <w:rPr>
          <w:rFonts w:eastAsia="Calibri"/>
          <w:b/>
          <w:bCs/>
          <w:kern w:val="2"/>
          <w:szCs w:val="22"/>
          <w:lang w:eastAsia="en-US"/>
          <w14:ligatures w14:val="standardContextual"/>
        </w:rPr>
      </w:pPr>
      <w:bookmarkStart w:id="80" w:name="_Toc48200646"/>
      <w:bookmarkStart w:id="81" w:name="_Hlk106288082"/>
      <w:r w:rsidRPr="00307028">
        <w:rPr>
          <w:rFonts w:eastAsia="Calibri"/>
          <w:b/>
          <w:bCs/>
          <w:kern w:val="2"/>
          <w:szCs w:val="22"/>
          <w:lang w:eastAsia="en-US"/>
          <w14:ligatures w14:val="standardContextual"/>
        </w:rPr>
        <w:t>Zemkopības ministrija</w:t>
      </w:r>
    </w:p>
    <w:p w14:paraId="15AFEF27" w14:textId="77777777" w:rsidR="00EE3DBD" w:rsidRPr="00307028" w:rsidRDefault="00EE3DBD" w:rsidP="00EE3DBD">
      <w:pPr>
        <w:spacing w:after="120" w:line="259" w:lineRule="auto"/>
        <w:jc w:val="both"/>
        <w:rPr>
          <w:rFonts w:eastAsia="Calibri"/>
          <w:b/>
          <w:bCs/>
          <w:kern w:val="2"/>
          <w:szCs w:val="22"/>
          <w:lang w:eastAsia="en-US"/>
          <w14:ligatures w14:val="standardContextual"/>
        </w:rPr>
      </w:pPr>
      <w:bookmarkStart w:id="82" w:name="_Hlk109904257"/>
      <w:r w:rsidRPr="00307028">
        <w:rPr>
          <w:rFonts w:eastAsia="Calibri"/>
          <w:b/>
          <w:bCs/>
          <w:kern w:val="2"/>
          <w:szCs w:val="22"/>
          <w:lang w:eastAsia="en-US"/>
          <w14:ligatures w14:val="standardContextual"/>
        </w:rPr>
        <w:t>ZM – AS “Latvijas valsts meži” dividendēs izmaksājamā peļņas daļa</w:t>
      </w:r>
    </w:p>
    <w:p w14:paraId="19766C95" w14:textId="65700BD7" w:rsidR="00EE3DBD" w:rsidRPr="00307028" w:rsidRDefault="00DB4AD2" w:rsidP="00EE3DBD">
      <w:pPr>
        <w:tabs>
          <w:tab w:val="left" w:pos="0"/>
        </w:tabs>
        <w:spacing w:after="120" w:line="259" w:lineRule="auto"/>
        <w:jc w:val="both"/>
        <w:rPr>
          <w:rFonts w:eastAsia="Times New Roman"/>
          <w:strike/>
          <w:kern w:val="2"/>
          <w:szCs w:val="22"/>
          <w:lang w:eastAsia="en-US"/>
          <w14:ligatures w14:val="standardContextual"/>
        </w:rPr>
      </w:pPr>
      <w:r w:rsidRPr="00307028">
        <w:rPr>
          <w:rFonts w:eastAsia="Times New Roman"/>
          <w:kern w:val="2"/>
          <w:szCs w:val="22"/>
          <w:lang w:eastAsia="en-US"/>
          <w14:ligatures w14:val="standardContextual"/>
        </w:rPr>
        <w:tab/>
      </w:r>
      <w:r w:rsidR="00EE3DBD" w:rsidRPr="00307028">
        <w:rPr>
          <w:rFonts w:eastAsia="Times New Roman"/>
          <w:kern w:val="2"/>
          <w:szCs w:val="22"/>
          <w:lang w:eastAsia="en-US"/>
          <w14:ligatures w14:val="standardContextual"/>
        </w:rPr>
        <w:t xml:space="preserve">ZM izsaka priekšlikumu palielināt AS “Latvijas valsts meži” dividenžu maksājumu 2024. gadā (par 2023. gada peļņas daļu) par 46 918 370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(maksājums par valsts kapitāla izmantošanu). Minētās ieņēmumu prognozes palielinājums iespējams, jo AS “Latvijas Valsts meži” prognozē, ka 2023. gada uzņēmuma peļņa var pārsniegt vidēja termiņa darbības stratēģijā un budžetā plānoto līmeni, pamatojoties uz faktiskajiem 2023. gada piecu mēnešu darbības rezultātiem un ņemot vērā koksnes pārdošanas līgumu cenas 2023. gada otrajam pusgadam.</w:t>
      </w:r>
    </w:p>
    <w:p w14:paraId="6F30598E" w14:textId="03C349E6" w:rsidR="00EE3DBD" w:rsidRPr="00307028" w:rsidRDefault="00DB4AD2" w:rsidP="00EE3DBD">
      <w:pPr>
        <w:tabs>
          <w:tab w:val="left" w:pos="0"/>
        </w:tabs>
        <w:spacing w:after="120" w:line="259" w:lineRule="auto"/>
        <w:jc w:val="both"/>
        <w:rPr>
          <w:rFonts w:eastAsia="Times New Roman"/>
          <w:color w:val="000000"/>
          <w:kern w:val="2"/>
          <w:szCs w:val="22"/>
          <w:lang w:eastAsia="en-US"/>
          <w14:ligatures w14:val="standardContextual"/>
        </w:rPr>
      </w:pPr>
      <w:r w:rsidRPr="00307028">
        <w:rPr>
          <w:rFonts w:eastAsia="Times New Roman"/>
          <w:kern w:val="2"/>
          <w:szCs w:val="22"/>
          <w:lang w:eastAsia="en-US"/>
          <w14:ligatures w14:val="standardContextual"/>
        </w:rPr>
        <w:lastRenderedPageBreak/>
        <w:tab/>
      </w:r>
      <w:r w:rsidR="00EE3DBD" w:rsidRPr="00307028">
        <w:rPr>
          <w:rFonts w:eastAsia="Times New Roman"/>
          <w:kern w:val="2"/>
          <w:szCs w:val="22"/>
          <w:lang w:eastAsia="en-US"/>
          <w14:ligatures w14:val="standardContextual"/>
        </w:rPr>
        <w:t xml:space="preserve">Ņemot vērā piedāvātos papildu resursus, ZM attiecīgi izsaka priekšlikumu paredzēt finansējumu 46 918 370 </w:t>
      </w:r>
      <w:r w:rsidR="00EE3DBD" w:rsidRPr="00307028">
        <w:rPr>
          <w:rFonts w:eastAsia="Times New Roman"/>
          <w:i/>
          <w:iCs/>
          <w:kern w:val="2"/>
          <w:szCs w:val="22"/>
          <w:lang w:eastAsia="en-US"/>
          <w14:ligatures w14:val="standardContextual"/>
        </w:rPr>
        <w:t>euro</w:t>
      </w:r>
      <w:r w:rsidR="00EE3DBD" w:rsidRPr="00307028">
        <w:rPr>
          <w:rFonts w:eastAsia="Times New Roman"/>
          <w:kern w:val="2"/>
          <w:szCs w:val="22"/>
          <w:lang w:eastAsia="en-US"/>
          <w14:ligatures w14:val="standardContextual"/>
        </w:rPr>
        <w:t xml:space="preserve"> apmērā budžeta apakšprogrammā 21.01.00 “Valsts atbalsts lauksaimniecības un lauku attīstībai” 2024. gadā, lai nodrošinātu EK Kopējās lauksaimniecības politikas stratēģiskā plāna regulas priekšlikumu par dalībvalstu iespēju nodrošināt papildu finansējumu vienlīdzīgāku konkurences apstākļu nodrošināšanai ar citām ES dalībvalstīm,</w:t>
      </w:r>
      <w:r w:rsidR="00EE3DBD" w:rsidRPr="00307028">
        <w:rPr>
          <w:rFonts w:eastAsia="Calibri" w:cstheme="minorBidi"/>
          <w:kern w:val="2"/>
          <w:szCs w:val="22"/>
          <w:lang w:eastAsia="en-US"/>
          <w14:ligatures w14:val="standardContextual"/>
        </w:rPr>
        <w:t xml:space="preserve"> kā arī, lai nodrošinātu klimatam un videi labvēlīgu lauksaimniecības prakses īstenošanu, veicinātu tehnoloģiju izmantošanu, kā arī samazinātu minerālmēslu un ķīmisko augu aizsardzības līdzekļu lietošanu</w:t>
      </w:r>
      <w:r w:rsidR="00EE3DBD" w:rsidRPr="00307028">
        <w:rPr>
          <w:rFonts w:eastAsia="Times New Roman"/>
          <w:kern w:val="2"/>
          <w:szCs w:val="22"/>
          <w:lang w:eastAsia="en-US"/>
          <w14:ligatures w14:val="standardContextual"/>
        </w:rPr>
        <w:t>.</w:t>
      </w:r>
    </w:p>
    <w:p w14:paraId="2CE89D17" w14:textId="77777777" w:rsidR="00EE3DBD" w:rsidRPr="00307028" w:rsidRDefault="00EE3DBD" w:rsidP="00EE3DBD">
      <w:pPr>
        <w:tabs>
          <w:tab w:val="left" w:pos="426"/>
        </w:tabs>
        <w:spacing w:after="120" w:line="259" w:lineRule="auto"/>
        <w:jc w:val="center"/>
        <w:rPr>
          <w:rFonts w:eastAsia="Times New Roman"/>
          <w:b/>
          <w:bCs/>
          <w:i/>
          <w:iCs/>
          <w:kern w:val="2"/>
          <w:sz w:val="22"/>
          <w:szCs w:val="22"/>
          <w:lang w:eastAsia="en-US"/>
          <w14:ligatures w14:val="standardContextual"/>
        </w:rPr>
      </w:pPr>
      <w:r w:rsidRPr="00307028">
        <w:rPr>
          <w:rFonts w:eastAsia="Times New Roman"/>
          <w:b/>
          <w:bCs/>
          <w:i/>
          <w:iCs/>
          <w:kern w:val="2"/>
          <w:sz w:val="22"/>
          <w:szCs w:val="22"/>
          <w:lang w:eastAsia="en-US"/>
          <w14:ligatures w14:val="standardContextual"/>
        </w:rPr>
        <w:t xml:space="preserve">2.1.6. tabula </w:t>
      </w:r>
      <w:r w:rsidRPr="00307028">
        <w:rPr>
          <w:rFonts w:eastAsia="Times New Roman"/>
          <w:b/>
          <w:bCs/>
          <w:kern w:val="2"/>
          <w:sz w:val="22"/>
          <w:szCs w:val="22"/>
          <w:lang w:eastAsia="en-US"/>
          <w14:ligatures w14:val="standardContextual"/>
        </w:rPr>
        <w:t xml:space="preserve">Finansējuma sadalījums valsts atbalstam lauksaimniecībai pa pasākumiem 2024. gadam, </w:t>
      </w:r>
      <w:r w:rsidRPr="00307028">
        <w:rPr>
          <w:rFonts w:eastAsia="Times New Roman"/>
          <w:b/>
          <w:bCs/>
          <w:i/>
          <w:iCs/>
          <w:kern w:val="2"/>
          <w:sz w:val="22"/>
          <w:szCs w:val="22"/>
          <w:lang w:eastAsia="en-US"/>
          <w14:ligatures w14:val="standardContextual"/>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1"/>
        <w:gridCol w:w="1396"/>
      </w:tblGrid>
      <w:tr w:rsidR="00EE3DBD" w:rsidRPr="00307028" w14:paraId="1F2BC666" w14:textId="77777777" w:rsidTr="00957D12">
        <w:trPr>
          <w:trHeight w:val="131"/>
          <w:tblHeader/>
          <w:jc w:val="center"/>
        </w:trPr>
        <w:tc>
          <w:tcPr>
            <w:tcW w:w="6241" w:type="dxa"/>
            <w:shd w:val="clear" w:color="auto" w:fill="B2D9EC"/>
            <w:tcMar>
              <w:top w:w="0" w:type="dxa"/>
              <w:left w:w="108" w:type="dxa"/>
              <w:bottom w:w="0" w:type="dxa"/>
              <w:right w:w="108" w:type="dxa"/>
            </w:tcMar>
            <w:vAlign w:val="center"/>
            <w:hideMark/>
          </w:tcPr>
          <w:p w14:paraId="72DF429C" w14:textId="77777777" w:rsidR="00EE3DBD" w:rsidRPr="00307028" w:rsidRDefault="00EE3DBD" w:rsidP="00EE3DBD">
            <w:pPr>
              <w:spacing w:line="259" w:lineRule="auto"/>
              <w:jc w:val="both"/>
              <w:rPr>
                <w:rFonts w:eastAsia="Times New Roman"/>
                <w:kern w:val="2"/>
                <w:sz w:val="20"/>
                <w:szCs w:val="20"/>
                <w:lang w:eastAsia="en-US"/>
                <w14:ligatures w14:val="standardContextual"/>
              </w:rPr>
            </w:pPr>
          </w:p>
        </w:tc>
        <w:tc>
          <w:tcPr>
            <w:tcW w:w="1396" w:type="dxa"/>
            <w:shd w:val="clear" w:color="auto" w:fill="B2D9EC"/>
            <w:tcMar>
              <w:top w:w="0" w:type="dxa"/>
              <w:left w:w="108" w:type="dxa"/>
              <w:bottom w:w="0" w:type="dxa"/>
              <w:right w:w="108" w:type="dxa"/>
            </w:tcMar>
            <w:vAlign w:val="center"/>
            <w:hideMark/>
          </w:tcPr>
          <w:p w14:paraId="7A0B50E8" w14:textId="77777777" w:rsidR="00EE3DBD" w:rsidRPr="00307028" w:rsidRDefault="00EE3DBD" w:rsidP="00957D12">
            <w:pPr>
              <w:spacing w:line="259" w:lineRule="auto"/>
              <w:jc w:val="center"/>
              <w:rPr>
                <w:rFonts w:eastAsia="Times New Roman"/>
                <w:kern w:val="2"/>
                <w:sz w:val="20"/>
                <w:szCs w:val="20"/>
                <w:lang w:eastAsia="en-US"/>
                <w14:ligatures w14:val="standardContextual"/>
              </w:rPr>
            </w:pPr>
            <w:r w:rsidRPr="00307028">
              <w:rPr>
                <w:rFonts w:eastAsia="Times New Roman"/>
                <w:bCs/>
                <w:color w:val="000000"/>
                <w:kern w:val="2"/>
                <w:sz w:val="20"/>
                <w:szCs w:val="20"/>
                <w:lang w:eastAsia="en-US"/>
                <w14:ligatures w14:val="standardContextual"/>
              </w:rPr>
              <w:t>2024</w:t>
            </w:r>
          </w:p>
        </w:tc>
      </w:tr>
      <w:tr w:rsidR="00EE3DBD" w:rsidRPr="00307028" w14:paraId="2478C5F2" w14:textId="77777777" w:rsidTr="002A577C">
        <w:trPr>
          <w:jc w:val="center"/>
        </w:trPr>
        <w:tc>
          <w:tcPr>
            <w:tcW w:w="6241" w:type="dxa"/>
            <w:tcMar>
              <w:top w:w="0" w:type="dxa"/>
              <w:left w:w="108" w:type="dxa"/>
              <w:bottom w:w="0" w:type="dxa"/>
              <w:right w:w="108" w:type="dxa"/>
            </w:tcMar>
            <w:vAlign w:val="center"/>
            <w:hideMark/>
          </w:tcPr>
          <w:p w14:paraId="6D67031B" w14:textId="77777777" w:rsidR="00EE3DBD" w:rsidRPr="00307028" w:rsidRDefault="00EE3DBD" w:rsidP="00EE3DBD">
            <w:pPr>
              <w:spacing w:line="259" w:lineRule="auto"/>
              <w:jc w:val="both"/>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Valsts atbalstam vaislas lauksaimniecības dzīvnieku ierakstīšanai ciltsgrāmatā, kā arī to ģenētiskās kvalitātes noteikšanai un produktivitātes datu izvērtēšanai, un lauksaimniecības dzīvnieku vietējo apdraudēto šķirņu saglabāšanai</w:t>
            </w:r>
          </w:p>
        </w:tc>
        <w:tc>
          <w:tcPr>
            <w:tcW w:w="1396" w:type="dxa"/>
            <w:tcMar>
              <w:top w:w="0" w:type="dxa"/>
              <w:left w:w="108" w:type="dxa"/>
              <w:bottom w:w="0" w:type="dxa"/>
              <w:right w:w="108" w:type="dxa"/>
            </w:tcMar>
            <w:vAlign w:val="center"/>
            <w:hideMark/>
          </w:tcPr>
          <w:p w14:paraId="23EF0AA9" w14:textId="77777777" w:rsidR="00EE3DBD" w:rsidRPr="00307028" w:rsidRDefault="00EE3DBD" w:rsidP="00957D12">
            <w:pPr>
              <w:spacing w:line="259" w:lineRule="auto"/>
              <w:jc w:val="center"/>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20 418 370</w:t>
            </w:r>
          </w:p>
        </w:tc>
      </w:tr>
      <w:tr w:rsidR="00EE3DBD" w:rsidRPr="00307028" w14:paraId="73ED4EA0" w14:textId="77777777" w:rsidTr="002A577C">
        <w:trPr>
          <w:jc w:val="center"/>
        </w:trPr>
        <w:tc>
          <w:tcPr>
            <w:tcW w:w="6241" w:type="dxa"/>
            <w:tcMar>
              <w:top w:w="0" w:type="dxa"/>
              <w:left w:w="108" w:type="dxa"/>
              <w:bottom w:w="0" w:type="dxa"/>
              <w:right w:w="108" w:type="dxa"/>
            </w:tcMar>
            <w:vAlign w:val="center"/>
            <w:hideMark/>
          </w:tcPr>
          <w:p w14:paraId="484E9281" w14:textId="77777777" w:rsidR="00EE3DBD" w:rsidRPr="00307028" w:rsidRDefault="00EE3DBD" w:rsidP="00EE3DBD">
            <w:pPr>
              <w:spacing w:line="259" w:lineRule="auto"/>
              <w:jc w:val="both"/>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Lauksaimniecībā izmantojamiem zinātnes pētījumiem un lauksaimniecības zinātnisko institūciju materiāli tehniskās bāzes pilnveidošanai</w:t>
            </w:r>
          </w:p>
        </w:tc>
        <w:tc>
          <w:tcPr>
            <w:tcW w:w="1396" w:type="dxa"/>
            <w:tcMar>
              <w:top w:w="0" w:type="dxa"/>
              <w:left w:w="108" w:type="dxa"/>
              <w:bottom w:w="0" w:type="dxa"/>
              <w:right w:w="108" w:type="dxa"/>
            </w:tcMar>
            <w:vAlign w:val="center"/>
            <w:hideMark/>
          </w:tcPr>
          <w:p w14:paraId="0957448B" w14:textId="77777777" w:rsidR="00EE3DBD" w:rsidRPr="00307028" w:rsidRDefault="00EE3DBD" w:rsidP="00957D12">
            <w:pPr>
              <w:spacing w:line="259" w:lineRule="auto"/>
              <w:jc w:val="center"/>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8 000 000</w:t>
            </w:r>
          </w:p>
        </w:tc>
      </w:tr>
      <w:tr w:rsidR="00EE3DBD" w:rsidRPr="00307028" w14:paraId="4021D1E6" w14:textId="77777777" w:rsidTr="002A577C">
        <w:trPr>
          <w:jc w:val="center"/>
        </w:trPr>
        <w:tc>
          <w:tcPr>
            <w:tcW w:w="6241" w:type="dxa"/>
            <w:tcMar>
              <w:top w:w="0" w:type="dxa"/>
              <w:left w:w="108" w:type="dxa"/>
              <w:bottom w:w="0" w:type="dxa"/>
              <w:right w:w="108" w:type="dxa"/>
            </w:tcMar>
            <w:vAlign w:val="center"/>
          </w:tcPr>
          <w:p w14:paraId="71EE50ED" w14:textId="77777777" w:rsidR="00EE3DBD" w:rsidRPr="00307028" w:rsidRDefault="00EE3DBD" w:rsidP="00EE3DBD">
            <w:pPr>
              <w:spacing w:line="259" w:lineRule="auto"/>
              <w:jc w:val="both"/>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Selekcijas materiāla izstrādei, lai veicinātu konvenciālo, integrēto un bioloģisko lauksaimniecības kultūraugu audzēšanas tehnoloģiju</w:t>
            </w:r>
          </w:p>
        </w:tc>
        <w:tc>
          <w:tcPr>
            <w:tcW w:w="1396" w:type="dxa"/>
            <w:tcMar>
              <w:top w:w="0" w:type="dxa"/>
              <w:left w:w="108" w:type="dxa"/>
              <w:bottom w:w="0" w:type="dxa"/>
              <w:right w:w="108" w:type="dxa"/>
            </w:tcMar>
            <w:vAlign w:val="center"/>
          </w:tcPr>
          <w:p w14:paraId="5EA3773A" w14:textId="77777777" w:rsidR="00EE3DBD" w:rsidRPr="00307028" w:rsidRDefault="00EE3DBD" w:rsidP="00957D12">
            <w:pPr>
              <w:spacing w:line="259" w:lineRule="auto"/>
              <w:jc w:val="center"/>
              <w:rPr>
                <w:rFonts w:eastAsia="Times New Roman"/>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2 500 000</w:t>
            </w:r>
          </w:p>
        </w:tc>
      </w:tr>
      <w:tr w:rsidR="00EE3DBD" w:rsidRPr="00307028" w14:paraId="40B11BD5" w14:textId="77777777" w:rsidTr="002A577C">
        <w:trPr>
          <w:jc w:val="center"/>
        </w:trPr>
        <w:tc>
          <w:tcPr>
            <w:tcW w:w="6241" w:type="dxa"/>
            <w:tcMar>
              <w:top w:w="0" w:type="dxa"/>
              <w:left w:w="108" w:type="dxa"/>
              <w:bottom w:w="0" w:type="dxa"/>
              <w:right w:w="108" w:type="dxa"/>
            </w:tcMar>
            <w:vAlign w:val="center"/>
          </w:tcPr>
          <w:p w14:paraId="6C7E389F" w14:textId="5D004117" w:rsidR="00EE3DBD" w:rsidRPr="00307028" w:rsidRDefault="00EE3DBD" w:rsidP="00EE3DBD">
            <w:pPr>
              <w:spacing w:line="259" w:lineRule="auto"/>
              <w:jc w:val="both"/>
              <w:rPr>
                <w:rFonts w:eastAsia="Times New Roman"/>
                <w:iCs/>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 xml:space="preserve">Kredītprocentu daļējai dzēšanai investīciju kredītiem, lauksaimniecībā izmantojamās zemes iegādes kredītiem, lauksaimniecības dzīvnieku iegādes kredītiem un īstermiņa kredītiem </w:t>
            </w:r>
            <w:r w:rsidRPr="00307028">
              <w:rPr>
                <w:rFonts w:eastAsia="Times New Roman"/>
                <w:iCs/>
                <w:color w:val="000000"/>
                <w:kern w:val="2"/>
                <w:sz w:val="20"/>
                <w:szCs w:val="20"/>
                <w:lang w:eastAsia="en-US"/>
                <w14:ligatures w14:val="standardContextual"/>
              </w:rPr>
              <w:tab/>
            </w:r>
          </w:p>
        </w:tc>
        <w:tc>
          <w:tcPr>
            <w:tcW w:w="1396" w:type="dxa"/>
            <w:tcMar>
              <w:top w:w="0" w:type="dxa"/>
              <w:left w:w="108" w:type="dxa"/>
              <w:bottom w:w="0" w:type="dxa"/>
              <w:right w:w="108" w:type="dxa"/>
            </w:tcMar>
            <w:vAlign w:val="center"/>
          </w:tcPr>
          <w:p w14:paraId="414F2452" w14:textId="77777777" w:rsidR="00EE3DBD" w:rsidRPr="00307028" w:rsidRDefault="00EE3DBD" w:rsidP="00957D12">
            <w:pPr>
              <w:spacing w:line="259" w:lineRule="auto"/>
              <w:jc w:val="center"/>
              <w:rPr>
                <w:rFonts w:eastAsia="Times New Roman"/>
                <w:iCs/>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10 000 000</w:t>
            </w:r>
          </w:p>
          <w:p w14:paraId="143141AC" w14:textId="77777777" w:rsidR="00EE3DBD" w:rsidRPr="00307028" w:rsidRDefault="00EE3DBD" w:rsidP="00957D12">
            <w:pPr>
              <w:spacing w:line="259" w:lineRule="auto"/>
              <w:jc w:val="center"/>
              <w:rPr>
                <w:rFonts w:eastAsia="Times New Roman"/>
                <w:iCs/>
                <w:color w:val="000000"/>
                <w:kern w:val="2"/>
                <w:sz w:val="20"/>
                <w:szCs w:val="20"/>
                <w:lang w:eastAsia="en-US"/>
                <w14:ligatures w14:val="standardContextual"/>
              </w:rPr>
            </w:pPr>
          </w:p>
        </w:tc>
      </w:tr>
      <w:tr w:rsidR="00EE3DBD" w:rsidRPr="00307028" w14:paraId="3EB53B96" w14:textId="77777777" w:rsidTr="002A577C">
        <w:trPr>
          <w:jc w:val="center"/>
        </w:trPr>
        <w:tc>
          <w:tcPr>
            <w:tcW w:w="6241" w:type="dxa"/>
            <w:tcMar>
              <w:top w:w="0" w:type="dxa"/>
              <w:left w:w="108" w:type="dxa"/>
              <w:bottom w:w="0" w:type="dxa"/>
              <w:right w:w="108" w:type="dxa"/>
            </w:tcMar>
            <w:vAlign w:val="center"/>
          </w:tcPr>
          <w:p w14:paraId="658584A2" w14:textId="77777777" w:rsidR="00EE3DBD" w:rsidRPr="00307028" w:rsidRDefault="00EE3DBD" w:rsidP="00EE3DBD">
            <w:pPr>
              <w:spacing w:line="259" w:lineRule="auto"/>
              <w:jc w:val="both"/>
              <w:rPr>
                <w:rFonts w:eastAsia="Times New Roman"/>
                <w:b/>
                <w:bCs/>
                <w:color w:val="000000"/>
                <w:kern w:val="2"/>
                <w:sz w:val="20"/>
                <w:szCs w:val="20"/>
                <w:lang w:eastAsia="en-US"/>
                <w14:ligatures w14:val="standardContextual"/>
              </w:rPr>
            </w:pPr>
            <w:bookmarkStart w:id="83" w:name="_Hlk112138689"/>
            <w:r w:rsidRPr="00307028">
              <w:rPr>
                <w:rFonts w:eastAsia="Times New Roman"/>
                <w:iCs/>
                <w:color w:val="000000"/>
                <w:kern w:val="2"/>
                <w:sz w:val="20"/>
                <w:szCs w:val="20"/>
                <w:lang w:eastAsia="en-US"/>
                <w14:ligatures w14:val="standardContextual"/>
              </w:rPr>
              <w:t xml:space="preserve">Ražas, dzīvnieku, sējumu un stādījumu apdrošināšanas polises cenas daļējai </w:t>
            </w:r>
            <w:bookmarkEnd w:id="83"/>
            <w:r w:rsidRPr="00307028">
              <w:rPr>
                <w:rFonts w:eastAsia="Times New Roman"/>
                <w:iCs/>
                <w:color w:val="000000"/>
                <w:kern w:val="2"/>
                <w:sz w:val="20"/>
                <w:szCs w:val="20"/>
                <w:lang w:eastAsia="en-US"/>
                <w14:ligatures w14:val="standardContextual"/>
              </w:rPr>
              <w:t>kompensācijai</w:t>
            </w:r>
          </w:p>
        </w:tc>
        <w:tc>
          <w:tcPr>
            <w:tcW w:w="1396" w:type="dxa"/>
            <w:tcMar>
              <w:top w:w="0" w:type="dxa"/>
              <w:left w:w="108" w:type="dxa"/>
              <w:bottom w:w="0" w:type="dxa"/>
              <w:right w:w="108" w:type="dxa"/>
            </w:tcMar>
            <w:vAlign w:val="center"/>
          </w:tcPr>
          <w:p w14:paraId="4E3E14EA" w14:textId="77777777" w:rsidR="00EE3DBD" w:rsidRPr="00307028" w:rsidRDefault="00EE3DBD" w:rsidP="00957D12">
            <w:pPr>
              <w:spacing w:line="259" w:lineRule="auto"/>
              <w:jc w:val="center"/>
              <w:rPr>
                <w:rFonts w:eastAsia="Times New Roman"/>
                <w:b/>
                <w:bCs/>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5 000 000</w:t>
            </w:r>
          </w:p>
        </w:tc>
      </w:tr>
      <w:tr w:rsidR="00EE3DBD" w:rsidRPr="00307028" w14:paraId="15D8F050" w14:textId="77777777" w:rsidTr="002A577C">
        <w:trPr>
          <w:jc w:val="center"/>
        </w:trPr>
        <w:tc>
          <w:tcPr>
            <w:tcW w:w="6241" w:type="dxa"/>
            <w:tcMar>
              <w:top w:w="0" w:type="dxa"/>
              <w:left w:w="108" w:type="dxa"/>
              <w:bottom w:w="0" w:type="dxa"/>
              <w:right w:w="108" w:type="dxa"/>
            </w:tcMar>
            <w:vAlign w:val="center"/>
          </w:tcPr>
          <w:p w14:paraId="49BBB685" w14:textId="77777777" w:rsidR="00EE3DBD" w:rsidRPr="00307028" w:rsidRDefault="00EE3DBD" w:rsidP="00EE3DBD">
            <w:pPr>
              <w:spacing w:line="259" w:lineRule="auto"/>
              <w:jc w:val="both"/>
              <w:rPr>
                <w:rFonts w:eastAsia="Times New Roman"/>
                <w:iCs/>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Lauksaimniecības un pārtikas produktu noieta veicināšanai</w:t>
            </w:r>
          </w:p>
        </w:tc>
        <w:tc>
          <w:tcPr>
            <w:tcW w:w="1396" w:type="dxa"/>
            <w:tcMar>
              <w:top w:w="0" w:type="dxa"/>
              <w:left w:w="108" w:type="dxa"/>
              <w:bottom w:w="0" w:type="dxa"/>
              <w:right w:w="108" w:type="dxa"/>
            </w:tcMar>
            <w:vAlign w:val="center"/>
          </w:tcPr>
          <w:p w14:paraId="4155DBAA" w14:textId="77777777" w:rsidR="00EE3DBD" w:rsidRPr="00307028" w:rsidRDefault="00EE3DBD" w:rsidP="00957D12">
            <w:pPr>
              <w:spacing w:line="259" w:lineRule="auto"/>
              <w:jc w:val="center"/>
              <w:rPr>
                <w:rFonts w:eastAsia="Times New Roman"/>
                <w:iCs/>
                <w:color w:val="000000"/>
                <w:kern w:val="2"/>
                <w:sz w:val="20"/>
                <w:szCs w:val="20"/>
                <w:lang w:eastAsia="en-US"/>
                <w14:ligatures w14:val="standardContextual"/>
              </w:rPr>
            </w:pPr>
            <w:r w:rsidRPr="00307028">
              <w:rPr>
                <w:rFonts w:eastAsia="Times New Roman"/>
                <w:iCs/>
                <w:color w:val="000000"/>
                <w:kern w:val="2"/>
                <w:sz w:val="20"/>
                <w:szCs w:val="20"/>
                <w:lang w:eastAsia="en-US"/>
                <w14:ligatures w14:val="standardContextual"/>
              </w:rPr>
              <w:t>1 000 000</w:t>
            </w:r>
          </w:p>
        </w:tc>
      </w:tr>
    </w:tbl>
    <w:p w14:paraId="3E87E196" w14:textId="55960B22" w:rsidR="00EE3DBD" w:rsidRPr="00307028" w:rsidRDefault="00EE3DBD" w:rsidP="00070D5F">
      <w:pPr>
        <w:numPr>
          <w:ilvl w:val="0"/>
          <w:numId w:val="31"/>
        </w:numPr>
        <w:spacing w:before="120" w:after="120" w:line="259" w:lineRule="auto"/>
        <w:ind w:left="0" w:firstLine="720"/>
        <w:jc w:val="both"/>
        <w:rPr>
          <w:rFonts w:eastAsia="Times New Roman"/>
          <w:i/>
          <w:iCs/>
          <w:kern w:val="2"/>
          <w:lang w:eastAsia="en-US"/>
          <w14:ligatures w14:val="standardContextual"/>
        </w:rPr>
      </w:pPr>
      <w:r w:rsidRPr="00307028">
        <w:rPr>
          <w:rFonts w:eastAsia="Times New Roman"/>
          <w:i/>
          <w:iCs/>
          <w:kern w:val="2"/>
          <w:lang w:eastAsia="en-US"/>
          <w14:ligatures w14:val="standardContextual"/>
        </w:rPr>
        <w:t>Valsts atbalstam vaislas lauksaimniecības dzīvnieku ierakstīšanai ciltsgrāmatā, kā arī to ģenētiskās kvalitātes noteikšanai un produktivitātes datu izvērtēšanai un lauksaimniecības dzīvnieku vietējo apdraudēto šķirņu saglabāšanai</w:t>
      </w:r>
    </w:p>
    <w:p w14:paraId="7DE61DFE" w14:textId="77777777"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ZM norāda, ka pēdējos gados ir vērojamas lielas iepirkuma cenu svārstības pienam, cūkgaļai, liellopu gaļai un citām dzīvnieku izcelsmes izejvielām. Lai mazinātu lauksaimnieku finanšu plūsmas nekontrolējamas svārstības un nodrošinātu to konkurētspēju starp Baltijas valstīm, ir nepieciešams saglabāt valsts atbalstu lopkopības sektorā, lai izlīdzinātu kopējās lauksaimniecības politikas finansējuma līmeni starp Latvijā, Lietuvā un Igaunijā izmaksājamo kopējo finansējumu. Minētais finansējums nodrošinās valsts atbalsta turpināšanu lopkopības nozarei ciltsdarba maksājumu veidā. Lai nodrošinātu klimatam un videi labvēlīgu lauksaimniecības prakses īstenošanu, nodrošinātu zālāju saglabāšanu Latvijas teritorijā, kā arī veicinātu bioloģiskās lauksaimniecības attīstību, 2024. gadā ir paredzēts finansējums kā ciltsdarba maksājums arī briežkopības nozarei, kas ciltsdarba jomā ir vadošā starp ES dalībvalstīm (ciltsdarba pakalpojumu sniedz šķirnes lauksaimniecības dzīvnieku biedrības). </w:t>
      </w:r>
    </w:p>
    <w:p w14:paraId="001985B3" w14:textId="77777777" w:rsidR="00EE3DBD" w:rsidRPr="00307028" w:rsidRDefault="00EE3DBD" w:rsidP="00EE3DBD">
      <w:pPr>
        <w:spacing w:after="120" w:line="259" w:lineRule="auto"/>
        <w:jc w:val="center"/>
        <w:rPr>
          <w:rFonts w:eastAsia="Times New Roman"/>
          <w:b/>
          <w:bCs/>
          <w:i/>
          <w:iCs/>
          <w:kern w:val="2"/>
          <w:sz w:val="22"/>
          <w:szCs w:val="22"/>
          <w:lang w:eastAsia="en-US"/>
          <w14:ligatures w14:val="standardContextual"/>
        </w:rPr>
      </w:pPr>
      <w:r w:rsidRPr="00307028">
        <w:rPr>
          <w:rFonts w:eastAsia="Times New Roman"/>
          <w:b/>
          <w:bCs/>
          <w:i/>
          <w:iCs/>
          <w:kern w:val="2"/>
          <w:sz w:val="22"/>
          <w:szCs w:val="22"/>
          <w:lang w:eastAsia="en-US"/>
          <w14:ligatures w14:val="standardContextual"/>
        </w:rPr>
        <w:t xml:space="preserve">2.1.7. tabula </w:t>
      </w:r>
      <w:r w:rsidRPr="00307028">
        <w:rPr>
          <w:rFonts w:eastAsia="Times New Roman"/>
          <w:b/>
          <w:bCs/>
          <w:kern w:val="2"/>
          <w:sz w:val="22"/>
          <w:szCs w:val="22"/>
          <w:lang w:eastAsia="en-US"/>
          <w14:ligatures w14:val="standardContextual"/>
        </w:rPr>
        <w:t>Finansējums valsts atbalstam vaislas lauksaimniecības dzīvnieku ierakstīšanai ciltsgrāmatā, kā arī to ģenētiskās kvalitātes noteikšanai un produktivitātes datu izvērtēšanai, un lauksaimniecības dzīvnieku vietējo apdraudēto šķirņu saglabāšanai 2024. gadam</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2"/>
        <w:gridCol w:w="2694"/>
        <w:gridCol w:w="2268"/>
      </w:tblGrid>
      <w:tr w:rsidR="00EE3DBD" w:rsidRPr="00307028" w14:paraId="2C7B76C6" w14:textId="77777777" w:rsidTr="001E7AA9">
        <w:trPr>
          <w:trHeight w:val="357"/>
          <w:tblHeader/>
        </w:trPr>
        <w:tc>
          <w:tcPr>
            <w:tcW w:w="1985" w:type="dxa"/>
            <w:shd w:val="clear" w:color="auto" w:fill="B2D9EC"/>
            <w:noWrap/>
            <w:vAlign w:val="center"/>
            <w:hideMark/>
          </w:tcPr>
          <w:p w14:paraId="6E2AD135" w14:textId="77777777" w:rsidR="00EE3DBD" w:rsidRPr="00307028" w:rsidRDefault="00EE3DBD" w:rsidP="001E7AA9">
            <w:pPr>
              <w:spacing w:line="259" w:lineRule="auto"/>
              <w:jc w:val="center"/>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Nozare</w:t>
            </w:r>
          </w:p>
        </w:tc>
        <w:tc>
          <w:tcPr>
            <w:tcW w:w="1842" w:type="dxa"/>
            <w:shd w:val="clear" w:color="auto" w:fill="B2D9EC"/>
            <w:vAlign w:val="center"/>
            <w:hideMark/>
          </w:tcPr>
          <w:p w14:paraId="7BA8CC66" w14:textId="77777777" w:rsidR="00EE3DBD" w:rsidRPr="00307028" w:rsidRDefault="00EE3DBD" w:rsidP="001E7AA9">
            <w:pPr>
              <w:spacing w:line="259" w:lineRule="auto"/>
              <w:jc w:val="center"/>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Prognozētais vaislas dzīvnieku skaits</w:t>
            </w:r>
          </w:p>
        </w:tc>
        <w:tc>
          <w:tcPr>
            <w:tcW w:w="2694" w:type="dxa"/>
            <w:shd w:val="clear" w:color="auto" w:fill="B2D9EC"/>
            <w:vAlign w:val="center"/>
            <w:hideMark/>
          </w:tcPr>
          <w:p w14:paraId="15B64D22" w14:textId="77777777" w:rsidR="00EE3DBD" w:rsidRPr="00307028" w:rsidRDefault="00EE3DBD" w:rsidP="001E7AA9">
            <w:pPr>
              <w:spacing w:line="259" w:lineRule="auto"/>
              <w:jc w:val="center"/>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Ciltsdarba pakalpojuma groza vidējais izcenojums 70 % apmērā</w:t>
            </w:r>
          </w:p>
        </w:tc>
        <w:tc>
          <w:tcPr>
            <w:tcW w:w="2268" w:type="dxa"/>
            <w:shd w:val="clear" w:color="auto" w:fill="B2D9EC"/>
            <w:vAlign w:val="center"/>
            <w:hideMark/>
          </w:tcPr>
          <w:p w14:paraId="0DB9D05F" w14:textId="77777777" w:rsidR="00EE3DBD" w:rsidRPr="00307028" w:rsidRDefault="00EE3DBD" w:rsidP="001E7AA9">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 xml:space="preserve">Plānotais finansējums, </w:t>
            </w:r>
            <w:r w:rsidRPr="00307028">
              <w:rPr>
                <w:rFonts w:eastAsia="Times New Roman"/>
                <w:i/>
                <w:iCs/>
                <w:color w:val="000000"/>
                <w:kern w:val="2"/>
                <w:sz w:val="20"/>
                <w:szCs w:val="20"/>
                <w:lang w:eastAsia="lv-LV"/>
                <w14:ligatures w14:val="standardContextual"/>
              </w:rPr>
              <w:t>euro</w:t>
            </w:r>
            <w:r w:rsidRPr="00307028">
              <w:rPr>
                <w:rFonts w:eastAsia="Times New Roman"/>
                <w:i/>
                <w:iCs/>
                <w:color w:val="000000"/>
                <w:kern w:val="2"/>
                <w:sz w:val="20"/>
                <w:szCs w:val="20"/>
                <w:vertAlign w:val="superscript"/>
                <w:lang w:eastAsia="lv-LV"/>
                <w14:ligatures w14:val="standardContextual"/>
              </w:rPr>
              <w:footnoteReference w:id="8"/>
            </w:r>
          </w:p>
        </w:tc>
      </w:tr>
      <w:tr w:rsidR="00EE3DBD" w:rsidRPr="00307028" w14:paraId="2F8318BD" w14:textId="77777777" w:rsidTr="002A577C">
        <w:trPr>
          <w:trHeight w:val="50"/>
        </w:trPr>
        <w:tc>
          <w:tcPr>
            <w:tcW w:w="1985" w:type="dxa"/>
            <w:shd w:val="clear" w:color="auto" w:fill="auto"/>
            <w:noWrap/>
            <w:vAlign w:val="center"/>
            <w:hideMark/>
          </w:tcPr>
          <w:p w14:paraId="17884E7E"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Cūkkopība</w:t>
            </w:r>
          </w:p>
        </w:tc>
        <w:tc>
          <w:tcPr>
            <w:tcW w:w="1842" w:type="dxa"/>
            <w:shd w:val="clear" w:color="auto" w:fill="auto"/>
            <w:hideMark/>
          </w:tcPr>
          <w:p w14:paraId="6337F2F7"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26 381</w:t>
            </w:r>
          </w:p>
        </w:tc>
        <w:tc>
          <w:tcPr>
            <w:tcW w:w="2694" w:type="dxa"/>
            <w:shd w:val="clear" w:color="auto" w:fill="auto"/>
            <w:hideMark/>
          </w:tcPr>
          <w:p w14:paraId="7470DA99"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285,37</w:t>
            </w:r>
          </w:p>
        </w:tc>
        <w:tc>
          <w:tcPr>
            <w:tcW w:w="2268" w:type="dxa"/>
            <w:shd w:val="clear" w:color="auto" w:fill="auto"/>
            <w:noWrap/>
            <w:hideMark/>
          </w:tcPr>
          <w:p w14:paraId="287F1CDD"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7 528 388</w:t>
            </w:r>
          </w:p>
        </w:tc>
      </w:tr>
      <w:tr w:rsidR="00EE3DBD" w:rsidRPr="00307028" w14:paraId="59542CD9" w14:textId="77777777" w:rsidTr="002A577C">
        <w:trPr>
          <w:trHeight w:val="50"/>
        </w:trPr>
        <w:tc>
          <w:tcPr>
            <w:tcW w:w="1985" w:type="dxa"/>
            <w:shd w:val="clear" w:color="auto" w:fill="auto"/>
            <w:noWrap/>
            <w:vAlign w:val="center"/>
            <w:hideMark/>
          </w:tcPr>
          <w:p w14:paraId="5358C4F4"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Piensaimniecība</w:t>
            </w:r>
          </w:p>
        </w:tc>
        <w:tc>
          <w:tcPr>
            <w:tcW w:w="1842" w:type="dxa"/>
            <w:shd w:val="clear" w:color="auto" w:fill="auto"/>
            <w:hideMark/>
          </w:tcPr>
          <w:p w14:paraId="0F88AA9F"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96 579</w:t>
            </w:r>
          </w:p>
        </w:tc>
        <w:tc>
          <w:tcPr>
            <w:tcW w:w="2694" w:type="dxa"/>
            <w:shd w:val="clear" w:color="auto" w:fill="auto"/>
            <w:hideMark/>
          </w:tcPr>
          <w:p w14:paraId="09065169"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82,23</w:t>
            </w:r>
          </w:p>
        </w:tc>
        <w:tc>
          <w:tcPr>
            <w:tcW w:w="2268" w:type="dxa"/>
            <w:shd w:val="clear" w:color="auto" w:fill="auto"/>
            <w:noWrap/>
            <w:hideMark/>
          </w:tcPr>
          <w:p w14:paraId="526DCCBC"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7 941 691</w:t>
            </w:r>
          </w:p>
        </w:tc>
      </w:tr>
      <w:tr w:rsidR="00EE3DBD" w:rsidRPr="00307028" w14:paraId="613AA32D" w14:textId="77777777" w:rsidTr="002A577C">
        <w:trPr>
          <w:trHeight w:val="50"/>
        </w:trPr>
        <w:tc>
          <w:tcPr>
            <w:tcW w:w="1985" w:type="dxa"/>
            <w:shd w:val="clear" w:color="auto" w:fill="auto"/>
            <w:noWrap/>
            <w:vAlign w:val="center"/>
            <w:hideMark/>
          </w:tcPr>
          <w:p w14:paraId="0D4977E6"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lastRenderedPageBreak/>
              <w:t>Zīdītājgovis</w:t>
            </w:r>
          </w:p>
        </w:tc>
        <w:tc>
          <w:tcPr>
            <w:tcW w:w="1842" w:type="dxa"/>
            <w:shd w:val="clear" w:color="auto" w:fill="auto"/>
            <w:hideMark/>
          </w:tcPr>
          <w:p w14:paraId="568957B8"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28 147</w:t>
            </w:r>
          </w:p>
        </w:tc>
        <w:tc>
          <w:tcPr>
            <w:tcW w:w="2694" w:type="dxa"/>
            <w:shd w:val="clear" w:color="auto" w:fill="auto"/>
            <w:hideMark/>
          </w:tcPr>
          <w:p w14:paraId="6DF70B47"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123,44</w:t>
            </w:r>
          </w:p>
        </w:tc>
        <w:tc>
          <w:tcPr>
            <w:tcW w:w="2268" w:type="dxa"/>
            <w:shd w:val="clear" w:color="auto" w:fill="auto"/>
            <w:noWrap/>
            <w:hideMark/>
          </w:tcPr>
          <w:p w14:paraId="3978900A"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3 474 484</w:t>
            </w:r>
          </w:p>
        </w:tc>
      </w:tr>
      <w:tr w:rsidR="00EE3DBD" w:rsidRPr="00307028" w14:paraId="1CCFC1E3" w14:textId="77777777" w:rsidTr="002A577C">
        <w:trPr>
          <w:trHeight w:val="50"/>
        </w:trPr>
        <w:tc>
          <w:tcPr>
            <w:tcW w:w="1985" w:type="dxa"/>
            <w:shd w:val="clear" w:color="auto" w:fill="auto"/>
            <w:noWrap/>
            <w:vAlign w:val="center"/>
          </w:tcPr>
          <w:p w14:paraId="2192E37F" w14:textId="77777777" w:rsidR="00EE3DBD" w:rsidRPr="00307028" w:rsidRDefault="00EE3DBD" w:rsidP="00EE3DBD">
            <w:pPr>
              <w:spacing w:line="259" w:lineRule="auto"/>
              <w:jc w:val="both"/>
              <w:rPr>
                <w:rFonts w:eastAsia="Times New Roman"/>
                <w:bCs/>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Briežkopība</w:t>
            </w:r>
          </w:p>
        </w:tc>
        <w:tc>
          <w:tcPr>
            <w:tcW w:w="1842" w:type="dxa"/>
            <w:shd w:val="clear" w:color="auto" w:fill="auto"/>
          </w:tcPr>
          <w:p w14:paraId="1B2E3311"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16 000</w:t>
            </w:r>
          </w:p>
        </w:tc>
        <w:tc>
          <w:tcPr>
            <w:tcW w:w="2694" w:type="dxa"/>
            <w:shd w:val="clear" w:color="auto" w:fill="auto"/>
          </w:tcPr>
          <w:p w14:paraId="5669C1EE"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12,5</w:t>
            </w:r>
          </w:p>
        </w:tc>
        <w:tc>
          <w:tcPr>
            <w:tcW w:w="2268" w:type="dxa"/>
            <w:shd w:val="clear" w:color="auto" w:fill="auto"/>
            <w:noWrap/>
          </w:tcPr>
          <w:p w14:paraId="3241AE7D"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200 000</w:t>
            </w:r>
          </w:p>
        </w:tc>
      </w:tr>
      <w:tr w:rsidR="00EE3DBD" w:rsidRPr="00307028" w14:paraId="2E8F73F3" w14:textId="77777777" w:rsidTr="002A577C">
        <w:trPr>
          <w:trHeight w:val="50"/>
        </w:trPr>
        <w:tc>
          <w:tcPr>
            <w:tcW w:w="1985" w:type="dxa"/>
            <w:shd w:val="clear" w:color="auto" w:fill="auto"/>
            <w:noWrap/>
            <w:vAlign w:val="center"/>
            <w:hideMark/>
          </w:tcPr>
          <w:p w14:paraId="694DD816"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Aitkopība</w:t>
            </w:r>
          </w:p>
        </w:tc>
        <w:tc>
          <w:tcPr>
            <w:tcW w:w="1842" w:type="dxa"/>
            <w:shd w:val="clear" w:color="auto" w:fill="auto"/>
            <w:hideMark/>
          </w:tcPr>
          <w:p w14:paraId="6A67ADCA"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17 500</w:t>
            </w:r>
          </w:p>
        </w:tc>
        <w:tc>
          <w:tcPr>
            <w:tcW w:w="2694" w:type="dxa"/>
            <w:shd w:val="clear" w:color="auto" w:fill="auto"/>
            <w:hideMark/>
          </w:tcPr>
          <w:p w14:paraId="26830A82"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44,35</w:t>
            </w:r>
          </w:p>
        </w:tc>
        <w:tc>
          <w:tcPr>
            <w:tcW w:w="2268" w:type="dxa"/>
            <w:shd w:val="clear" w:color="auto" w:fill="auto"/>
            <w:noWrap/>
            <w:hideMark/>
          </w:tcPr>
          <w:p w14:paraId="0C36D4D4"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776 057</w:t>
            </w:r>
          </w:p>
        </w:tc>
      </w:tr>
      <w:tr w:rsidR="00EE3DBD" w:rsidRPr="00307028" w14:paraId="35B8F252" w14:textId="77777777" w:rsidTr="002A577C">
        <w:trPr>
          <w:trHeight w:val="50"/>
        </w:trPr>
        <w:tc>
          <w:tcPr>
            <w:tcW w:w="1985" w:type="dxa"/>
            <w:shd w:val="clear" w:color="auto" w:fill="auto"/>
            <w:noWrap/>
            <w:vAlign w:val="center"/>
            <w:hideMark/>
          </w:tcPr>
          <w:p w14:paraId="50600E30"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Kazkopība</w:t>
            </w:r>
          </w:p>
        </w:tc>
        <w:tc>
          <w:tcPr>
            <w:tcW w:w="1842" w:type="dxa"/>
            <w:shd w:val="clear" w:color="auto" w:fill="auto"/>
            <w:hideMark/>
          </w:tcPr>
          <w:p w14:paraId="100D2A45"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1 112</w:t>
            </w:r>
          </w:p>
        </w:tc>
        <w:tc>
          <w:tcPr>
            <w:tcW w:w="2694" w:type="dxa"/>
            <w:shd w:val="clear" w:color="auto" w:fill="auto"/>
            <w:hideMark/>
          </w:tcPr>
          <w:p w14:paraId="641B62F2"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76,94</w:t>
            </w:r>
          </w:p>
        </w:tc>
        <w:tc>
          <w:tcPr>
            <w:tcW w:w="2268" w:type="dxa"/>
            <w:shd w:val="clear" w:color="auto" w:fill="auto"/>
            <w:noWrap/>
            <w:hideMark/>
          </w:tcPr>
          <w:p w14:paraId="09AFBB81"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85 558</w:t>
            </w:r>
          </w:p>
        </w:tc>
      </w:tr>
      <w:tr w:rsidR="00EE3DBD" w:rsidRPr="00307028" w14:paraId="309E31C3" w14:textId="77777777" w:rsidTr="002A577C">
        <w:trPr>
          <w:trHeight w:val="50"/>
        </w:trPr>
        <w:tc>
          <w:tcPr>
            <w:tcW w:w="1985" w:type="dxa"/>
            <w:shd w:val="clear" w:color="auto" w:fill="auto"/>
            <w:noWrap/>
            <w:vAlign w:val="center"/>
            <w:hideMark/>
          </w:tcPr>
          <w:p w14:paraId="1334FEF2" w14:textId="77777777" w:rsidR="00EE3DBD" w:rsidRPr="00307028" w:rsidRDefault="00EE3DBD" w:rsidP="00EE3DBD">
            <w:pPr>
              <w:spacing w:line="259" w:lineRule="auto"/>
              <w:jc w:val="both"/>
              <w:rPr>
                <w:rFonts w:eastAsia="Times New Roman"/>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Zirgkopība</w:t>
            </w:r>
          </w:p>
        </w:tc>
        <w:tc>
          <w:tcPr>
            <w:tcW w:w="1842" w:type="dxa"/>
            <w:shd w:val="clear" w:color="auto" w:fill="auto"/>
            <w:hideMark/>
          </w:tcPr>
          <w:p w14:paraId="73254481"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490</w:t>
            </w:r>
          </w:p>
        </w:tc>
        <w:tc>
          <w:tcPr>
            <w:tcW w:w="2694" w:type="dxa"/>
            <w:shd w:val="clear" w:color="auto" w:fill="auto"/>
            <w:hideMark/>
          </w:tcPr>
          <w:p w14:paraId="77C20AB6"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387,16</w:t>
            </w:r>
          </w:p>
        </w:tc>
        <w:tc>
          <w:tcPr>
            <w:tcW w:w="2268" w:type="dxa"/>
            <w:shd w:val="clear" w:color="auto" w:fill="auto"/>
            <w:noWrap/>
            <w:hideMark/>
          </w:tcPr>
          <w:p w14:paraId="6A21E013"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kern w:val="2"/>
                <w:sz w:val="20"/>
                <w:szCs w:val="20"/>
                <w:lang w:eastAsia="en-US"/>
                <w14:ligatures w14:val="standardContextual"/>
              </w:rPr>
              <w:t>189 711</w:t>
            </w:r>
          </w:p>
        </w:tc>
      </w:tr>
      <w:tr w:rsidR="00EE3DBD" w:rsidRPr="00307028" w14:paraId="05FB0A40" w14:textId="77777777" w:rsidTr="002A577C">
        <w:trPr>
          <w:trHeight w:val="50"/>
        </w:trPr>
        <w:tc>
          <w:tcPr>
            <w:tcW w:w="1985" w:type="dxa"/>
            <w:shd w:val="clear" w:color="auto" w:fill="auto"/>
            <w:noWrap/>
            <w:vAlign w:val="center"/>
          </w:tcPr>
          <w:p w14:paraId="3FE7DF28" w14:textId="77777777" w:rsidR="00EE3DBD" w:rsidRPr="00307028" w:rsidRDefault="00EE3DBD" w:rsidP="00EE3DBD">
            <w:pPr>
              <w:spacing w:line="259" w:lineRule="auto"/>
              <w:jc w:val="both"/>
              <w:rPr>
                <w:rFonts w:eastAsia="Times New Roman"/>
                <w:bCs/>
                <w:color w:val="000000"/>
                <w:kern w:val="2"/>
                <w:sz w:val="20"/>
                <w:szCs w:val="20"/>
                <w:lang w:eastAsia="lv-LV"/>
                <w14:ligatures w14:val="standardContextual"/>
              </w:rPr>
            </w:pPr>
            <w:r w:rsidRPr="00307028">
              <w:rPr>
                <w:rFonts w:eastAsia="Times New Roman"/>
                <w:bCs/>
                <w:color w:val="000000"/>
                <w:kern w:val="2"/>
                <w:sz w:val="20"/>
                <w:szCs w:val="20"/>
                <w:lang w:eastAsia="lv-LV"/>
                <w14:ligatures w14:val="standardContextual"/>
              </w:rPr>
              <w:t>Lauksaimniecības dzīvnieku vietējo apdraudēto šķirņu saglabāšana</w:t>
            </w:r>
          </w:p>
        </w:tc>
        <w:tc>
          <w:tcPr>
            <w:tcW w:w="1842" w:type="dxa"/>
            <w:shd w:val="clear" w:color="auto" w:fill="auto"/>
          </w:tcPr>
          <w:p w14:paraId="3D68C8CA" w14:textId="77777777" w:rsidR="00EE3DBD" w:rsidRPr="00307028" w:rsidRDefault="00EE3DBD" w:rsidP="00EE3DBD">
            <w:pPr>
              <w:spacing w:line="259" w:lineRule="auto"/>
              <w:jc w:val="center"/>
              <w:rPr>
                <w:rFonts w:eastAsia="Times New Roman"/>
                <w:color w:val="000000"/>
                <w:kern w:val="2"/>
                <w:sz w:val="20"/>
                <w:szCs w:val="20"/>
                <w:lang w:eastAsia="lv-LV"/>
                <w14:ligatures w14:val="standardContextual"/>
              </w:rPr>
            </w:pPr>
            <w:r w:rsidRPr="00307028">
              <w:rPr>
                <w:rFonts w:eastAsia="Times New Roman"/>
                <w:color w:val="000000"/>
                <w:kern w:val="2"/>
                <w:sz w:val="20"/>
                <w:szCs w:val="20"/>
                <w:lang w:eastAsia="lv-LV"/>
                <w14:ligatures w14:val="standardContextual"/>
              </w:rPr>
              <w:t>1 484</w:t>
            </w:r>
          </w:p>
        </w:tc>
        <w:tc>
          <w:tcPr>
            <w:tcW w:w="2694" w:type="dxa"/>
            <w:shd w:val="clear" w:color="auto" w:fill="auto"/>
          </w:tcPr>
          <w:p w14:paraId="77EBBD41" w14:textId="77777777" w:rsidR="00EE3DBD" w:rsidRPr="00307028" w:rsidRDefault="00EE3DBD" w:rsidP="00EE3DBD">
            <w:pPr>
              <w:spacing w:line="259" w:lineRule="auto"/>
              <w:jc w:val="center"/>
              <w:rPr>
                <w:rFonts w:eastAsia="Times New Roman"/>
                <w:kern w:val="2"/>
                <w:sz w:val="20"/>
                <w:szCs w:val="20"/>
                <w:lang w:eastAsia="en-US"/>
                <w14:ligatures w14:val="standardContextual"/>
              </w:rPr>
            </w:pPr>
            <w:r w:rsidRPr="00307028">
              <w:rPr>
                <w:rFonts w:eastAsia="Times New Roman"/>
                <w:kern w:val="2"/>
                <w:sz w:val="20"/>
                <w:szCs w:val="20"/>
                <w:lang w:eastAsia="en-US"/>
                <w14:ligatures w14:val="standardContextual"/>
              </w:rPr>
              <w:t>149,92</w:t>
            </w:r>
          </w:p>
        </w:tc>
        <w:tc>
          <w:tcPr>
            <w:tcW w:w="2268" w:type="dxa"/>
            <w:shd w:val="clear" w:color="auto" w:fill="auto"/>
            <w:noWrap/>
          </w:tcPr>
          <w:p w14:paraId="29C85895" w14:textId="77777777" w:rsidR="00EE3DBD" w:rsidRPr="00307028" w:rsidRDefault="00EE3DBD" w:rsidP="00EE3DBD">
            <w:pPr>
              <w:spacing w:line="259" w:lineRule="auto"/>
              <w:jc w:val="center"/>
              <w:rPr>
                <w:rFonts w:eastAsia="Times New Roman"/>
                <w:kern w:val="2"/>
                <w:sz w:val="20"/>
                <w:szCs w:val="20"/>
                <w:lang w:eastAsia="en-US"/>
                <w14:ligatures w14:val="standardContextual"/>
              </w:rPr>
            </w:pPr>
            <w:r w:rsidRPr="00307028">
              <w:rPr>
                <w:rFonts w:eastAsia="Times New Roman"/>
                <w:kern w:val="2"/>
                <w:sz w:val="20"/>
                <w:szCs w:val="20"/>
                <w:lang w:eastAsia="en-US"/>
                <w14:ligatures w14:val="standardContextual"/>
              </w:rPr>
              <w:t>222 480</w:t>
            </w:r>
          </w:p>
        </w:tc>
      </w:tr>
      <w:tr w:rsidR="00EE3DBD" w:rsidRPr="00307028" w14:paraId="50DACE6B" w14:textId="77777777" w:rsidTr="001E7AA9">
        <w:trPr>
          <w:trHeight w:val="50"/>
        </w:trPr>
        <w:tc>
          <w:tcPr>
            <w:tcW w:w="6521" w:type="dxa"/>
            <w:gridSpan w:val="3"/>
            <w:tcBorders>
              <w:bottom w:val="single" w:sz="4" w:space="0" w:color="auto"/>
            </w:tcBorders>
            <w:shd w:val="clear" w:color="auto" w:fill="B2D9EC"/>
            <w:noWrap/>
            <w:vAlign w:val="center"/>
            <w:hideMark/>
          </w:tcPr>
          <w:p w14:paraId="0AC4DC9F" w14:textId="77777777" w:rsidR="00EE3DBD" w:rsidRPr="00307028" w:rsidRDefault="00EE3DBD" w:rsidP="00EE3DBD">
            <w:pPr>
              <w:spacing w:line="259" w:lineRule="auto"/>
              <w:jc w:val="right"/>
              <w:rPr>
                <w:rFonts w:eastAsia="Times New Roman"/>
                <w:b/>
                <w:bCs/>
                <w:color w:val="000000"/>
                <w:kern w:val="2"/>
                <w:sz w:val="20"/>
                <w:szCs w:val="20"/>
                <w:lang w:eastAsia="lv-LV"/>
                <w14:ligatures w14:val="standardContextual"/>
              </w:rPr>
            </w:pPr>
            <w:r w:rsidRPr="00307028">
              <w:rPr>
                <w:rFonts w:eastAsia="Times New Roman"/>
                <w:b/>
                <w:bCs/>
                <w:color w:val="000000"/>
                <w:kern w:val="2"/>
                <w:sz w:val="20"/>
                <w:szCs w:val="20"/>
                <w:lang w:eastAsia="lv-LV"/>
                <w14:ligatures w14:val="standardContextual"/>
              </w:rPr>
              <w:t>Kopā</w:t>
            </w:r>
          </w:p>
        </w:tc>
        <w:tc>
          <w:tcPr>
            <w:tcW w:w="2268" w:type="dxa"/>
            <w:tcBorders>
              <w:bottom w:val="single" w:sz="4" w:space="0" w:color="auto"/>
            </w:tcBorders>
            <w:shd w:val="clear" w:color="auto" w:fill="B2D9EC"/>
            <w:noWrap/>
            <w:vAlign w:val="center"/>
            <w:hideMark/>
          </w:tcPr>
          <w:p w14:paraId="3D50690C" w14:textId="77777777" w:rsidR="00EE3DBD" w:rsidRPr="00307028" w:rsidRDefault="00EE3DBD" w:rsidP="00EE3DBD">
            <w:pPr>
              <w:spacing w:line="259" w:lineRule="auto"/>
              <w:jc w:val="center"/>
              <w:rPr>
                <w:rFonts w:eastAsia="Times New Roman"/>
                <w:b/>
                <w:bCs/>
                <w:color w:val="000000"/>
                <w:kern w:val="2"/>
                <w:sz w:val="20"/>
                <w:szCs w:val="20"/>
                <w:lang w:eastAsia="lv-LV"/>
                <w14:ligatures w14:val="standardContextual"/>
              </w:rPr>
            </w:pPr>
            <w:r w:rsidRPr="00307028">
              <w:rPr>
                <w:rFonts w:eastAsia="Times New Roman"/>
                <w:b/>
                <w:bCs/>
                <w:color w:val="000000"/>
                <w:kern w:val="2"/>
                <w:sz w:val="20"/>
                <w:szCs w:val="20"/>
                <w:lang w:eastAsia="lv-LV"/>
                <w14:ligatures w14:val="standardContextual"/>
              </w:rPr>
              <w:t>20 418 370</w:t>
            </w:r>
          </w:p>
        </w:tc>
      </w:tr>
    </w:tbl>
    <w:p w14:paraId="752DCFA3" w14:textId="77777777" w:rsidR="00EE3DBD" w:rsidRPr="00307028" w:rsidRDefault="00EE3DBD" w:rsidP="00447EC2">
      <w:pPr>
        <w:spacing w:before="120"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Pēc vidējā izcenojuma aprēķina ZM priekšlikums šim mērķim paredz pieprasīt finansējumu 20 418 370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apmērā.</w:t>
      </w:r>
    </w:p>
    <w:p w14:paraId="79838836" w14:textId="77777777" w:rsidR="00EE3DBD" w:rsidRPr="00307028" w:rsidRDefault="00EE3DBD" w:rsidP="00070D5F">
      <w:pPr>
        <w:numPr>
          <w:ilvl w:val="0"/>
          <w:numId w:val="31"/>
        </w:numPr>
        <w:spacing w:after="120" w:line="259" w:lineRule="auto"/>
        <w:ind w:left="0" w:firstLine="720"/>
        <w:jc w:val="both"/>
        <w:rPr>
          <w:rFonts w:eastAsia="Times New Roman"/>
          <w:i/>
          <w:iCs/>
          <w:kern w:val="2"/>
          <w:lang w:eastAsia="en-US"/>
          <w14:ligatures w14:val="standardContextual"/>
        </w:rPr>
      </w:pPr>
      <w:r w:rsidRPr="00307028">
        <w:rPr>
          <w:rFonts w:eastAsia="Times New Roman"/>
          <w:i/>
          <w:iCs/>
          <w:kern w:val="2"/>
          <w:lang w:eastAsia="en-US"/>
          <w14:ligatures w14:val="standardContextual"/>
        </w:rPr>
        <w:t>Lauksaimniecībā izmantojamiem zinātnes pētījumiem un lauksaimniecības zinātnisko institūciju materiāli tehniskās bāzes pilnveidošanai</w:t>
      </w:r>
    </w:p>
    <w:p w14:paraId="460D8451" w14:textId="77777777"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ZM norāda, ka ir ļoti svarīga lauksaimniecībā izmantojamo zinātnes pētījumu un lauksaimniecības zinātnisko institūciju materiālu tehniskās bāzes pilnveidošana, tāpēc 2024. gadam ZM plāno tai izlietot 8 000 000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ZM, izstrādājot Kopējās lauksaimniecības politikas stratēģisko plānu 2023. – 2027. gadam, ir paredzējusi pēc iespējas vairāk izmantot finanšu instrumentus un pievērst lielu vērību vides un klimata pārmaiņu jautājumiem, kā arī iespējami plaši ieviest risku pārvaldības instrumentus. Lai īstenotu iecerēto atbalsta reformu lauksaimniecības, mežsaimniecības un lauksaimniecības produktu pārstrādes jomās, ZM būs nepieciešama zinātniski pamatota argumentācija ieplānoto izmaiņu ieviešanai. ZM vērtējumā pieprasītais finansējums noteikts, vērtējot iepriekšējo gadu tendences par vidējo finansējuma nepieciešamību šajās jomās, bet ņemts vērā arī piesardzības princips par atbalstāmajiem iesniegumiem. Minētais finansējums nodrošinās šajā plānošanas periodā uzsākto atbalsta pasākumu turpināšanos nozaru konkurētspējas stiprināšanai, investīciju veicināšanai lauksaimniecībā un investīcijas materiālās bāzes pilnveidošanai, kā arī ZM pasūtītos pētījumus valsts vajadzībām, kuru mērķis ir ar zinātniskās pētniecības palīdzību veicināt nozares attīstību un konkrētu problēmu risināšanu attiecīgās valsts pārvaldes institūcijas kompetences jomā. ZM šādus pētījumus organizē konkursa kārtībā sava budžeta ietvaros.</w:t>
      </w:r>
    </w:p>
    <w:p w14:paraId="0F99E548" w14:textId="77777777" w:rsidR="00EE3DBD" w:rsidRPr="00307028" w:rsidRDefault="00EE3DBD" w:rsidP="00070D5F">
      <w:pPr>
        <w:numPr>
          <w:ilvl w:val="0"/>
          <w:numId w:val="31"/>
        </w:numPr>
        <w:spacing w:after="120" w:line="259" w:lineRule="auto"/>
        <w:ind w:left="0" w:firstLine="720"/>
        <w:jc w:val="both"/>
        <w:rPr>
          <w:rFonts w:eastAsia="Times New Roman"/>
          <w:i/>
          <w:iCs/>
          <w:kern w:val="2"/>
          <w:lang w:eastAsia="en-US"/>
          <w14:ligatures w14:val="standardContextual"/>
        </w:rPr>
      </w:pPr>
      <w:r w:rsidRPr="00307028">
        <w:rPr>
          <w:rFonts w:eastAsia="Times New Roman"/>
          <w:i/>
          <w:iCs/>
          <w:kern w:val="2"/>
          <w:lang w:eastAsia="en-US"/>
          <w14:ligatures w14:val="standardContextual"/>
        </w:rPr>
        <w:t>Selekcijas materiāla izstrādei, lai veicinātu konvenciālo, integrēto un bioloģisko lauksaimniecības kultūraugu audzēšanas tehnoloģiju</w:t>
      </w:r>
    </w:p>
    <w:p w14:paraId="1DFDA412" w14:textId="3AE7328A" w:rsidR="00EE3DBD" w:rsidRPr="00307028" w:rsidRDefault="00EE3DBD" w:rsidP="00447EC2">
      <w:pPr>
        <w:spacing w:after="120" w:line="259" w:lineRule="auto"/>
        <w:ind w:firstLine="720"/>
        <w:jc w:val="both"/>
        <w:rPr>
          <w:rFonts w:eastAsia="Calibri" w:cstheme="minorBidi"/>
          <w:kern w:val="2"/>
          <w:lang w:eastAsia="en-US"/>
          <w14:ligatures w14:val="standardContextual"/>
        </w:rPr>
      </w:pPr>
      <w:r w:rsidRPr="00307028">
        <w:rPr>
          <w:rFonts w:eastAsia="Times New Roman"/>
          <w:kern w:val="2"/>
          <w:lang w:eastAsia="en-US"/>
          <w14:ligatures w14:val="standardContextual"/>
        </w:rPr>
        <w:t xml:space="preserve">Arvien pieprasītākas kļūst Latvijā selekcionētās un veidotās kultūraugu jaunās šķirnes, jo tās ir daudz izturīgākas pret vietējiem klimata apstākļiem un piemērotākas audzēšanai Latvijas teritorijā. </w:t>
      </w:r>
      <w:r w:rsidRPr="00307028">
        <w:rPr>
          <w:rFonts w:eastAsiaTheme="minorHAnsi" w:cstheme="minorBidi"/>
          <w:kern w:val="2"/>
          <w:lang w:eastAsia="en-US"/>
          <w14:ligatures w14:val="standardContextual"/>
        </w:rPr>
        <w:t xml:space="preserve">Pēdējā laikā klimata pārmaiņas stipri ietekmē meteoroloģiskos laika apstākļus, kas būtiski kaitē augkopības nozarei. </w:t>
      </w:r>
      <w:bookmarkStart w:id="84" w:name="_Hlk141176850"/>
      <w:r w:rsidRPr="00307028">
        <w:rPr>
          <w:rFonts w:eastAsiaTheme="minorHAnsi" w:cstheme="minorBidi"/>
          <w:kern w:val="2"/>
          <w:lang w:eastAsia="en-US"/>
          <w14:ligatures w14:val="standardContextual"/>
        </w:rPr>
        <w:t>Arvien pieprasītākas kļūst Latvijā selekcionētās un veidotās kultūraugu jaunās šķirnes, jo tās ir daudz izturīgākas pret vietējiem klimata apstākļiem un piemērotākas audzēšanai Latvijas teritorijā</w:t>
      </w:r>
      <w:bookmarkEnd w:id="84"/>
      <w:r w:rsidRPr="00307028">
        <w:rPr>
          <w:rFonts w:eastAsiaTheme="minorHAnsi" w:cstheme="minorBidi"/>
          <w:kern w:val="2"/>
          <w:lang w:eastAsia="en-US"/>
          <w14:ligatures w14:val="standardContextual"/>
        </w:rPr>
        <w:t>. Agroresursu un ekonomikas institūts, Dārzkopības institūts un Latvijas Biozinātņu un tehnoloģiju universitātes Zemkopības zinātniskais institūts (turpmāk – zinātniskie institūti) veic selekcijas darbu Latvijas augkopībai svarīgām sugām – ziemas kviešiem, rudziem, vasaras miežiem, tritikālei, kartupeļiem, sarkanajam un baltajam āboliņam, kamolzālei, auzeņu–aireņu starpsugu hibrīdiem, kaņepēm, liniem, ābelēm, avenēm, upenēm, krūmcidonijām</w:t>
      </w:r>
      <w:r w:rsidR="003B7F2B"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 xml:space="preserve">integrētās saimniekošanas metodei un kviešiem, miežiem, auzām, lauka pupām, zirņiem un kartupeļiem bioloģiskai saimniekošanas metodei piemērotu šķirņu izstrādei. Lai zinātnieki selekcionētu jaunu kultūraugu šķirni un to </w:t>
      </w:r>
      <w:r w:rsidRPr="00307028">
        <w:rPr>
          <w:rFonts w:eastAsiaTheme="minorHAnsi" w:cstheme="minorBidi"/>
          <w:kern w:val="2"/>
          <w:lang w:eastAsia="en-US"/>
          <w14:ligatures w14:val="standardContextual"/>
        </w:rPr>
        <w:lastRenderedPageBreak/>
        <w:t xml:space="preserve">sertificētu laišanai tirgū, ir nepieciešami 10 – 15 gadi, bet zālāju šķirņu selekcijai ir nepieciešami pat 25 gadi. Ņemot vērā pēdējo gadu resursu cenu kāpumu, kā arī darbaspēka izmaksu pieaugumu, lai nodrošinātu pietiekamu finansējumu zinātnisko institūtu selekcijas programmu īstenošanai, ZM plāno piešķirt 2 500 000 </w:t>
      </w:r>
      <w:r w:rsidRPr="00307028">
        <w:rPr>
          <w:rFonts w:eastAsia="Times New Roman"/>
          <w:i/>
          <w:iCs/>
          <w:kern w:val="2"/>
          <w:lang w:eastAsia="en-US"/>
          <w14:ligatures w14:val="standardContextual"/>
        </w:rPr>
        <w:t>euro</w:t>
      </w:r>
      <w:r w:rsidRPr="00307028">
        <w:rPr>
          <w:rFonts w:eastAsiaTheme="minorHAnsi" w:cstheme="minorBidi"/>
          <w:kern w:val="2"/>
          <w:lang w:eastAsia="en-US"/>
          <w14:ligatures w14:val="standardContextual"/>
        </w:rPr>
        <w:t xml:space="preserve"> selekcijas materiāla izstrādei, lai veicinātu integrēto, bioloģisko un konvenciālo lauksaimniecības kultūraugu audzēšanas tehnoloģiju, kur pieprasītais finansējums noteikts, vērtējot iepriekšējo gadu tendences par vidējo finansējuma nepieciešamību šajās jomās, bet ņemts vērā arī piesardzības princips par atbalstāmajiem iesniegumiem. </w:t>
      </w:r>
    </w:p>
    <w:p w14:paraId="268C00C3" w14:textId="77777777" w:rsidR="00EE3DBD" w:rsidRPr="00307028" w:rsidRDefault="00EE3DBD" w:rsidP="00070D5F">
      <w:pPr>
        <w:numPr>
          <w:ilvl w:val="0"/>
          <w:numId w:val="31"/>
        </w:numPr>
        <w:spacing w:after="120" w:line="259" w:lineRule="auto"/>
        <w:ind w:left="0" w:firstLine="720"/>
        <w:jc w:val="both"/>
        <w:rPr>
          <w:rFonts w:eastAsia="Times New Roman"/>
          <w:i/>
          <w:iCs/>
          <w:kern w:val="2"/>
          <w:lang w:eastAsia="en-US"/>
          <w14:ligatures w14:val="standardContextual"/>
        </w:rPr>
      </w:pPr>
      <w:r w:rsidRPr="00307028">
        <w:rPr>
          <w:rFonts w:eastAsia="Times New Roman"/>
          <w:i/>
          <w:iCs/>
          <w:kern w:val="2"/>
          <w:lang w:eastAsia="en-US"/>
          <w14:ligatures w14:val="standardContextual"/>
        </w:rPr>
        <w:t>Kredītprocentu daļējai dzēšanai investīciju kredītiem, lauksaimniecībā izmantojamās zemes iegādes kredītiem, lauksaimniecības dzīvnieku iegādes kredītiem un īstermiņa kredītiem</w:t>
      </w:r>
    </w:p>
    <w:p w14:paraId="6405F17C" w14:textId="68AC3A46"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Lai stiprinātu uzņēmumu likviditāti un stabilizētu naudas plūsmu, kredītsaistību izpildes nodrošināšanai un finansiālā sloga mazināšanai lauku saimniecībām, atbilstīgām kooperatīvajām sabiedrībām un pārtiku ražojošiem uzņēmumiem, 2024. gadā ZM plāno izmantot 10 000 000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kredītprocentu daļējai dzēšanai investīciju kredītiem, lauksaimniecībā izmantojamās zemes iegādes kredītiem, lauksaimniecības dzīvnieku iegādes kredītiem un īstermiņa kredītiem. Ņemot vērā to, ka EK Kopējās lauksaimniecības politikas stratēģiskā plāna regula neparedz iespēju piešķirt atbalstu kredītprocentu daļējai dzēšanai lauksaimniecībā izmantojamās zemes un dzīvnieku iegādei, kā arī apgrozāmo līdzekļu iegādei, no kopējā paredzētā finansējuma 4 000 000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ir plānoti kredītprocentu daļējai dzēšanai lauksaimniecībā izmantojamās zemes un dzīvnieku iegādes kredītiem un īstermiņa kredītiem. Finansējuma kopējā summa noteikta, ņemot vērā trīs iepriekšējo noslēgto gadu vidējās faktiskās atbalsta izmaksas kredītprocentu daļējai dzēšanai par lauksaimniecības zemes, lauksaimniecības dzīvnieku iegādi un īstermiņa aizdevumiem, kas </w:t>
      </w:r>
      <w:r w:rsidR="003B7F2B" w:rsidRPr="00307028">
        <w:rPr>
          <w:rFonts w:eastAsia="Times New Roman"/>
          <w:kern w:val="2"/>
          <w:lang w:eastAsia="en-US"/>
          <w14:ligatures w14:val="standardContextual"/>
        </w:rPr>
        <w:t xml:space="preserve">vidēji gadā </w:t>
      </w:r>
      <w:r w:rsidRPr="00307028">
        <w:rPr>
          <w:rFonts w:eastAsia="Times New Roman"/>
          <w:kern w:val="2"/>
          <w:lang w:eastAsia="en-US"/>
          <w14:ligatures w14:val="standardContextual"/>
        </w:rPr>
        <w:t>veido 3</w:t>
      </w:r>
      <w:r w:rsidR="0034757D" w:rsidRPr="00307028">
        <w:rPr>
          <w:rFonts w:eastAsia="Times New Roman"/>
          <w:kern w:val="2"/>
          <w:lang w:eastAsia="en-US"/>
          <w14:ligatures w14:val="standardContextual"/>
        </w:rPr>
        <w:t> </w:t>
      </w:r>
      <w:r w:rsidRPr="00307028">
        <w:rPr>
          <w:rFonts w:eastAsia="Times New Roman"/>
          <w:kern w:val="2"/>
          <w:lang w:eastAsia="en-US"/>
          <w14:ligatures w14:val="standardContextual"/>
        </w:rPr>
        <w:t>523</w:t>
      </w:r>
      <w:r w:rsidR="0034757D" w:rsidRPr="00307028">
        <w:rPr>
          <w:rFonts w:eastAsia="Times New Roman"/>
          <w:kern w:val="2"/>
          <w:lang w:eastAsia="en-US"/>
          <w14:ligatures w14:val="standardContextual"/>
        </w:rPr>
        <w:t> </w:t>
      </w:r>
      <w:r w:rsidRPr="00307028">
        <w:rPr>
          <w:rFonts w:eastAsia="Times New Roman"/>
          <w:kern w:val="2"/>
          <w:lang w:eastAsia="en-US"/>
          <w14:ligatures w14:val="standardContextual"/>
        </w:rPr>
        <w:t>484</w:t>
      </w:r>
      <w:r w:rsidR="0034757D" w:rsidRPr="00307028">
        <w:rPr>
          <w:rFonts w:eastAsia="Times New Roman"/>
          <w:kern w:val="2"/>
          <w:lang w:eastAsia="en-US"/>
          <w14:ligatures w14:val="standardContextual"/>
        </w:rPr>
        <w:t>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Vienlaikus ZM uzsver, ka lauksaimniecībā izmantojamās zemes cenas katru gadu palielinās. Pēc CSP informācijas</w:t>
      </w:r>
      <w:r w:rsidR="003B7F2B"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 xml:space="preserve">2013. gadā vidējā lauksaimniecībā izmantojamās zemes pirkšanas cena bija 1 998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/ha, bet 2018. gadā – 3 188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/ha. Pēc AS “Attīstības finanšu institūcija Altum” datiem Zemgales reģionā lauksaimniecībā izmantojamās zemes iegādes cenas 2019. gadā sasniedza 13 000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/ha, bet 2021. gadā pat 17 500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/ha. ZM skatījumā ir ļoti būtiski lauksaimniecībā izmantojamo zemi pēc iespējas efektīvāk izmantot ražošanā un aizaugušās platības atgriezt aktīvajā lauksaimnieciskajā darbībā.</w:t>
      </w:r>
    </w:p>
    <w:p w14:paraId="530E082C" w14:textId="77777777" w:rsidR="00EE3DBD" w:rsidRPr="00307028" w:rsidRDefault="00EE3DBD" w:rsidP="00070D5F">
      <w:pPr>
        <w:numPr>
          <w:ilvl w:val="0"/>
          <w:numId w:val="31"/>
        </w:numPr>
        <w:spacing w:after="120" w:line="259" w:lineRule="auto"/>
        <w:ind w:left="0" w:firstLine="720"/>
        <w:jc w:val="both"/>
        <w:rPr>
          <w:rFonts w:eastAsia="Times New Roman"/>
          <w:i/>
          <w:iCs/>
          <w:kern w:val="2"/>
          <w:lang w:eastAsia="en-US"/>
          <w14:ligatures w14:val="standardContextual"/>
        </w:rPr>
      </w:pPr>
      <w:r w:rsidRPr="00307028">
        <w:rPr>
          <w:rFonts w:eastAsia="Times New Roman"/>
          <w:i/>
          <w:iCs/>
          <w:kern w:val="2"/>
          <w:lang w:eastAsia="en-US"/>
          <w14:ligatures w14:val="standardContextual"/>
        </w:rPr>
        <w:t>Ražas, dzīvnieku, sējumu un stādījumu apdrošināšanas polises cenas daļējai kompensācijai</w:t>
      </w:r>
    </w:p>
    <w:p w14:paraId="5C5C6FED" w14:textId="77777777"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Ņemot vērā EK priekšlikumu par dalībvalstu iespēju izmantot papildu finansējumu, lai nodrošinātu vienlīdzīgākus konkurences apstākļus ar citām ES dalībvalstīm, 2024. gadā ZM paredz finansējumu ražas, dzīvnieku, sējumu un stādījumu apdrošināšanas polises cenas daļējai kompensācijai 5 000 000 </w:t>
      </w:r>
      <w:r w:rsidRPr="00307028">
        <w:rPr>
          <w:rFonts w:eastAsia="Times New Roman"/>
          <w:i/>
          <w:iCs/>
          <w:kern w:val="2"/>
          <w:lang w:eastAsia="en-US"/>
          <w14:ligatures w14:val="standardContextual"/>
        </w:rPr>
        <w:t>euro</w:t>
      </w:r>
      <w:r w:rsidRPr="00307028">
        <w:rPr>
          <w:rFonts w:eastAsia="Times New Roman"/>
          <w:kern w:val="2"/>
          <w:lang w:eastAsia="en-US"/>
          <w14:ligatures w14:val="standardContextual"/>
        </w:rPr>
        <w:t xml:space="preserve">. Risku vadības pasākumi ir vieni no stratēģiski svarīgākajiem veiksmīgas lauksaimnieciskās darbības nodrošināšanā, un sekmīgas risku vadības nodrošināšana saimniecībā ir arī lauksaimnieka finansiāla atbildība. </w:t>
      </w:r>
    </w:p>
    <w:p w14:paraId="613EBF2C" w14:textId="3CF82DFD"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Attīstoties lauksaimniecības apdrošināšanas pakalpojumiem Latvijā un palielinoties konkurencei starp apdrošinātājiem, lauksaimniekam ir iespēja izvēlēties labākos apdrošināšanas piedāvājumus. Ņemot vērā klimata pārmaiņas un dabas apstākļu nelabvēlīgo ietekmi uz sējumiem un stādījumiem, pēdējos gados zemnieki arvien biežāk izmanto apdrošināšanas pakalpojumu, lai mazinātu klimatisko apstākļu un infekcijas slimību radītos zaudējumus. Salīdzinot ar 2015. gadu, kad sējumu un stādījumu platības bija apdrošinātas tikai 4 411 ha platībā, tad 2023. gadā līdz 19. jūlijam ir apdrošināti jau 245 515 ha. Arī </w:t>
      </w:r>
      <w:r w:rsidRPr="00307028">
        <w:rPr>
          <w:rFonts w:eastAsia="Times New Roman"/>
          <w:kern w:val="2"/>
          <w:lang w:eastAsia="en-US"/>
          <w14:ligatures w14:val="standardContextual"/>
        </w:rPr>
        <w:lastRenderedPageBreak/>
        <w:t>lauksaimniecības dzīvnieku apdrošināšana ir pieaugusi attiecīgi no 2 015 dzīvniekiem 2015.</w:t>
      </w:r>
      <w:r w:rsidR="004D13A2" w:rsidRPr="00307028">
        <w:rPr>
          <w:rFonts w:eastAsia="Times New Roman"/>
          <w:kern w:val="2"/>
          <w:lang w:eastAsia="en-US"/>
          <w14:ligatures w14:val="standardContextual"/>
        </w:rPr>
        <w:t> </w:t>
      </w:r>
      <w:r w:rsidRPr="00307028">
        <w:rPr>
          <w:rFonts w:eastAsia="Times New Roman"/>
          <w:kern w:val="2"/>
          <w:lang w:eastAsia="en-US"/>
          <w14:ligatures w14:val="standardContextual"/>
        </w:rPr>
        <w:t>gadā līdz 217 378 dzīvniekiem un 3 033 668 putniem 2023.</w:t>
      </w:r>
      <w:r w:rsidR="004D13A2" w:rsidRPr="00307028">
        <w:rPr>
          <w:rFonts w:eastAsia="Times New Roman"/>
          <w:kern w:val="2"/>
          <w:lang w:eastAsia="en-US"/>
          <w14:ligatures w14:val="standardContextual"/>
        </w:rPr>
        <w:t xml:space="preserve"> </w:t>
      </w:r>
      <w:r w:rsidRPr="00307028">
        <w:rPr>
          <w:rFonts w:eastAsia="Times New Roman"/>
          <w:kern w:val="2"/>
          <w:lang w:eastAsia="en-US"/>
          <w14:ligatures w14:val="standardContextual"/>
        </w:rPr>
        <w:t xml:space="preserve">gadā. </w:t>
      </w:r>
    </w:p>
    <w:p w14:paraId="3F38E04A" w14:textId="77777777" w:rsidR="00EE3DBD" w:rsidRPr="00307028" w:rsidRDefault="00EE3DBD" w:rsidP="00070D5F">
      <w:pPr>
        <w:numPr>
          <w:ilvl w:val="0"/>
          <w:numId w:val="31"/>
        </w:numPr>
        <w:tabs>
          <w:tab w:val="left" w:pos="0"/>
        </w:tabs>
        <w:spacing w:after="120" w:line="259" w:lineRule="auto"/>
        <w:ind w:left="0" w:firstLine="720"/>
        <w:jc w:val="both"/>
        <w:rPr>
          <w:rFonts w:eastAsia="Times New Roman"/>
          <w:i/>
          <w:iCs/>
          <w:lang w:eastAsia="en-US"/>
        </w:rPr>
      </w:pPr>
      <w:r w:rsidRPr="00307028">
        <w:rPr>
          <w:rFonts w:eastAsia="Times New Roman"/>
          <w:i/>
          <w:iCs/>
          <w:lang w:eastAsia="en-US"/>
        </w:rPr>
        <w:t>Lauksaimniecības un pārtikas produktu noieta veicināšanai</w:t>
      </w:r>
    </w:p>
    <w:p w14:paraId="0401408B" w14:textId="207DF9A5" w:rsidR="00EE3DBD" w:rsidRPr="00307028" w:rsidRDefault="00EE3DBD" w:rsidP="00447EC2">
      <w:pPr>
        <w:spacing w:after="120" w:line="259" w:lineRule="auto"/>
        <w:ind w:firstLine="720"/>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Lai pildītu Valdības rīcības deklarācijā doto uzdevumu Nr. 198 “Veicināsim lauksaimniecības un mežsaimniecības produktu ražošanas vērtības pieaugumu un eksportu. Atbalstīsim stratēģiskos projektus augstas pievienotās vērtības produktu radīšanai lauksaimniecības, mežsaimniecības un zivsaimniecības sektoros”, ir nepieciešams papildu finansējums 1 000 000 </w:t>
      </w:r>
      <w:r w:rsidRPr="00307028">
        <w:rPr>
          <w:rFonts w:eastAsia="Times New Roman"/>
          <w:i/>
          <w:iCs/>
          <w:kern w:val="2"/>
          <w:lang w:eastAsia="en-US"/>
          <w14:ligatures w14:val="standardContextual"/>
        </w:rPr>
        <w:t>euro</w:t>
      </w:r>
      <w:r w:rsidR="004D13A2" w:rsidRPr="00307028">
        <w:rPr>
          <w:rFonts w:eastAsia="Times New Roman"/>
          <w:i/>
          <w:iCs/>
          <w:kern w:val="2"/>
          <w:lang w:eastAsia="en-US"/>
          <w14:ligatures w14:val="standardContextual"/>
        </w:rPr>
        <w:t xml:space="preserve"> </w:t>
      </w:r>
      <w:r w:rsidR="004D13A2" w:rsidRPr="00307028">
        <w:rPr>
          <w:rFonts w:eastAsia="Times New Roman"/>
          <w:kern w:val="2"/>
          <w:lang w:eastAsia="en-US"/>
          <w14:ligatures w14:val="standardContextual"/>
        </w:rPr>
        <w:t>apmērā</w:t>
      </w:r>
      <w:r w:rsidRPr="00307028">
        <w:rPr>
          <w:rFonts w:eastAsia="Times New Roman"/>
          <w:kern w:val="2"/>
          <w:lang w:eastAsia="en-US"/>
          <w14:ligatures w14:val="standardContextual"/>
        </w:rPr>
        <w:t>. Ekonomiskā situācija Latvijas eksportspējīgiem uzņēmējiem liek domāt par eksporta attīstību</w:t>
      </w:r>
      <w:r w:rsidR="004D13A2" w:rsidRPr="00307028">
        <w:rPr>
          <w:rFonts w:eastAsia="Times New Roman"/>
          <w:kern w:val="2"/>
          <w:lang w:eastAsia="en-US"/>
          <w14:ligatures w14:val="standardContextual"/>
        </w:rPr>
        <w:t xml:space="preserve"> un</w:t>
      </w:r>
      <w:r w:rsidRPr="00307028">
        <w:rPr>
          <w:rFonts w:eastAsia="Times New Roman"/>
          <w:kern w:val="2"/>
          <w:lang w:eastAsia="en-US"/>
          <w14:ligatures w14:val="standardContextual"/>
        </w:rPr>
        <w:t xml:space="preserve"> jaunu noieta tirgu meklējumiem. Plānotais papildu finansējums, lai īstenotu eksporta veicinošus pasākumus, nodrošinās pārtikas uzņēmumu dalību pārtikas produktu starptautiskajās izstādēs.</w:t>
      </w:r>
      <w:r w:rsidRPr="00307028">
        <w:rPr>
          <w:rFonts w:eastAsia="Times New Roman"/>
          <w:kern w:val="2"/>
          <w:highlight w:val="yellow"/>
          <w:lang w:eastAsia="en-US"/>
          <w14:ligatures w14:val="standardContextual"/>
        </w:rPr>
        <w:t xml:space="preserve">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3E3AFC31" w14:textId="77777777" w:rsidTr="001E7AA9">
        <w:trPr>
          <w:jc w:val="center"/>
        </w:trPr>
        <w:tc>
          <w:tcPr>
            <w:tcW w:w="709" w:type="dxa"/>
            <w:shd w:val="clear" w:color="auto" w:fill="B2D9EC"/>
            <w:vAlign w:val="center"/>
          </w:tcPr>
          <w:p w14:paraId="3F15B6D0" w14:textId="77777777" w:rsidR="00EE3DBD" w:rsidRPr="00307028" w:rsidRDefault="00EE3DBD" w:rsidP="00EE3DBD">
            <w:pPr>
              <w:jc w:val="center"/>
              <w:rPr>
                <w:rFonts w:eastAsia="Calibri"/>
                <w:szCs w:val="22"/>
                <w:lang w:eastAsia="en-US"/>
              </w:rPr>
            </w:pPr>
            <w:r w:rsidRPr="00307028">
              <w:rPr>
                <w:rFonts w:eastAsia="Calibri"/>
                <w:szCs w:val="22"/>
                <w:lang w:eastAsia="en-US"/>
              </w:rPr>
              <w:t>2024</w:t>
            </w:r>
          </w:p>
        </w:tc>
        <w:tc>
          <w:tcPr>
            <w:tcW w:w="1413" w:type="dxa"/>
            <w:vAlign w:val="center"/>
          </w:tcPr>
          <w:p w14:paraId="3F132ABF" w14:textId="77777777" w:rsidR="00EE3DBD" w:rsidRPr="00307028" w:rsidRDefault="00EE3DBD" w:rsidP="00EE3DBD">
            <w:pPr>
              <w:jc w:val="center"/>
              <w:rPr>
                <w:rFonts w:eastAsia="Times New Roman"/>
                <w:lang w:eastAsia="en-US"/>
              </w:rPr>
            </w:pPr>
            <w:r w:rsidRPr="00307028">
              <w:rPr>
                <w:rFonts w:eastAsia="Times New Roman"/>
                <w:lang w:eastAsia="en-US"/>
              </w:rPr>
              <w:t>46 918 370</w:t>
            </w:r>
          </w:p>
        </w:tc>
        <w:tc>
          <w:tcPr>
            <w:tcW w:w="696" w:type="dxa"/>
            <w:shd w:val="clear" w:color="auto" w:fill="B2D9EC"/>
            <w:vAlign w:val="center"/>
          </w:tcPr>
          <w:p w14:paraId="5D5BAB6A"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20CBED08" w14:textId="77777777" w:rsidR="00EE3DBD" w:rsidRPr="00307028" w:rsidRDefault="00EE3DBD" w:rsidP="00EE3DBD">
            <w:pPr>
              <w:jc w:val="center"/>
              <w:rPr>
                <w:rFonts w:eastAsia="Times New Roman"/>
                <w:lang w:eastAsia="en-US"/>
              </w:rPr>
            </w:pPr>
            <w:r w:rsidRPr="00307028">
              <w:rPr>
                <w:rFonts w:eastAsia="Times New Roman"/>
                <w:lang w:eastAsia="en-US"/>
              </w:rPr>
              <w:t>0</w:t>
            </w:r>
          </w:p>
        </w:tc>
        <w:tc>
          <w:tcPr>
            <w:tcW w:w="696" w:type="dxa"/>
            <w:shd w:val="clear" w:color="auto" w:fill="B2D9EC"/>
            <w:vAlign w:val="center"/>
          </w:tcPr>
          <w:p w14:paraId="4A51187C"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242518F4" w14:textId="77777777" w:rsidR="00EE3DBD" w:rsidRPr="00307028" w:rsidRDefault="00EE3DBD" w:rsidP="00EE3DBD">
            <w:pPr>
              <w:jc w:val="center"/>
              <w:rPr>
                <w:rFonts w:eastAsia="Calibri"/>
                <w:szCs w:val="22"/>
                <w:lang w:eastAsia="en-US"/>
              </w:rPr>
            </w:pPr>
            <w:r w:rsidRPr="00307028">
              <w:rPr>
                <w:rFonts w:eastAsia="Calibri"/>
                <w:szCs w:val="22"/>
                <w:lang w:eastAsia="en-US"/>
              </w:rPr>
              <w:t>0</w:t>
            </w:r>
          </w:p>
        </w:tc>
      </w:tr>
      <w:bookmarkEnd w:id="80"/>
      <w:bookmarkEnd w:id="81"/>
      <w:bookmarkEnd w:id="82"/>
    </w:tbl>
    <w:p w14:paraId="7E38EEB8" w14:textId="77777777" w:rsidR="007C204C" w:rsidRPr="00307028" w:rsidRDefault="007C204C" w:rsidP="001E7AA9">
      <w:pPr>
        <w:spacing w:after="120" w:line="259" w:lineRule="auto"/>
        <w:rPr>
          <w:rFonts w:eastAsiaTheme="minorHAnsi"/>
          <w:b/>
          <w:bCs/>
          <w:kern w:val="2"/>
          <w:lang w:eastAsia="en-US"/>
          <w14:ligatures w14:val="standardContextual"/>
        </w:rPr>
      </w:pPr>
    </w:p>
    <w:p w14:paraId="5CEF1051" w14:textId="69911754" w:rsidR="00EE3DBD" w:rsidRPr="00307028" w:rsidRDefault="00EE3DBD" w:rsidP="00EE3DBD">
      <w:pPr>
        <w:spacing w:after="120" w:line="259" w:lineRule="auto"/>
        <w:jc w:val="center"/>
        <w:rPr>
          <w:rFonts w:eastAsiaTheme="minorHAnsi"/>
          <w:b/>
          <w:bCs/>
          <w:kern w:val="2"/>
          <w:lang w:eastAsia="en-US"/>
          <w14:ligatures w14:val="standardContextual"/>
        </w:rPr>
      </w:pPr>
      <w:r w:rsidRPr="00307028">
        <w:rPr>
          <w:rFonts w:eastAsiaTheme="minorHAnsi"/>
          <w:b/>
          <w:bCs/>
          <w:kern w:val="2"/>
          <w:lang w:eastAsia="en-US"/>
          <w14:ligatures w14:val="standardContextual"/>
        </w:rPr>
        <w:t>Citi priekšlikumi</w:t>
      </w:r>
    </w:p>
    <w:p w14:paraId="5A51E88A" w14:textId="77777777" w:rsidR="00EE3DBD" w:rsidRPr="00307028" w:rsidRDefault="00EE3DBD" w:rsidP="00EE3DBD">
      <w:pPr>
        <w:spacing w:after="120" w:line="259" w:lineRule="auto"/>
        <w:jc w:val="both"/>
        <w:rPr>
          <w:rFonts w:eastAsiaTheme="minorHAnsi"/>
          <w:b/>
          <w:bCs/>
          <w:kern w:val="2"/>
          <w:lang w:eastAsia="en-US"/>
          <w14:ligatures w14:val="standardContextual"/>
        </w:rPr>
      </w:pPr>
      <w:r w:rsidRPr="00307028">
        <w:rPr>
          <w:rFonts w:eastAsiaTheme="minorHAnsi"/>
          <w:b/>
          <w:bCs/>
          <w:kern w:val="2"/>
          <w:lang w:eastAsia="en-US"/>
          <w14:ligatures w14:val="standardContextual"/>
        </w:rPr>
        <w:t>NEPLP sakaru infrastruktūras uzturēšanai</w:t>
      </w:r>
    </w:p>
    <w:p w14:paraId="1352CC4E" w14:textId="567F8306" w:rsidR="00EE3DBD" w:rsidRPr="00307028" w:rsidRDefault="00EE3DBD" w:rsidP="00447EC2">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Saskaņā ar Elektronisko plašsaziņas līdzekļu likuma 60. panta pirmās daļas 14</w:t>
      </w:r>
      <w:r w:rsidR="004D13A2" w:rsidRPr="00307028">
        <w:rPr>
          <w:rFonts w:eastAsiaTheme="minorHAnsi"/>
          <w:kern w:val="2"/>
          <w:vertAlign w:val="superscript"/>
          <w:lang w:eastAsia="en-US"/>
          <w14:ligatures w14:val="standardContextual"/>
        </w:rPr>
        <w:t>2</w:t>
      </w:r>
      <w:r w:rsidRPr="00307028">
        <w:rPr>
          <w:rFonts w:eastAsiaTheme="minorHAnsi"/>
          <w:kern w:val="2"/>
          <w:lang w:eastAsia="en-US"/>
          <w14:ligatures w14:val="standardContextual"/>
        </w:rPr>
        <w:t>. punktu NEPLP organizē galalietotājiem bez maksas zemes apraidē ciparformātā izplatāmo televīzijas programmu sarakstā iekļauto programmu izplatīšanu ar zemes raidītājiem, slēdzot līgumu ar LVRTC. Lai nodrošinātu bezmaksas zemes apraidē esošo sabiedrisko un komerciālo televīzijas programmu pieejamību visā Latvijā, it īpaši Krievijas un Baltkrievijas pierobežā, nepieciešams papildu finansējums, tādējādi stiprinot arī iekšējo valsts drošību un ārējo NATO robežu. 2019. gadā ar mērķi stiprināt Latvijas informatīvo telpu, nodrošinot stabilu televīzijas un radio programmu apraidi pierobežas iedzīvotājiem, kuriem tā bija pieejama nepietiekamā kvalitātē vai nebija pieejama vispār, tika izbūvēti 2 jauni apraides masti. Izbūvētie masti Viļakā un Skaistā nodrošina stabilu uztveramību bezmaksas virszemes apraidē esošajām televīzijas programmām, kā arī vairākām radio programmām. Projekta ietvaros tika uzbūvēti ne tikai jauni apraides masti, bet arī uzlabota esošās infrastruktūras kapacitāte, tādējādi nodrošinot labāku apraides kvalitāti ne tikai pierobežas reģionos. Tāpat investīciju rezultātā tika palielināt</w:t>
      </w:r>
      <w:r w:rsidR="00210054" w:rsidRPr="00307028">
        <w:rPr>
          <w:rFonts w:eastAsiaTheme="minorHAnsi"/>
          <w:kern w:val="2"/>
          <w:lang w:eastAsia="en-US"/>
          <w14:ligatures w14:val="standardContextual"/>
        </w:rPr>
        <w:t>a</w:t>
      </w:r>
      <w:r w:rsidRPr="00307028">
        <w:rPr>
          <w:rFonts w:eastAsiaTheme="minorHAnsi"/>
          <w:kern w:val="2"/>
          <w:lang w:eastAsia="en-US"/>
          <w14:ligatures w14:val="standardContextual"/>
        </w:rPr>
        <w:t xml:space="preserve"> bezmaksas tīkla kapacitāte, kas deva iespēju nodrošināt VSIA “Latvijas Televīzija” LTV1 un LTV7 programmu apraidi gan SD, gan arī HD kvalitātē. Lai LVRTC varētu arī turpmāk segt ikgadējās uzturēšanas izmaksas šo apraides mastu uzturēšanai, nepieciešamais finansējums 2024. </w:t>
      </w:r>
      <w:r w:rsidR="004D13A2" w:rsidRPr="00307028">
        <w:rPr>
          <w:rFonts w:eastAsiaTheme="minorHAnsi" w:cstheme="minorBidi"/>
          <w:kern w:val="2"/>
          <w:lang w:eastAsia="en-US"/>
          <w14:ligatures w14:val="standardContextual"/>
        </w:rPr>
        <w:t>–</w:t>
      </w:r>
      <w:r w:rsidRPr="00307028">
        <w:rPr>
          <w:rFonts w:eastAsiaTheme="minorHAnsi"/>
          <w:kern w:val="2"/>
          <w:lang w:eastAsia="en-US"/>
          <w14:ligatures w14:val="standardContextual"/>
        </w:rPr>
        <w:t> 2026.</w:t>
      </w:r>
      <w:r w:rsidR="004D13A2"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gadā 464 222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apmērā ik gadu tiks nodrošināts AiM piešķirto valsts budžeta līdzekļu ietvaros no valsts budžeta apakšprogrammas 22.12.00 “Nacionālo bruņoto spēku uzturēšana”, veicot valsts pamatbudžeta savstarpējā transferta pārskaitījumu SM finansējuma piešķiršanai LVRTC (budžeta apakšprogramma 04.01.00 “Ārkārtas situāciju valsts elektronisko sakaru tīkla darbības nodrošināšana”).</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EE3DBD" w:rsidRPr="00307028" w14:paraId="7D68FA99" w14:textId="77777777" w:rsidTr="001E7AA9">
        <w:trPr>
          <w:jc w:val="center"/>
        </w:trPr>
        <w:tc>
          <w:tcPr>
            <w:tcW w:w="709" w:type="dxa"/>
            <w:shd w:val="clear" w:color="auto" w:fill="B2D9EC"/>
            <w:vAlign w:val="center"/>
          </w:tcPr>
          <w:p w14:paraId="6A747B77" w14:textId="77777777" w:rsidR="00EE3DBD" w:rsidRPr="00307028" w:rsidRDefault="00EE3DBD" w:rsidP="00EE3DBD">
            <w:pPr>
              <w:jc w:val="center"/>
              <w:rPr>
                <w:rFonts w:eastAsia="Calibri"/>
                <w:szCs w:val="22"/>
                <w:lang w:eastAsia="en-US"/>
              </w:rPr>
            </w:pPr>
            <w:bookmarkStart w:id="85" w:name="_Hlk109832406"/>
            <w:r w:rsidRPr="00307028">
              <w:rPr>
                <w:rFonts w:eastAsia="Calibri"/>
                <w:szCs w:val="22"/>
                <w:lang w:eastAsia="en-US"/>
              </w:rPr>
              <w:t>2024</w:t>
            </w:r>
          </w:p>
        </w:tc>
        <w:tc>
          <w:tcPr>
            <w:tcW w:w="1413" w:type="dxa"/>
            <w:vAlign w:val="center"/>
          </w:tcPr>
          <w:p w14:paraId="11B167BD" w14:textId="77777777" w:rsidR="00EE3DBD" w:rsidRPr="00307028" w:rsidRDefault="00EE3DBD" w:rsidP="00EE3DBD">
            <w:pPr>
              <w:jc w:val="center"/>
              <w:rPr>
                <w:rFonts w:eastAsia="Calibri"/>
                <w:szCs w:val="22"/>
                <w:lang w:eastAsia="en-US"/>
              </w:rPr>
            </w:pPr>
            <w:r w:rsidRPr="00307028">
              <w:rPr>
                <w:rFonts w:eastAsia="Calibri"/>
                <w:szCs w:val="22"/>
                <w:lang w:eastAsia="en-US"/>
              </w:rPr>
              <w:t>464 222</w:t>
            </w:r>
          </w:p>
        </w:tc>
        <w:tc>
          <w:tcPr>
            <w:tcW w:w="696" w:type="dxa"/>
            <w:shd w:val="clear" w:color="auto" w:fill="B2D9EC"/>
            <w:vAlign w:val="center"/>
          </w:tcPr>
          <w:p w14:paraId="5DE57987" w14:textId="77777777" w:rsidR="00EE3DBD" w:rsidRPr="00307028" w:rsidRDefault="00EE3DBD" w:rsidP="00EE3DBD">
            <w:pPr>
              <w:jc w:val="center"/>
              <w:rPr>
                <w:rFonts w:eastAsia="Calibri"/>
                <w:szCs w:val="22"/>
                <w:lang w:eastAsia="en-US"/>
              </w:rPr>
            </w:pPr>
            <w:r w:rsidRPr="00307028">
              <w:rPr>
                <w:rFonts w:eastAsia="Calibri"/>
                <w:szCs w:val="22"/>
                <w:lang w:eastAsia="en-US"/>
              </w:rPr>
              <w:t>2025</w:t>
            </w:r>
          </w:p>
        </w:tc>
        <w:tc>
          <w:tcPr>
            <w:tcW w:w="1430" w:type="dxa"/>
            <w:vAlign w:val="center"/>
          </w:tcPr>
          <w:p w14:paraId="47740EE7" w14:textId="77777777" w:rsidR="00EE3DBD" w:rsidRPr="00307028" w:rsidRDefault="00EE3DBD" w:rsidP="00EE3DBD">
            <w:pPr>
              <w:jc w:val="center"/>
              <w:rPr>
                <w:rFonts w:eastAsia="Calibri"/>
                <w:szCs w:val="22"/>
                <w:lang w:eastAsia="en-US"/>
              </w:rPr>
            </w:pPr>
            <w:r w:rsidRPr="00307028">
              <w:rPr>
                <w:rFonts w:eastAsia="Calibri"/>
                <w:szCs w:val="22"/>
                <w:lang w:eastAsia="en-US"/>
              </w:rPr>
              <w:t>464 222</w:t>
            </w:r>
          </w:p>
        </w:tc>
        <w:tc>
          <w:tcPr>
            <w:tcW w:w="696" w:type="dxa"/>
            <w:shd w:val="clear" w:color="auto" w:fill="B2D9EC"/>
            <w:vAlign w:val="center"/>
          </w:tcPr>
          <w:p w14:paraId="4A6C8C1C" w14:textId="77777777" w:rsidR="00EE3DBD" w:rsidRPr="00307028" w:rsidRDefault="00EE3DBD" w:rsidP="00EE3DBD">
            <w:pPr>
              <w:jc w:val="center"/>
              <w:rPr>
                <w:rFonts w:eastAsia="Calibri"/>
                <w:szCs w:val="22"/>
                <w:lang w:eastAsia="en-US"/>
              </w:rPr>
            </w:pPr>
            <w:r w:rsidRPr="00307028">
              <w:rPr>
                <w:rFonts w:eastAsia="Calibri"/>
                <w:szCs w:val="22"/>
                <w:lang w:eastAsia="en-US"/>
              </w:rPr>
              <w:t>2026</w:t>
            </w:r>
          </w:p>
        </w:tc>
        <w:tc>
          <w:tcPr>
            <w:tcW w:w="1430" w:type="dxa"/>
            <w:vAlign w:val="center"/>
          </w:tcPr>
          <w:p w14:paraId="4147DFFE" w14:textId="29AC1442" w:rsidR="00EE3DBD" w:rsidRPr="00307028" w:rsidRDefault="005157BD" w:rsidP="00070D5F">
            <w:pPr>
              <w:pStyle w:val="ListParagraph"/>
              <w:numPr>
                <w:ilvl w:val="0"/>
                <w:numId w:val="46"/>
              </w:numPr>
              <w:ind w:left="333"/>
              <w:jc w:val="center"/>
              <w:rPr>
                <w:rFonts w:eastAsia="Calibri"/>
                <w:szCs w:val="22"/>
                <w:lang w:eastAsia="en-US"/>
              </w:rPr>
            </w:pPr>
            <w:r w:rsidRPr="00307028">
              <w:rPr>
                <w:rFonts w:eastAsia="Calibri"/>
                <w:szCs w:val="22"/>
                <w:lang w:eastAsia="en-US"/>
              </w:rPr>
              <w:t xml:space="preserve"> </w:t>
            </w:r>
            <w:r w:rsidR="00EE3DBD" w:rsidRPr="00307028">
              <w:rPr>
                <w:rFonts w:eastAsia="Calibri"/>
                <w:szCs w:val="22"/>
                <w:lang w:eastAsia="en-US"/>
              </w:rPr>
              <w:t>2</w:t>
            </w:r>
            <w:r w:rsidRPr="00307028">
              <w:rPr>
                <w:rFonts w:eastAsia="Calibri"/>
                <w:szCs w:val="22"/>
                <w:lang w:eastAsia="en-US"/>
              </w:rPr>
              <w:t>22</w:t>
            </w:r>
          </w:p>
        </w:tc>
      </w:tr>
      <w:bookmarkEnd w:id="85"/>
    </w:tbl>
    <w:p w14:paraId="7827FC68" w14:textId="77777777" w:rsidR="00A304E3" w:rsidRPr="00307028" w:rsidRDefault="00A304E3" w:rsidP="00A304E3"/>
    <w:p w14:paraId="55AE1380" w14:textId="5AFB5CE7" w:rsidR="00153CC3" w:rsidRPr="00307028" w:rsidRDefault="00BD4734" w:rsidP="00BD4734">
      <w:pPr>
        <w:pStyle w:val="Heading3"/>
        <w:ind w:left="0"/>
      </w:pPr>
      <w:bookmarkStart w:id="86" w:name="_Toc142492926"/>
      <w:r w:rsidRPr="00307028">
        <w:t xml:space="preserve">2.2. </w:t>
      </w:r>
      <w:r w:rsidR="00BD3847" w:rsidRPr="00307028">
        <w:t>P</w:t>
      </w:r>
      <w:r w:rsidR="00153CC3" w:rsidRPr="00307028">
        <w:t xml:space="preserve">iešķirtā finansējuma </w:t>
      </w:r>
      <w:r w:rsidR="00BD3847" w:rsidRPr="00307028">
        <w:t>prioritārajiem pasākumiem</w:t>
      </w:r>
      <w:r w:rsidR="00153CC3" w:rsidRPr="00307028">
        <w:t xml:space="preserve"> pārskatīšana</w:t>
      </w:r>
      <w:bookmarkEnd w:id="57"/>
      <w:bookmarkEnd w:id="86"/>
    </w:p>
    <w:p w14:paraId="648B383B" w14:textId="77777777" w:rsidR="00CD647B" w:rsidRPr="00307028" w:rsidRDefault="00CD647B" w:rsidP="00CD647B">
      <w:pPr>
        <w:spacing w:after="120" w:line="259" w:lineRule="auto"/>
        <w:ind w:firstLine="720"/>
        <w:jc w:val="both"/>
        <w:rPr>
          <w:rFonts w:eastAsia="Calibri"/>
          <w:szCs w:val="22"/>
          <w:lang w:eastAsia="en-US"/>
        </w:rPr>
      </w:pPr>
      <w:r w:rsidRPr="00307028">
        <w:rPr>
          <w:rFonts w:eastAsia="Calibri"/>
          <w:szCs w:val="22"/>
          <w:lang w:eastAsia="en-US"/>
        </w:rPr>
        <w:t xml:space="preserve">Lai rastu papildu līdzekļus aktuālu PP finansēšanai 2024., 2025. un 2026. gadam, veikta iepriekš piešķirtā finansējuma PP pārskatīšana. Izvērtējums tika veikts PP, kuriem finansējums piešķirts 2022. – 2024. gadam. Vērtēšanai netika pakļauti 2022. – 2024. gada PP, kuriem finansējums piešķirts tikai 2022. gadam vai 2022. un 2023. gadam. Izdevumu pārskatīšanai </w:t>
      </w:r>
      <w:r w:rsidRPr="00307028">
        <w:rPr>
          <w:rFonts w:eastAsia="Calibri"/>
          <w:szCs w:val="22"/>
          <w:lang w:eastAsia="en-US"/>
        </w:rPr>
        <w:lastRenderedPageBreak/>
        <w:t>netika pakļauts ietvars 2023. – 2025. gadam, jo pieņemtie lēmumi attiecībā uz PP ir aktuāli</w:t>
      </w:r>
      <w:r w:rsidRPr="00307028">
        <w:rPr>
          <w:rFonts w:eastAsia="Calibri"/>
          <w:strike/>
          <w:szCs w:val="22"/>
          <w:lang w:eastAsia="en-US"/>
        </w:rPr>
        <w:t xml:space="preserve"> </w:t>
      </w:r>
      <w:r w:rsidRPr="00307028">
        <w:rPr>
          <w:rFonts w:eastAsia="Calibri"/>
          <w:szCs w:val="22"/>
          <w:lang w:eastAsia="en-US"/>
        </w:rPr>
        <w:t xml:space="preserve">(skatīt attēlu Nr. 2.2.1.). </w:t>
      </w:r>
    </w:p>
    <w:p w14:paraId="4BF91962" w14:textId="77777777" w:rsidR="00CD647B" w:rsidRPr="00307028" w:rsidRDefault="00CD647B" w:rsidP="00CD647B">
      <w:pPr>
        <w:spacing w:after="120" w:line="259" w:lineRule="auto"/>
        <w:ind w:firstLine="720"/>
        <w:jc w:val="both"/>
        <w:rPr>
          <w:rFonts w:eastAsia="Calibri"/>
          <w:szCs w:val="22"/>
          <w:lang w:eastAsia="en-US"/>
        </w:rPr>
      </w:pPr>
      <w:r w:rsidRPr="00307028">
        <w:rPr>
          <w:rFonts w:eastAsia="Calibri"/>
          <w:szCs w:val="22"/>
          <w:lang w:eastAsia="en-US"/>
        </w:rPr>
        <w:t xml:space="preserve">Lai veiktu PP horizontālu pārskatīšanu, tika vērtētas šādas PP komponentes: </w:t>
      </w:r>
    </w:p>
    <w:p w14:paraId="2E4F984C" w14:textId="77777777" w:rsidR="00CD647B" w:rsidRPr="00307028" w:rsidRDefault="00CD647B" w:rsidP="00070D5F">
      <w:pPr>
        <w:numPr>
          <w:ilvl w:val="0"/>
          <w:numId w:val="40"/>
        </w:numPr>
        <w:spacing w:after="120" w:line="259" w:lineRule="auto"/>
        <w:ind w:left="0" w:firstLine="1134"/>
        <w:jc w:val="both"/>
        <w:rPr>
          <w:rFonts w:eastAsia="Calibri"/>
          <w:szCs w:val="22"/>
          <w:lang w:eastAsia="en-US"/>
        </w:rPr>
      </w:pPr>
      <w:r w:rsidRPr="00307028">
        <w:rPr>
          <w:rFonts w:eastAsia="Calibri"/>
          <w:szCs w:val="22"/>
          <w:lang w:eastAsia="en-US"/>
        </w:rPr>
        <w:t>elastība (piešķirtā finansējuma pārdale);</w:t>
      </w:r>
    </w:p>
    <w:p w14:paraId="3E927154" w14:textId="77777777" w:rsidR="00CD647B" w:rsidRPr="00307028" w:rsidRDefault="00CD647B" w:rsidP="00070D5F">
      <w:pPr>
        <w:numPr>
          <w:ilvl w:val="0"/>
          <w:numId w:val="40"/>
        </w:numPr>
        <w:spacing w:after="120" w:line="259" w:lineRule="auto"/>
        <w:ind w:left="0" w:firstLine="1134"/>
        <w:jc w:val="both"/>
        <w:rPr>
          <w:rFonts w:eastAsia="Calibri"/>
          <w:szCs w:val="22"/>
          <w:lang w:eastAsia="en-US"/>
        </w:rPr>
      </w:pPr>
      <w:r w:rsidRPr="00307028">
        <w:rPr>
          <w:rFonts w:eastAsia="Calibri"/>
          <w:szCs w:val="22"/>
          <w:lang w:eastAsia="en-US"/>
        </w:rPr>
        <w:t>efektivitāte (izdevumu un rezultatīvo rādītāju izpilde);</w:t>
      </w:r>
    </w:p>
    <w:p w14:paraId="13127591" w14:textId="77777777" w:rsidR="00CD647B" w:rsidRPr="00307028" w:rsidRDefault="00CD647B" w:rsidP="00070D5F">
      <w:pPr>
        <w:numPr>
          <w:ilvl w:val="0"/>
          <w:numId w:val="40"/>
        </w:numPr>
        <w:spacing w:after="120" w:line="259" w:lineRule="auto"/>
        <w:ind w:left="0" w:firstLine="1134"/>
        <w:jc w:val="both"/>
        <w:rPr>
          <w:rFonts w:eastAsia="Calibri"/>
          <w:szCs w:val="22"/>
          <w:lang w:eastAsia="en-US"/>
        </w:rPr>
      </w:pPr>
      <w:r w:rsidRPr="00307028">
        <w:rPr>
          <w:rFonts w:eastAsia="Calibri"/>
          <w:szCs w:val="22"/>
          <w:lang w:eastAsia="en-US"/>
        </w:rPr>
        <w:t>PP aktualitāte;</w:t>
      </w:r>
    </w:p>
    <w:p w14:paraId="4634EB2E" w14:textId="498CB059" w:rsidR="00CD647B" w:rsidRPr="00307028" w:rsidRDefault="00CD647B" w:rsidP="00070D5F">
      <w:pPr>
        <w:numPr>
          <w:ilvl w:val="0"/>
          <w:numId w:val="40"/>
        </w:numPr>
        <w:spacing w:after="120" w:line="259" w:lineRule="auto"/>
        <w:ind w:left="0" w:firstLine="1134"/>
        <w:jc w:val="both"/>
        <w:rPr>
          <w:rFonts w:eastAsia="Calibri"/>
          <w:szCs w:val="22"/>
          <w:lang w:eastAsia="en-US"/>
        </w:rPr>
      </w:pPr>
      <w:r w:rsidRPr="00307028">
        <w:rPr>
          <w:rFonts w:eastAsia="Calibri"/>
          <w:szCs w:val="22"/>
          <w:lang w:eastAsia="en-US"/>
        </w:rPr>
        <w:t>sabiedrības intereses (vai PP iespējams turpināt par mazāku finansējumu)</w:t>
      </w:r>
      <w:r w:rsidR="00F240E3" w:rsidRPr="00307028">
        <w:rPr>
          <w:rFonts w:eastAsia="Calibri"/>
          <w:szCs w:val="22"/>
          <w:lang w:eastAsia="en-US"/>
        </w:rPr>
        <w:t>;</w:t>
      </w:r>
      <w:r w:rsidRPr="00307028">
        <w:rPr>
          <w:rFonts w:eastAsia="Calibri"/>
          <w:szCs w:val="22"/>
          <w:lang w:eastAsia="en-US"/>
        </w:rPr>
        <w:t xml:space="preserve"> </w:t>
      </w:r>
    </w:p>
    <w:p w14:paraId="772F23B1" w14:textId="77777777" w:rsidR="00CD647B" w:rsidRPr="00307028" w:rsidRDefault="00CD647B" w:rsidP="00070D5F">
      <w:pPr>
        <w:numPr>
          <w:ilvl w:val="0"/>
          <w:numId w:val="40"/>
        </w:numPr>
        <w:spacing w:after="120" w:line="259" w:lineRule="auto"/>
        <w:ind w:left="0" w:firstLine="1134"/>
        <w:jc w:val="both"/>
        <w:rPr>
          <w:rFonts w:eastAsia="Calibri"/>
          <w:szCs w:val="22"/>
          <w:lang w:eastAsia="en-US"/>
        </w:rPr>
      </w:pPr>
      <w:r w:rsidRPr="00307028">
        <w:rPr>
          <w:rFonts w:eastAsia="Calibri"/>
          <w:szCs w:val="22"/>
          <w:lang w:eastAsia="en-US"/>
        </w:rPr>
        <w:t>valdības loma (vai ir iekļauts Valdības rīcības plānā).</w:t>
      </w:r>
    </w:p>
    <w:p w14:paraId="6679314A" w14:textId="77777777" w:rsidR="00CD647B" w:rsidRPr="00307028" w:rsidRDefault="00CD647B" w:rsidP="00CD647B">
      <w:pPr>
        <w:spacing w:before="120" w:after="120" w:line="259" w:lineRule="auto"/>
        <w:ind w:firstLine="720"/>
        <w:jc w:val="both"/>
        <w:rPr>
          <w:rFonts w:eastAsia="Calibri"/>
          <w:szCs w:val="22"/>
          <w:lang w:eastAsia="en-US"/>
        </w:rPr>
      </w:pPr>
      <w:r w:rsidRPr="00307028">
        <w:rPr>
          <w:rFonts w:eastAsia="Calibri"/>
          <w:szCs w:val="22"/>
          <w:lang w:eastAsia="en-US"/>
        </w:rPr>
        <w:t>PP piešķirtais finansējums tiek vērtēts divās daļās. Sākotnējo izvērtējumu veica FM, novērtējot PP elastību un efektivitāti, savukārt resori vērtēja PP aktualitāti, sabiedrības intereses un valdības lomu.</w:t>
      </w:r>
    </w:p>
    <w:p w14:paraId="53F4DA1E" w14:textId="38549BD0" w:rsidR="007A7EFC" w:rsidRPr="00800997" w:rsidRDefault="00CD647B" w:rsidP="008E73FF">
      <w:pPr>
        <w:spacing w:before="120" w:after="120" w:line="259" w:lineRule="auto"/>
        <w:ind w:firstLine="720"/>
        <w:jc w:val="both"/>
        <w:rPr>
          <w:rFonts w:eastAsia="Calibri"/>
          <w:szCs w:val="22"/>
          <w:lang w:eastAsia="en-US"/>
        </w:rPr>
      </w:pPr>
      <w:r w:rsidRPr="00307028">
        <w:rPr>
          <w:rFonts w:eastAsia="Calibri"/>
          <w:szCs w:val="22"/>
          <w:lang w:eastAsia="en-US"/>
        </w:rPr>
        <w:t>Vienlaikus izdevumu pārskatīšanai tika pakļauti arī 2020. – 2022. gada un 2021. – 2023. gada ietvaru PP, kuriem izdevumu plāna 2022. gadam izpildes līmenis ir zemāks par 95%. Kopā tika pārskatīti 167 PP, no tiem identificēti 17 PP, kuriem iespējama resursu pārdale aktuālākām resora prioritātēm.</w:t>
      </w:r>
    </w:p>
    <w:p w14:paraId="7ED7A7FA" w14:textId="16D5CC73" w:rsidR="00CD647B" w:rsidRPr="00307028" w:rsidRDefault="00CD647B" w:rsidP="00CD647B">
      <w:pPr>
        <w:spacing w:before="120" w:after="120"/>
        <w:jc w:val="center"/>
        <w:rPr>
          <w:rFonts w:eastAsia="Calibri"/>
          <w:b/>
          <w:sz w:val="22"/>
          <w:szCs w:val="22"/>
          <w:lang w:eastAsia="en-US"/>
        </w:rPr>
      </w:pPr>
      <w:r w:rsidRPr="00307028">
        <w:rPr>
          <w:rFonts w:eastAsia="Calibri"/>
          <w:b/>
          <w:bCs/>
          <w:i/>
          <w:iCs/>
          <w:sz w:val="22"/>
          <w:szCs w:val="22"/>
          <w:lang w:eastAsia="en-US"/>
        </w:rPr>
        <w:t>2.2.1. attēls</w:t>
      </w:r>
      <w:r w:rsidRPr="00307028">
        <w:rPr>
          <w:rFonts w:eastAsia="Calibri"/>
          <w:sz w:val="22"/>
          <w:szCs w:val="22"/>
          <w:lang w:eastAsia="en-US"/>
        </w:rPr>
        <w:t xml:space="preserve"> </w:t>
      </w:r>
      <w:r w:rsidRPr="00307028">
        <w:rPr>
          <w:rFonts w:eastAsia="Calibri"/>
          <w:b/>
          <w:sz w:val="22"/>
          <w:szCs w:val="22"/>
          <w:lang w:eastAsia="en-US"/>
        </w:rPr>
        <w:t>Līdzšinēji piešķirtā finansējuma prioritārajiem pasākumiem pārskatīšanas pārklājums</w:t>
      </w:r>
    </w:p>
    <w:p w14:paraId="32542612" w14:textId="77777777" w:rsidR="00CD647B" w:rsidRPr="00307028" w:rsidRDefault="00CD647B" w:rsidP="00CD647B">
      <w:pPr>
        <w:spacing w:before="240" w:after="120"/>
        <w:jc w:val="both"/>
        <w:rPr>
          <w:rFonts w:eastAsia="Calibri"/>
          <w:b/>
          <w:sz w:val="22"/>
          <w:szCs w:val="22"/>
          <w:lang w:eastAsia="en-US"/>
        </w:rPr>
      </w:pPr>
      <w:r w:rsidRPr="00307028">
        <w:rPr>
          <w:rFonts w:eastAsia="Calibri"/>
          <w:b/>
          <w:noProof/>
          <w:sz w:val="22"/>
          <w:szCs w:val="22"/>
          <w:lang w:eastAsia="en-US"/>
        </w:rPr>
        <w:drawing>
          <wp:inline distT="0" distB="0" distL="0" distR="0" wp14:anchorId="705FC7B6" wp14:editId="257D91BC">
            <wp:extent cx="5797192" cy="3126105"/>
            <wp:effectExtent l="0" t="0" r="0" b="0"/>
            <wp:docPr id="1241827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36" r="1743"/>
                    <a:stretch/>
                  </pic:blipFill>
                  <pic:spPr bwMode="auto">
                    <a:xfrm>
                      <a:off x="0" y="0"/>
                      <a:ext cx="5835753" cy="3146899"/>
                    </a:xfrm>
                    <a:prstGeom prst="rect">
                      <a:avLst/>
                    </a:prstGeom>
                    <a:noFill/>
                    <a:ln>
                      <a:noFill/>
                    </a:ln>
                    <a:extLst>
                      <a:ext uri="{53640926-AAD7-44D8-BBD7-CCE9431645EC}">
                        <a14:shadowObscured xmlns:a14="http://schemas.microsoft.com/office/drawing/2010/main"/>
                      </a:ext>
                    </a:extLst>
                  </pic:spPr>
                </pic:pic>
              </a:graphicData>
            </a:graphic>
          </wp:inline>
        </w:drawing>
      </w:r>
    </w:p>
    <w:p w14:paraId="61454AF1" w14:textId="0015256D" w:rsidR="00CD647B" w:rsidRPr="00307028" w:rsidRDefault="00CD647B" w:rsidP="00CD647B">
      <w:pPr>
        <w:spacing w:after="120" w:line="259" w:lineRule="auto"/>
        <w:ind w:firstLine="720"/>
        <w:jc w:val="both"/>
        <w:rPr>
          <w:rFonts w:eastAsia="Calibri"/>
          <w:szCs w:val="22"/>
          <w:lang w:eastAsia="en-US"/>
        </w:rPr>
      </w:pPr>
      <w:r w:rsidRPr="00307028">
        <w:rPr>
          <w:rFonts w:eastAsia="Calibri"/>
          <w:szCs w:val="22"/>
          <w:lang w:eastAsia="en-US"/>
        </w:rPr>
        <w:t xml:space="preserve">PP pārskatīšanas rezultātā potenciālais iekšējais resurss veido </w:t>
      </w:r>
      <w:r w:rsidRPr="00307028">
        <w:rPr>
          <w:rFonts w:eastAsia="Calibri"/>
          <w:b/>
          <w:bCs/>
          <w:szCs w:val="22"/>
          <w:lang w:eastAsia="en-US"/>
        </w:rPr>
        <w:t>2024.</w:t>
      </w:r>
      <w:r w:rsidR="008E73FF">
        <w:rPr>
          <w:rFonts w:eastAsia="Calibri"/>
          <w:b/>
          <w:bCs/>
          <w:szCs w:val="22"/>
          <w:lang w:eastAsia="en-US"/>
        </w:rPr>
        <w:t> </w:t>
      </w:r>
      <w:r w:rsidRPr="00307028">
        <w:rPr>
          <w:rFonts w:eastAsia="Calibri"/>
          <w:b/>
          <w:bCs/>
          <w:szCs w:val="22"/>
          <w:lang w:eastAsia="en-US"/>
        </w:rPr>
        <w:t>gadam 10</w:t>
      </w:r>
      <w:r w:rsidR="008E73FF">
        <w:rPr>
          <w:rFonts w:eastAsia="Calibri"/>
          <w:b/>
          <w:bCs/>
          <w:szCs w:val="22"/>
          <w:lang w:eastAsia="en-US"/>
        </w:rPr>
        <w:t> </w:t>
      </w:r>
      <w:r w:rsidR="00F033DC" w:rsidRPr="00307028">
        <w:rPr>
          <w:rFonts w:eastAsia="Calibri"/>
          <w:b/>
          <w:bCs/>
          <w:szCs w:val="22"/>
          <w:lang w:eastAsia="en-US"/>
        </w:rPr>
        <w:t>342</w:t>
      </w:r>
      <w:r w:rsidR="008E73FF">
        <w:rPr>
          <w:rFonts w:eastAsia="Calibri"/>
          <w:b/>
          <w:bCs/>
          <w:szCs w:val="22"/>
          <w:lang w:eastAsia="en-US"/>
        </w:rPr>
        <w:t> </w:t>
      </w:r>
      <w:r w:rsidR="00F033DC" w:rsidRPr="00307028">
        <w:rPr>
          <w:rFonts w:eastAsia="Calibri"/>
          <w:b/>
          <w:bCs/>
          <w:szCs w:val="22"/>
          <w:lang w:eastAsia="en-US"/>
        </w:rPr>
        <w:t>839</w:t>
      </w:r>
      <w:r w:rsidR="008E73FF">
        <w:rPr>
          <w:rFonts w:eastAsia="Calibri"/>
          <w:b/>
          <w:bCs/>
          <w:szCs w:val="22"/>
          <w:lang w:eastAsia="en-US"/>
        </w:rPr>
        <w:t> </w:t>
      </w:r>
      <w:r w:rsidRPr="00307028">
        <w:rPr>
          <w:rFonts w:eastAsia="Calibri"/>
          <w:b/>
          <w:bCs/>
          <w:i/>
          <w:iCs/>
          <w:szCs w:val="22"/>
          <w:lang w:eastAsia="en-US"/>
        </w:rPr>
        <w:t>euro</w:t>
      </w:r>
      <w:r w:rsidRPr="00307028">
        <w:rPr>
          <w:rFonts w:eastAsia="Calibri"/>
          <w:szCs w:val="22"/>
          <w:lang w:eastAsia="en-US"/>
        </w:rPr>
        <w:t xml:space="preserve">, </w:t>
      </w:r>
      <w:r w:rsidRPr="00307028">
        <w:rPr>
          <w:rFonts w:eastAsia="Calibri"/>
          <w:b/>
          <w:bCs/>
          <w:szCs w:val="22"/>
          <w:lang w:eastAsia="en-US"/>
        </w:rPr>
        <w:t>2025. un 2026. gadam</w:t>
      </w:r>
      <w:r w:rsidRPr="00307028">
        <w:rPr>
          <w:rFonts w:eastAsia="Calibri"/>
          <w:szCs w:val="22"/>
          <w:lang w:eastAsia="en-US"/>
        </w:rPr>
        <w:t xml:space="preserve"> </w:t>
      </w:r>
      <w:r w:rsidRPr="00307028">
        <w:rPr>
          <w:rFonts w:eastAsia="Calibri"/>
          <w:b/>
          <w:bCs/>
          <w:szCs w:val="22"/>
          <w:lang w:eastAsia="en-US"/>
        </w:rPr>
        <w:t xml:space="preserve">10 </w:t>
      </w:r>
      <w:r w:rsidR="00F033DC" w:rsidRPr="00307028">
        <w:rPr>
          <w:rFonts w:eastAsia="Calibri"/>
          <w:b/>
          <w:bCs/>
          <w:szCs w:val="22"/>
          <w:lang w:eastAsia="en-US"/>
        </w:rPr>
        <w:t xml:space="preserve">108 469 </w:t>
      </w:r>
      <w:r w:rsidRPr="00307028">
        <w:rPr>
          <w:rFonts w:eastAsia="Calibri"/>
          <w:b/>
          <w:i/>
          <w:szCs w:val="22"/>
          <w:lang w:eastAsia="en-US"/>
        </w:rPr>
        <w:t>euro</w:t>
      </w:r>
      <w:r w:rsidRPr="00307028">
        <w:rPr>
          <w:rFonts w:eastAsia="Calibri"/>
          <w:szCs w:val="22"/>
          <w:lang w:eastAsia="en-US"/>
        </w:rPr>
        <w:t xml:space="preserve"> ik gadu (skatīt tabulu Nr. 2.2.1.).</w:t>
      </w:r>
    </w:p>
    <w:p w14:paraId="3A58E78D" w14:textId="77777777" w:rsidR="00CD647B" w:rsidRPr="00307028" w:rsidRDefault="00CD647B" w:rsidP="00CD647B">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2.2.1. tabula</w:t>
      </w:r>
      <w:r w:rsidRPr="00307028">
        <w:rPr>
          <w:rFonts w:eastAsia="Times New Roman"/>
          <w:b/>
          <w:bCs/>
          <w:sz w:val="22"/>
          <w:szCs w:val="22"/>
          <w:lang w:eastAsia="en-US"/>
        </w:rPr>
        <w:t xml:space="preserve"> PP pārskatīšanas rezultāti sadalījumā pa resoriem, </w:t>
      </w:r>
      <w:r w:rsidRPr="00307028">
        <w:rPr>
          <w:rFonts w:eastAsia="Times New Roman"/>
          <w:b/>
          <w:bCs/>
          <w:i/>
          <w:sz w:val="22"/>
          <w:szCs w:val="22"/>
          <w:lang w:eastAsia="en-US"/>
        </w:rPr>
        <w:t>euro</w:t>
      </w:r>
    </w:p>
    <w:tbl>
      <w:tblPr>
        <w:tblStyle w:val="GridTable4-Accent11"/>
        <w:tblW w:w="0" w:type="auto"/>
        <w:jc w:val="center"/>
        <w:tblLook w:val="04A0" w:firstRow="1" w:lastRow="0" w:firstColumn="1" w:lastColumn="0" w:noHBand="0" w:noVBand="1"/>
      </w:tblPr>
      <w:tblGrid>
        <w:gridCol w:w="1136"/>
        <w:gridCol w:w="1417"/>
        <w:gridCol w:w="1701"/>
        <w:gridCol w:w="1418"/>
      </w:tblGrid>
      <w:tr w:rsidR="00CD647B" w:rsidRPr="00307028" w14:paraId="1746DFAF" w14:textId="77777777" w:rsidTr="008E73FF">
        <w:trPr>
          <w:cnfStyle w:val="100000000000" w:firstRow="1" w:lastRow="0" w:firstColumn="0" w:lastColumn="0" w:oddVBand="0" w:evenVBand="0" w:oddHBand="0" w:evenHBand="0" w:firstRowFirstColumn="0" w:firstRowLastColumn="0" w:lastRowFirstColumn="0" w:lastRowLastColumn="0"/>
          <w:trHeight w:val="325"/>
          <w:tblHeader/>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85C2E0"/>
          </w:tcPr>
          <w:p w14:paraId="7FB7EA8E" w14:textId="77777777" w:rsidR="00CD647B" w:rsidRPr="00307028" w:rsidRDefault="00CD647B" w:rsidP="00CD647B">
            <w:pPr>
              <w:spacing w:line="259" w:lineRule="auto"/>
              <w:jc w:val="both"/>
              <w:rPr>
                <w:rFonts w:eastAsia="Calibri"/>
                <w:szCs w:val="22"/>
                <w:lang w:eastAsia="en-US"/>
              </w:rPr>
            </w:pPr>
          </w:p>
        </w:tc>
        <w:tc>
          <w:tcPr>
            <w:tcW w:w="1417" w:type="dxa"/>
            <w:shd w:val="clear" w:color="auto" w:fill="85C2E0"/>
          </w:tcPr>
          <w:p w14:paraId="4DAE3DB9" w14:textId="77777777" w:rsidR="00CD647B" w:rsidRPr="00307028" w:rsidRDefault="00CD647B" w:rsidP="00CD647B">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olor w:val="000000" w:themeColor="text1"/>
                <w:szCs w:val="22"/>
                <w:lang w:eastAsia="en-US"/>
              </w:rPr>
            </w:pPr>
            <w:r w:rsidRPr="00307028">
              <w:rPr>
                <w:rFonts w:eastAsia="Calibri"/>
                <w:color w:val="000000" w:themeColor="text1"/>
                <w:szCs w:val="22"/>
                <w:lang w:eastAsia="en-US"/>
              </w:rPr>
              <w:t>2024</w:t>
            </w:r>
          </w:p>
        </w:tc>
        <w:tc>
          <w:tcPr>
            <w:tcW w:w="1701" w:type="dxa"/>
            <w:shd w:val="clear" w:color="auto" w:fill="85C2E0"/>
          </w:tcPr>
          <w:p w14:paraId="3082D107" w14:textId="77777777" w:rsidR="00CD647B" w:rsidRPr="00307028" w:rsidRDefault="00CD647B" w:rsidP="00CD647B">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olor w:val="000000" w:themeColor="text1"/>
                <w:szCs w:val="22"/>
                <w:lang w:eastAsia="en-US"/>
              </w:rPr>
            </w:pPr>
            <w:r w:rsidRPr="00307028">
              <w:rPr>
                <w:rFonts w:eastAsia="Calibri"/>
                <w:color w:val="000000" w:themeColor="text1"/>
                <w:szCs w:val="22"/>
                <w:lang w:eastAsia="en-US"/>
              </w:rPr>
              <w:t>2025</w:t>
            </w:r>
          </w:p>
        </w:tc>
        <w:tc>
          <w:tcPr>
            <w:tcW w:w="1418" w:type="dxa"/>
            <w:shd w:val="clear" w:color="auto" w:fill="85C2E0"/>
          </w:tcPr>
          <w:p w14:paraId="2599C5D2" w14:textId="77777777" w:rsidR="00CD647B" w:rsidRPr="00307028" w:rsidRDefault="00CD647B" w:rsidP="00CD647B">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olor w:val="000000" w:themeColor="text1"/>
                <w:szCs w:val="22"/>
                <w:lang w:eastAsia="en-US"/>
              </w:rPr>
            </w:pPr>
            <w:r w:rsidRPr="00307028">
              <w:rPr>
                <w:rFonts w:eastAsia="Calibri"/>
                <w:color w:val="000000" w:themeColor="text1"/>
                <w:szCs w:val="22"/>
                <w:lang w:eastAsia="en-US"/>
              </w:rPr>
              <w:t>2026</w:t>
            </w:r>
          </w:p>
        </w:tc>
      </w:tr>
      <w:tr w:rsidR="00CD647B" w:rsidRPr="00307028" w14:paraId="37D670DC" w14:textId="77777777" w:rsidTr="001E7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B2D9EC"/>
          </w:tcPr>
          <w:p w14:paraId="1500009D" w14:textId="77777777" w:rsidR="00CD647B" w:rsidRPr="00307028" w:rsidRDefault="00CD647B" w:rsidP="00CD647B">
            <w:pPr>
              <w:spacing w:line="259" w:lineRule="auto"/>
              <w:jc w:val="both"/>
              <w:rPr>
                <w:rFonts w:eastAsia="Calibri"/>
                <w:szCs w:val="22"/>
                <w:lang w:eastAsia="en-US"/>
              </w:rPr>
            </w:pPr>
            <w:r w:rsidRPr="00307028">
              <w:rPr>
                <w:rFonts w:eastAsia="Calibri"/>
                <w:szCs w:val="22"/>
                <w:lang w:eastAsia="en-US"/>
              </w:rPr>
              <w:t>ĀM</w:t>
            </w:r>
          </w:p>
        </w:tc>
        <w:tc>
          <w:tcPr>
            <w:tcW w:w="1417" w:type="dxa"/>
            <w:shd w:val="clear" w:color="auto" w:fill="B2D9EC"/>
          </w:tcPr>
          <w:p w14:paraId="3C2437D0" w14:textId="77777777" w:rsidR="00CD647B" w:rsidRPr="00307028" w:rsidRDefault="00CD647B" w:rsidP="00CD647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355 764</w:t>
            </w:r>
          </w:p>
        </w:tc>
        <w:tc>
          <w:tcPr>
            <w:tcW w:w="1701" w:type="dxa"/>
            <w:shd w:val="clear" w:color="auto" w:fill="B2D9EC"/>
          </w:tcPr>
          <w:p w14:paraId="547E09EB" w14:textId="77777777" w:rsidR="00CD647B" w:rsidRPr="00307028" w:rsidRDefault="00CD647B" w:rsidP="00CD647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355 764</w:t>
            </w:r>
          </w:p>
        </w:tc>
        <w:tc>
          <w:tcPr>
            <w:tcW w:w="1418" w:type="dxa"/>
            <w:shd w:val="clear" w:color="auto" w:fill="B2D9EC"/>
          </w:tcPr>
          <w:p w14:paraId="024F50AB" w14:textId="77777777" w:rsidR="00CD647B" w:rsidRPr="00307028" w:rsidRDefault="00CD647B" w:rsidP="00CD647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355 764</w:t>
            </w:r>
          </w:p>
        </w:tc>
      </w:tr>
      <w:tr w:rsidR="00CD647B" w:rsidRPr="00307028" w14:paraId="0E30F66B" w14:textId="77777777" w:rsidTr="002A577C">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38B47F5E" w14:textId="77777777" w:rsidR="00CD647B" w:rsidRPr="00307028" w:rsidRDefault="00CD647B" w:rsidP="00CD647B">
            <w:pPr>
              <w:spacing w:line="259" w:lineRule="auto"/>
              <w:jc w:val="both"/>
              <w:rPr>
                <w:rFonts w:eastAsia="Calibri"/>
                <w:szCs w:val="22"/>
                <w:lang w:eastAsia="en-US"/>
              </w:rPr>
            </w:pPr>
            <w:r w:rsidRPr="00307028">
              <w:rPr>
                <w:rFonts w:eastAsia="Calibri"/>
                <w:szCs w:val="22"/>
                <w:lang w:eastAsia="en-US"/>
              </w:rPr>
              <w:t>EM</w:t>
            </w:r>
          </w:p>
        </w:tc>
        <w:tc>
          <w:tcPr>
            <w:tcW w:w="1417" w:type="dxa"/>
          </w:tcPr>
          <w:p w14:paraId="7F8702A6"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93 024</w:t>
            </w:r>
          </w:p>
        </w:tc>
        <w:tc>
          <w:tcPr>
            <w:tcW w:w="1701" w:type="dxa"/>
          </w:tcPr>
          <w:p w14:paraId="797DA1C6"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93 024</w:t>
            </w:r>
          </w:p>
        </w:tc>
        <w:tc>
          <w:tcPr>
            <w:tcW w:w="1418" w:type="dxa"/>
          </w:tcPr>
          <w:p w14:paraId="63B4125A"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93 024</w:t>
            </w:r>
          </w:p>
        </w:tc>
      </w:tr>
      <w:tr w:rsidR="00CD647B" w:rsidRPr="00307028" w14:paraId="6042C084" w14:textId="77777777" w:rsidTr="001E7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B2D9EC"/>
          </w:tcPr>
          <w:p w14:paraId="076A13AF" w14:textId="77777777" w:rsidR="00CD647B" w:rsidRPr="00307028" w:rsidRDefault="00CD647B" w:rsidP="00CD647B">
            <w:pPr>
              <w:jc w:val="both"/>
              <w:rPr>
                <w:rFonts w:eastAsia="Calibri"/>
                <w:szCs w:val="22"/>
                <w:lang w:eastAsia="en-US"/>
              </w:rPr>
            </w:pPr>
            <w:r w:rsidRPr="00307028">
              <w:rPr>
                <w:rFonts w:eastAsia="Calibri"/>
                <w:szCs w:val="22"/>
                <w:lang w:eastAsia="en-US"/>
              </w:rPr>
              <w:t>FM</w:t>
            </w:r>
          </w:p>
        </w:tc>
        <w:tc>
          <w:tcPr>
            <w:tcW w:w="1417" w:type="dxa"/>
            <w:shd w:val="clear" w:color="auto" w:fill="B2D9EC"/>
          </w:tcPr>
          <w:p w14:paraId="0B81C584"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250 423</w:t>
            </w:r>
          </w:p>
        </w:tc>
        <w:tc>
          <w:tcPr>
            <w:tcW w:w="1701" w:type="dxa"/>
            <w:shd w:val="clear" w:color="auto" w:fill="B2D9EC"/>
          </w:tcPr>
          <w:p w14:paraId="0C83217D"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85 492</w:t>
            </w:r>
          </w:p>
        </w:tc>
        <w:tc>
          <w:tcPr>
            <w:tcW w:w="1418" w:type="dxa"/>
            <w:shd w:val="clear" w:color="auto" w:fill="B2D9EC"/>
          </w:tcPr>
          <w:p w14:paraId="1DA8654B"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85 492</w:t>
            </w:r>
          </w:p>
        </w:tc>
      </w:tr>
      <w:tr w:rsidR="00CD647B" w:rsidRPr="00307028" w14:paraId="0ABDD3B2" w14:textId="77777777" w:rsidTr="002A577C">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7BE072B9" w14:textId="77777777" w:rsidR="00CD647B" w:rsidRPr="00307028" w:rsidRDefault="00CD647B" w:rsidP="00CD647B">
            <w:pPr>
              <w:spacing w:line="259" w:lineRule="auto"/>
              <w:jc w:val="both"/>
              <w:rPr>
                <w:rFonts w:eastAsia="Calibri"/>
                <w:szCs w:val="22"/>
                <w:lang w:eastAsia="en-US"/>
              </w:rPr>
            </w:pPr>
            <w:r w:rsidRPr="00307028">
              <w:rPr>
                <w:rFonts w:eastAsia="Calibri"/>
                <w:szCs w:val="22"/>
                <w:lang w:eastAsia="en-US"/>
              </w:rPr>
              <w:t>IeM</w:t>
            </w:r>
          </w:p>
        </w:tc>
        <w:tc>
          <w:tcPr>
            <w:tcW w:w="1417" w:type="dxa"/>
          </w:tcPr>
          <w:p w14:paraId="6C9E1D30"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267 938</w:t>
            </w:r>
          </w:p>
        </w:tc>
        <w:tc>
          <w:tcPr>
            <w:tcW w:w="1701" w:type="dxa"/>
          </w:tcPr>
          <w:p w14:paraId="08D2AF8E"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267 938</w:t>
            </w:r>
          </w:p>
        </w:tc>
        <w:tc>
          <w:tcPr>
            <w:tcW w:w="1418" w:type="dxa"/>
          </w:tcPr>
          <w:p w14:paraId="15A58A78" w14:textId="77777777"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267 938</w:t>
            </w:r>
          </w:p>
        </w:tc>
      </w:tr>
      <w:tr w:rsidR="00CD647B" w:rsidRPr="00307028" w14:paraId="46D6E08B" w14:textId="77777777" w:rsidTr="001E7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B2D9EC"/>
          </w:tcPr>
          <w:p w14:paraId="2F6F0CB0" w14:textId="77777777" w:rsidR="00CD647B" w:rsidRPr="00307028" w:rsidRDefault="00CD647B" w:rsidP="00CD647B">
            <w:pPr>
              <w:spacing w:line="259" w:lineRule="auto"/>
              <w:jc w:val="both"/>
              <w:rPr>
                <w:rFonts w:eastAsia="Calibri"/>
                <w:szCs w:val="22"/>
                <w:lang w:eastAsia="en-US"/>
              </w:rPr>
            </w:pPr>
            <w:r w:rsidRPr="00307028">
              <w:rPr>
                <w:rFonts w:eastAsia="Calibri"/>
                <w:szCs w:val="22"/>
                <w:lang w:eastAsia="en-US"/>
              </w:rPr>
              <w:t>KM</w:t>
            </w:r>
          </w:p>
        </w:tc>
        <w:tc>
          <w:tcPr>
            <w:tcW w:w="1417" w:type="dxa"/>
            <w:shd w:val="clear" w:color="auto" w:fill="B2D9EC"/>
          </w:tcPr>
          <w:p w14:paraId="5246782E" w14:textId="01082E5C" w:rsidR="00CD647B" w:rsidRPr="00307028" w:rsidRDefault="00CD647B" w:rsidP="00CD647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25</w:t>
            </w:r>
            <w:r w:rsidR="00F033DC" w:rsidRPr="00307028">
              <w:rPr>
                <w:rFonts w:eastAsia="Calibri"/>
                <w:szCs w:val="22"/>
                <w:lang w:eastAsia="en-US"/>
              </w:rPr>
              <w:t>8</w:t>
            </w:r>
            <w:r w:rsidRPr="00307028">
              <w:rPr>
                <w:rFonts w:eastAsia="Calibri"/>
                <w:szCs w:val="22"/>
                <w:lang w:eastAsia="en-US"/>
              </w:rPr>
              <w:t> </w:t>
            </w:r>
            <w:r w:rsidR="00F033DC" w:rsidRPr="00307028">
              <w:rPr>
                <w:rFonts w:eastAsia="Calibri"/>
                <w:szCs w:val="22"/>
                <w:lang w:eastAsia="en-US"/>
              </w:rPr>
              <w:t>739</w:t>
            </w:r>
          </w:p>
        </w:tc>
        <w:tc>
          <w:tcPr>
            <w:tcW w:w="1701" w:type="dxa"/>
            <w:shd w:val="clear" w:color="auto" w:fill="B2D9EC"/>
          </w:tcPr>
          <w:p w14:paraId="747D580C" w14:textId="7DE79C02"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25</w:t>
            </w:r>
            <w:r w:rsidR="00F033DC" w:rsidRPr="00307028">
              <w:rPr>
                <w:rFonts w:eastAsia="Times New Roman"/>
                <w:color w:val="000000"/>
                <w:szCs w:val="22"/>
                <w:lang w:eastAsia="en-US"/>
              </w:rPr>
              <w:t>8</w:t>
            </w:r>
            <w:r w:rsidRPr="00307028">
              <w:rPr>
                <w:rFonts w:eastAsia="Times New Roman"/>
                <w:color w:val="000000"/>
                <w:szCs w:val="22"/>
                <w:lang w:eastAsia="en-US"/>
              </w:rPr>
              <w:t> </w:t>
            </w:r>
            <w:r w:rsidR="00F033DC" w:rsidRPr="00307028">
              <w:rPr>
                <w:rFonts w:eastAsia="Times New Roman"/>
                <w:color w:val="000000"/>
                <w:szCs w:val="22"/>
                <w:lang w:eastAsia="en-US"/>
              </w:rPr>
              <w:t>7</w:t>
            </w:r>
            <w:r w:rsidRPr="00307028">
              <w:rPr>
                <w:rFonts w:eastAsia="Times New Roman"/>
                <w:color w:val="000000"/>
                <w:szCs w:val="22"/>
                <w:lang w:eastAsia="en-US"/>
              </w:rPr>
              <w:t>39</w:t>
            </w:r>
          </w:p>
        </w:tc>
        <w:tc>
          <w:tcPr>
            <w:tcW w:w="1418" w:type="dxa"/>
            <w:shd w:val="clear" w:color="auto" w:fill="B2D9EC"/>
          </w:tcPr>
          <w:p w14:paraId="07A7AE50" w14:textId="5E6DC79A"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25</w:t>
            </w:r>
            <w:r w:rsidR="00F033DC" w:rsidRPr="00307028">
              <w:rPr>
                <w:rFonts w:eastAsia="Times New Roman"/>
                <w:color w:val="000000"/>
                <w:szCs w:val="22"/>
                <w:lang w:eastAsia="en-US"/>
              </w:rPr>
              <w:t>8</w:t>
            </w:r>
            <w:r w:rsidRPr="00307028">
              <w:rPr>
                <w:rFonts w:eastAsia="Times New Roman"/>
                <w:color w:val="000000"/>
                <w:szCs w:val="22"/>
                <w:lang w:eastAsia="en-US"/>
              </w:rPr>
              <w:t> </w:t>
            </w:r>
            <w:r w:rsidR="00F033DC" w:rsidRPr="00307028">
              <w:rPr>
                <w:rFonts w:eastAsia="Times New Roman"/>
                <w:color w:val="000000"/>
                <w:szCs w:val="22"/>
                <w:lang w:eastAsia="en-US"/>
              </w:rPr>
              <w:t>7</w:t>
            </w:r>
            <w:r w:rsidRPr="00307028">
              <w:rPr>
                <w:rFonts w:eastAsia="Times New Roman"/>
                <w:color w:val="000000"/>
                <w:szCs w:val="22"/>
                <w:lang w:eastAsia="en-US"/>
              </w:rPr>
              <w:t>39</w:t>
            </w:r>
          </w:p>
        </w:tc>
      </w:tr>
      <w:tr w:rsidR="00CD647B" w:rsidRPr="00307028" w14:paraId="5F73D23F" w14:textId="77777777" w:rsidTr="002A577C">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3C711827" w14:textId="77777777" w:rsidR="00CD647B" w:rsidRPr="00307028" w:rsidRDefault="00CD647B" w:rsidP="00CD647B">
            <w:pPr>
              <w:jc w:val="both"/>
              <w:rPr>
                <w:rFonts w:eastAsia="Calibri"/>
                <w:szCs w:val="22"/>
                <w:lang w:eastAsia="en-US"/>
              </w:rPr>
            </w:pPr>
            <w:r w:rsidRPr="00307028">
              <w:rPr>
                <w:rFonts w:eastAsia="Calibri"/>
                <w:szCs w:val="22"/>
                <w:lang w:eastAsia="en-US"/>
              </w:rPr>
              <w:lastRenderedPageBreak/>
              <w:t>LM</w:t>
            </w:r>
          </w:p>
        </w:tc>
        <w:tc>
          <w:tcPr>
            <w:tcW w:w="1417" w:type="dxa"/>
          </w:tcPr>
          <w:p w14:paraId="59B859F9"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6 721 113</w:t>
            </w:r>
          </w:p>
        </w:tc>
        <w:tc>
          <w:tcPr>
            <w:tcW w:w="1701" w:type="dxa"/>
          </w:tcPr>
          <w:p w14:paraId="10607C14"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6 651 674</w:t>
            </w:r>
          </w:p>
        </w:tc>
        <w:tc>
          <w:tcPr>
            <w:tcW w:w="1418" w:type="dxa"/>
          </w:tcPr>
          <w:p w14:paraId="6084BDD7"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6 651 674</w:t>
            </w:r>
          </w:p>
        </w:tc>
      </w:tr>
      <w:tr w:rsidR="00CD647B" w:rsidRPr="00307028" w14:paraId="2F8106F3" w14:textId="77777777" w:rsidTr="001E7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B2D9EC"/>
          </w:tcPr>
          <w:p w14:paraId="79559F5D" w14:textId="77777777" w:rsidR="00CD647B" w:rsidRPr="00307028" w:rsidRDefault="00CD647B" w:rsidP="00CD647B">
            <w:pPr>
              <w:jc w:val="both"/>
              <w:rPr>
                <w:rFonts w:eastAsia="Calibri"/>
                <w:szCs w:val="22"/>
                <w:lang w:eastAsia="en-US"/>
              </w:rPr>
            </w:pPr>
            <w:r w:rsidRPr="00307028">
              <w:rPr>
                <w:rFonts w:eastAsia="Calibri"/>
                <w:szCs w:val="22"/>
                <w:lang w:eastAsia="en-US"/>
              </w:rPr>
              <w:t>SIF</w:t>
            </w:r>
          </w:p>
        </w:tc>
        <w:tc>
          <w:tcPr>
            <w:tcW w:w="1417" w:type="dxa"/>
            <w:shd w:val="clear" w:color="auto" w:fill="B2D9EC"/>
          </w:tcPr>
          <w:p w14:paraId="64CFA2E0"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30 000</w:t>
            </w:r>
          </w:p>
        </w:tc>
        <w:tc>
          <w:tcPr>
            <w:tcW w:w="1701" w:type="dxa"/>
            <w:shd w:val="clear" w:color="auto" w:fill="B2D9EC"/>
          </w:tcPr>
          <w:p w14:paraId="0CA86164"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30 000</w:t>
            </w:r>
          </w:p>
        </w:tc>
        <w:tc>
          <w:tcPr>
            <w:tcW w:w="1418" w:type="dxa"/>
            <w:shd w:val="clear" w:color="auto" w:fill="B2D9EC"/>
          </w:tcPr>
          <w:p w14:paraId="32ACF007"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30 000</w:t>
            </w:r>
          </w:p>
        </w:tc>
      </w:tr>
      <w:tr w:rsidR="00CD647B" w:rsidRPr="00307028" w14:paraId="7A9FCF01" w14:textId="77777777" w:rsidTr="002A577C">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3F459EB" w14:textId="77777777" w:rsidR="00CD647B" w:rsidRPr="00307028" w:rsidRDefault="00CD647B" w:rsidP="00CD647B">
            <w:pPr>
              <w:jc w:val="both"/>
              <w:rPr>
                <w:rFonts w:eastAsia="Calibri"/>
                <w:szCs w:val="22"/>
                <w:lang w:eastAsia="en-US"/>
              </w:rPr>
            </w:pPr>
            <w:r w:rsidRPr="00307028">
              <w:rPr>
                <w:rFonts w:eastAsia="Calibri"/>
                <w:szCs w:val="22"/>
                <w:lang w:eastAsia="en-US"/>
              </w:rPr>
              <w:t>VARAM</w:t>
            </w:r>
          </w:p>
        </w:tc>
        <w:tc>
          <w:tcPr>
            <w:tcW w:w="1417" w:type="dxa"/>
          </w:tcPr>
          <w:p w14:paraId="502A4458"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Calibri"/>
                <w:szCs w:val="22"/>
                <w:lang w:eastAsia="en-US"/>
              </w:rPr>
            </w:pPr>
            <w:r w:rsidRPr="00307028">
              <w:rPr>
                <w:rFonts w:eastAsia="Calibri"/>
                <w:szCs w:val="22"/>
                <w:lang w:eastAsia="en-US"/>
              </w:rPr>
              <w:t>77 842</w:t>
            </w:r>
          </w:p>
        </w:tc>
        <w:tc>
          <w:tcPr>
            <w:tcW w:w="1701" w:type="dxa"/>
          </w:tcPr>
          <w:p w14:paraId="008CB1C0"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77 842</w:t>
            </w:r>
          </w:p>
        </w:tc>
        <w:tc>
          <w:tcPr>
            <w:tcW w:w="1418" w:type="dxa"/>
          </w:tcPr>
          <w:p w14:paraId="308BB4B2" w14:textId="77777777" w:rsidR="00CD647B" w:rsidRPr="00307028" w:rsidRDefault="00CD647B" w:rsidP="00CD64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77 842</w:t>
            </w:r>
          </w:p>
        </w:tc>
      </w:tr>
      <w:tr w:rsidR="00CD647B" w:rsidRPr="00307028" w14:paraId="6C167B36" w14:textId="77777777" w:rsidTr="001E7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shd w:val="clear" w:color="auto" w:fill="B2D9EC"/>
          </w:tcPr>
          <w:p w14:paraId="5FD5437F" w14:textId="77777777" w:rsidR="00CD647B" w:rsidRPr="00307028" w:rsidRDefault="00CD647B" w:rsidP="00CD647B">
            <w:pPr>
              <w:jc w:val="both"/>
              <w:rPr>
                <w:rFonts w:eastAsia="Calibri"/>
                <w:szCs w:val="22"/>
                <w:lang w:eastAsia="en-US"/>
              </w:rPr>
            </w:pPr>
            <w:r w:rsidRPr="00307028">
              <w:rPr>
                <w:rFonts w:eastAsia="Calibri"/>
                <w:szCs w:val="22"/>
                <w:lang w:eastAsia="en-US"/>
              </w:rPr>
              <w:t>VM</w:t>
            </w:r>
          </w:p>
        </w:tc>
        <w:tc>
          <w:tcPr>
            <w:tcW w:w="1417" w:type="dxa"/>
            <w:shd w:val="clear" w:color="auto" w:fill="B2D9EC"/>
          </w:tcPr>
          <w:p w14:paraId="138B578D"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Calibri"/>
                <w:szCs w:val="22"/>
                <w:lang w:eastAsia="en-US"/>
              </w:rPr>
            </w:pPr>
            <w:r w:rsidRPr="00307028">
              <w:rPr>
                <w:rFonts w:eastAsia="Calibri"/>
                <w:szCs w:val="22"/>
                <w:lang w:eastAsia="en-US"/>
              </w:rPr>
              <w:t>2 287 996</w:t>
            </w:r>
          </w:p>
        </w:tc>
        <w:tc>
          <w:tcPr>
            <w:tcW w:w="1701" w:type="dxa"/>
            <w:shd w:val="clear" w:color="auto" w:fill="B2D9EC"/>
          </w:tcPr>
          <w:p w14:paraId="63AA6BBA"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2 287 996</w:t>
            </w:r>
          </w:p>
        </w:tc>
        <w:tc>
          <w:tcPr>
            <w:tcW w:w="1418" w:type="dxa"/>
            <w:shd w:val="clear" w:color="auto" w:fill="B2D9EC"/>
          </w:tcPr>
          <w:p w14:paraId="1BF39E8E" w14:textId="77777777" w:rsidR="00CD647B" w:rsidRPr="00307028" w:rsidRDefault="00CD647B" w:rsidP="00CD64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US"/>
              </w:rPr>
            </w:pPr>
            <w:r w:rsidRPr="00307028">
              <w:rPr>
                <w:rFonts w:eastAsia="Times New Roman"/>
                <w:color w:val="000000"/>
                <w:szCs w:val="22"/>
                <w:lang w:eastAsia="en-US"/>
              </w:rPr>
              <w:t>2 287 996</w:t>
            </w:r>
          </w:p>
        </w:tc>
      </w:tr>
      <w:tr w:rsidR="00CD647B" w:rsidRPr="00307028" w14:paraId="1CF1175F" w14:textId="77777777" w:rsidTr="002A577C">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3581A75A" w14:textId="77777777" w:rsidR="00CD647B" w:rsidRPr="00307028" w:rsidRDefault="00CD647B" w:rsidP="00CD647B">
            <w:pPr>
              <w:spacing w:line="259" w:lineRule="auto"/>
              <w:jc w:val="both"/>
              <w:rPr>
                <w:rFonts w:eastAsia="Calibri"/>
                <w:szCs w:val="22"/>
                <w:lang w:eastAsia="en-US"/>
              </w:rPr>
            </w:pPr>
            <w:r w:rsidRPr="00307028">
              <w:rPr>
                <w:rFonts w:eastAsia="Calibri"/>
                <w:szCs w:val="22"/>
                <w:lang w:eastAsia="en-US"/>
              </w:rPr>
              <w:t>Kopā</w:t>
            </w:r>
          </w:p>
        </w:tc>
        <w:tc>
          <w:tcPr>
            <w:tcW w:w="1417" w:type="dxa"/>
          </w:tcPr>
          <w:p w14:paraId="49FDEE5A" w14:textId="61C64CCC"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b/>
                <w:szCs w:val="22"/>
                <w:lang w:eastAsia="en-US"/>
              </w:rPr>
            </w:pPr>
            <w:r w:rsidRPr="00307028">
              <w:rPr>
                <w:rFonts w:eastAsia="Calibri"/>
                <w:b/>
                <w:szCs w:val="22"/>
                <w:lang w:eastAsia="en-US"/>
              </w:rPr>
              <w:t>10 34</w:t>
            </w:r>
            <w:r w:rsidR="00F033DC" w:rsidRPr="00307028">
              <w:rPr>
                <w:rFonts w:eastAsia="Calibri"/>
                <w:b/>
                <w:szCs w:val="22"/>
                <w:lang w:eastAsia="en-US"/>
              </w:rPr>
              <w:t>2</w:t>
            </w:r>
            <w:r w:rsidRPr="00307028">
              <w:rPr>
                <w:rFonts w:eastAsia="Calibri"/>
                <w:b/>
                <w:szCs w:val="22"/>
                <w:lang w:eastAsia="en-US"/>
              </w:rPr>
              <w:t xml:space="preserve"> </w:t>
            </w:r>
            <w:r w:rsidR="00F033DC" w:rsidRPr="00307028">
              <w:rPr>
                <w:rFonts w:eastAsia="Calibri"/>
                <w:b/>
                <w:szCs w:val="22"/>
                <w:lang w:eastAsia="en-US"/>
              </w:rPr>
              <w:t>8</w:t>
            </w:r>
            <w:r w:rsidRPr="00307028">
              <w:rPr>
                <w:rFonts w:eastAsia="Calibri"/>
                <w:b/>
                <w:szCs w:val="22"/>
                <w:lang w:eastAsia="en-US"/>
              </w:rPr>
              <w:t>39</w:t>
            </w:r>
          </w:p>
        </w:tc>
        <w:tc>
          <w:tcPr>
            <w:tcW w:w="1701" w:type="dxa"/>
          </w:tcPr>
          <w:p w14:paraId="2DADD78D" w14:textId="26CD8CAA"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b/>
                <w:szCs w:val="22"/>
                <w:lang w:eastAsia="en-US"/>
              </w:rPr>
            </w:pPr>
            <w:r w:rsidRPr="00307028">
              <w:rPr>
                <w:rFonts w:eastAsia="Calibri"/>
                <w:b/>
                <w:szCs w:val="22"/>
                <w:lang w:eastAsia="en-US"/>
              </w:rPr>
              <w:t xml:space="preserve">10 </w:t>
            </w:r>
            <w:r w:rsidR="00F033DC" w:rsidRPr="00307028">
              <w:rPr>
                <w:rFonts w:eastAsia="Calibri"/>
                <w:b/>
                <w:szCs w:val="22"/>
                <w:lang w:eastAsia="en-US"/>
              </w:rPr>
              <w:t>108 469</w:t>
            </w:r>
          </w:p>
        </w:tc>
        <w:tc>
          <w:tcPr>
            <w:tcW w:w="1418" w:type="dxa"/>
          </w:tcPr>
          <w:p w14:paraId="0133026F" w14:textId="785A68EF" w:rsidR="00CD647B" w:rsidRPr="00307028" w:rsidRDefault="00CD647B" w:rsidP="00CD647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b/>
                <w:szCs w:val="22"/>
                <w:lang w:eastAsia="en-US"/>
              </w:rPr>
            </w:pPr>
            <w:r w:rsidRPr="00307028">
              <w:rPr>
                <w:rFonts w:eastAsia="Calibri"/>
                <w:b/>
                <w:szCs w:val="22"/>
                <w:lang w:eastAsia="en-US"/>
              </w:rPr>
              <w:t>10 10</w:t>
            </w:r>
            <w:r w:rsidR="00F033DC" w:rsidRPr="00307028">
              <w:rPr>
                <w:rFonts w:eastAsia="Calibri"/>
                <w:b/>
                <w:szCs w:val="22"/>
                <w:lang w:eastAsia="en-US"/>
              </w:rPr>
              <w:t>8</w:t>
            </w:r>
            <w:r w:rsidRPr="00307028">
              <w:rPr>
                <w:rFonts w:eastAsia="Calibri"/>
                <w:b/>
                <w:szCs w:val="22"/>
                <w:lang w:eastAsia="en-US"/>
              </w:rPr>
              <w:t xml:space="preserve"> </w:t>
            </w:r>
            <w:r w:rsidR="00F033DC" w:rsidRPr="00307028">
              <w:rPr>
                <w:rFonts w:eastAsia="Calibri"/>
                <w:b/>
                <w:szCs w:val="22"/>
                <w:lang w:eastAsia="en-US"/>
              </w:rPr>
              <w:t>4</w:t>
            </w:r>
            <w:r w:rsidRPr="00307028">
              <w:rPr>
                <w:rFonts w:eastAsia="Calibri"/>
                <w:b/>
                <w:szCs w:val="22"/>
                <w:lang w:eastAsia="en-US"/>
              </w:rPr>
              <w:t>69</w:t>
            </w:r>
          </w:p>
        </w:tc>
      </w:tr>
    </w:tbl>
    <w:p w14:paraId="2C1F6084" w14:textId="77777777" w:rsidR="00800997" w:rsidRDefault="00800997" w:rsidP="00CD647B">
      <w:pPr>
        <w:spacing w:after="240"/>
        <w:jc w:val="both"/>
        <w:rPr>
          <w:rFonts w:eastAsia="Calibri"/>
          <w:b/>
          <w:bCs/>
          <w:szCs w:val="28"/>
          <w:u w:val="single"/>
          <w:lang w:eastAsia="en-US"/>
        </w:rPr>
      </w:pPr>
    </w:p>
    <w:p w14:paraId="547F204A" w14:textId="2B210090" w:rsidR="00CD647B" w:rsidRPr="00307028" w:rsidRDefault="00CD647B" w:rsidP="00CD647B">
      <w:pPr>
        <w:spacing w:after="240"/>
        <w:jc w:val="both"/>
        <w:rPr>
          <w:rFonts w:eastAsia="Calibri"/>
          <w:b/>
          <w:bCs/>
          <w:szCs w:val="28"/>
          <w:u w:val="single"/>
          <w:lang w:eastAsia="en-US"/>
        </w:rPr>
      </w:pPr>
      <w:r w:rsidRPr="00307028">
        <w:rPr>
          <w:rFonts w:eastAsia="Calibri"/>
          <w:b/>
          <w:bCs/>
          <w:szCs w:val="28"/>
          <w:u w:val="single"/>
          <w:lang w:eastAsia="en-US"/>
        </w:rPr>
        <w:t>Prioritārie pasākumi:</w:t>
      </w:r>
    </w:p>
    <w:p w14:paraId="2C069332"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ĀM – Latvijas ārlietu dienesta personāla spēju attīstība</w:t>
      </w:r>
    </w:p>
    <w:p w14:paraId="6E02CA2E" w14:textId="46497D12" w:rsidR="007A7EFC" w:rsidRPr="008E73FF" w:rsidRDefault="00CD647B" w:rsidP="008E73FF">
      <w:pPr>
        <w:tabs>
          <w:tab w:val="left" w:pos="1992"/>
        </w:tabs>
        <w:spacing w:after="120" w:line="259" w:lineRule="auto"/>
        <w:ind w:firstLine="709"/>
        <w:jc w:val="both"/>
        <w:rPr>
          <w:rFonts w:eastAsia="Times New Roman"/>
          <w:lang w:eastAsia="en-US"/>
        </w:rPr>
      </w:pPr>
      <w:r w:rsidRPr="00307028">
        <w:rPr>
          <w:rFonts w:eastAsia="Times New Roman"/>
          <w:lang w:eastAsia="en-US"/>
        </w:rPr>
        <w:t>PP mērķis ir nodrošināt Latvijas ārlietu dienesta personāla kvalitātes atbilstību mūsdienu starptautiskās situācijas izvirzītajām prasībām, nostiprinot Latvijas diplomātiskā un konsulārā dienesta personāla spējas un efektivitāti.</w:t>
      </w:r>
    </w:p>
    <w:p w14:paraId="0DEF6986" w14:textId="3BD4CE80" w:rsidR="00CD647B" w:rsidRPr="00307028" w:rsidRDefault="00CD647B" w:rsidP="00CD647B">
      <w:pPr>
        <w:spacing w:before="120" w:after="120"/>
        <w:jc w:val="center"/>
        <w:rPr>
          <w:rFonts w:eastAsia="Calibri"/>
          <w:b/>
          <w:sz w:val="22"/>
          <w:szCs w:val="22"/>
          <w:lang w:eastAsia="en-US"/>
        </w:rPr>
      </w:pPr>
      <w:r w:rsidRPr="00307028">
        <w:rPr>
          <w:rFonts w:eastAsia="Calibri"/>
          <w:b/>
          <w:bCs/>
          <w:i/>
          <w:iCs/>
          <w:sz w:val="22"/>
          <w:szCs w:val="22"/>
          <w:lang w:eastAsia="en-US"/>
        </w:rPr>
        <w:t>2.2.2. attēls</w:t>
      </w:r>
      <w:r w:rsidRPr="00307028">
        <w:rPr>
          <w:rFonts w:eastAsia="Calibri"/>
          <w:sz w:val="22"/>
          <w:szCs w:val="22"/>
          <w:lang w:eastAsia="en-US"/>
        </w:rPr>
        <w:t xml:space="preserve"> </w:t>
      </w:r>
      <w:r w:rsidRPr="00307028">
        <w:rPr>
          <w:rFonts w:eastAsia="Calibri"/>
          <w:b/>
          <w:sz w:val="22"/>
          <w:szCs w:val="22"/>
          <w:lang w:eastAsia="en-US"/>
        </w:rPr>
        <w:t xml:space="preserve">ĀM Latvijas ārlietu dienesta personāla spēju attīstībai paredzētā finansējuma izlietojums 2020. – 2022. gadam, </w:t>
      </w:r>
      <w:r w:rsidRPr="00307028">
        <w:rPr>
          <w:rFonts w:eastAsia="Calibri"/>
          <w:b/>
          <w:i/>
          <w:iCs/>
          <w:sz w:val="22"/>
          <w:szCs w:val="22"/>
          <w:lang w:eastAsia="en-US"/>
        </w:rPr>
        <w:t>euro</w:t>
      </w:r>
    </w:p>
    <w:p w14:paraId="34AFEDE8" w14:textId="77777777" w:rsidR="00CD647B" w:rsidRPr="00307028" w:rsidRDefault="00CD647B" w:rsidP="00CD647B">
      <w:pPr>
        <w:tabs>
          <w:tab w:val="left" w:pos="1992"/>
        </w:tabs>
        <w:spacing w:line="254" w:lineRule="auto"/>
        <w:jc w:val="center"/>
        <w:rPr>
          <w:rFonts w:eastAsia="Times New Roman"/>
          <w:lang w:eastAsia="en-US"/>
        </w:rPr>
      </w:pPr>
      <w:r w:rsidRPr="00307028">
        <w:rPr>
          <w:rFonts w:eastAsia="Times New Roman"/>
          <w:noProof/>
          <w:szCs w:val="22"/>
          <w:shd w:val="clear" w:color="auto" w:fill="B2D9EC"/>
          <w:lang w:eastAsia="lv-LV"/>
        </w:rPr>
        <w:drawing>
          <wp:inline distT="0" distB="0" distL="0" distR="0" wp14:anchorId="5D4C97DC" wp14:editId="053653D2">
            <wp:extent cx="5728970" cy="2225216"/>
            <wp:effectExtent l="0" t="0" r="5080" b="3810"/>
            <wp:docPr id="350992833" name="Chart 3509928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A46C30" w14:textId="44ADCC75" w:rsidR="00CD647B" w:rsidRPr="00307028" w:rsidRDefault="00CD647B" w:rsidP="008E73FF">
      <w:pPr>
        <w:tabs>
          <w:tab w:val="left" w:pos="1992"/>
        </w:tabs>
        <w:spacing w:after="120" w:line="259" w:lineRule="auto"/>
        <w:ind w:firstLine="709"/>
        <w:jc w:val="both"/>
        <w:rPr>
          <w:rFonts w:eastAsia="Times New Roman"/>
          <w:lang w:eastAsia="en-US"/>
        </w:rPr>
      </w:pPr>
      <w:r w:rsidRPr="00307028">
        <w:rPr>
          <w:rFonts w:eastAsia="Times New Roman"/>
          <w:lang w:eastAsia="en-US"/>
        </w:rPr>
        <w:t xml:space="preserve">Aplūkojot attēlu Nr. 2.2.2., redzams, ka PP īstenošanai piešķirts finansējums 2020. gadam 0,4 milj. </w:t>
      </w:r>
      <w:r w:rsidRPr="00307028">
        <w:rPr>
          <w:rFonts w:eastAsia="Times New Roman"/>
          <w:i/>
          <w:iCs/>
          <w:lang w:eastAsia="en-US"/>
        </w:rPr>
        <w:t>euro</w:t>
      </w:r>
      <w:r w:rsidRPr="00307028">
        <w:rPr>
          <w:rFonts w:eastAsia="Times New Roman"/>
          <w:lang w:eastAsia="en-US"/>
        </w:rPr>
        <w:t xml:space="preserve">, 2021. gadam 0,7 milj. </w:t>
      </w:r>
      <w:r w:rsidRPr="00307028">
        <w:rPr>
          <w:rFonts w:eastAsia="Times New Roman"/>
          <w:i/>
          <w:iCs/>
          <w:lang w:eastAsia="en-US"/>
        </w:rPr>
        <w:t>euro</w:t>
      </w:r>
      <w:r w:rsidRPr="00307028">
        <w:rPr>
          <w:rFonts w:eastAsia="Times New Roman"/>
          <w:lang w:eastAsia="en-US"/>
        </w:rPr>
        <w:t xml:space="preserve">, 2022. gadam un turpmāk ik gadu 1,1 milj. </w:t>
      </w:r>
      <w:r w:rsidRPr="00307028">
        <w:rPr>
          <w:rFonts w:eastAsia="Times New Roman"/>
          <w:i/>
          <w:iCs/>
          <w:lang w:eastAsia="en-US"/>
        </w:rPr>
        <w:t>euro</w:t>
      </w:r>
      <w:r w:rsidRPr="00307028">
        <w:rPr>
          <w:rFonts w:eastAsia="Times New Roman"/>
          <w:lang w:eastAsia="en-US"/>
        </w:rPr>
        <w:t xml:space="preserve"> apmērā, vienlaikus izpilde 2020. gadā bija tikai 20%, 2021. gadā 47% un 2022. gadā 93% apmērā no plānotā. </w:t>
      </w:r>
    </w:p>
    <w:p w14:paraId="47D73F69" w14:textId="77777777" w:rsidR="00CD647B" w:rsidRPr="00307028" w:rsidRDefault="00CD647B" w:rsidP="00CD647B">
      <w:pPr>
        <w:tabs>
          <w:tab w:val="left" w:pos="1992"/>
        </w:tabs>
        <w:spacing w:after="120" w:line="254" w:lineRule="auto"/>
        <w:jc w:val="center"/>
        <w:rPr>
          <w:rFonts w:eastAsia="Times New Roman"/>
          <w:b/>
          <w:bCs/>
          <w:lang w:eastAsia="en-US"/>
        </w:rPr>
      </w:pPr>
      <w:r w:rsidRPr="00307028">
        <w:rPr>
          <w:rFonts w:eastAsia="Times New Roman"/>
          <w:b/>
          <w:bCs/>
          <w:i/>
          <w:iCs/>
          <w:sz w:val="22"/>
          <w:szCs w:val="22"/>
          <w:lang w:eastAsia="en-US"/>
        </w:rPr>
        <w:t>2.2.2. tabula</w:t>
      </w:r>
      <w:r w:rsidRPr="00307028">
        <w:rPr>
          <w:rFonts w:eastAsia="Times New Roman"/>
          <w:b/>
          <w:bCs/>
          <w:sz w:val="22"/>
          <w:szCs w:val="22"/>
          <w:lang w:eastAsia="en-US"/>
        </w:rPr>
        <w:t xml:space="preserve"> ĀM PP “Latvijas ārlietu dienesta personāla spēju attīstība” rezultatīvie rādītāji 2020. – 2022. gadam</w:t>
      </w:r>
    </w:p>
    <w:tbl>
      <w:tblPr>
        <w:tblW w:w="5000" w:type="pct"/>
        <w:tblCellMar>
          <w:left w:w="0" w:type="dxa"/>
          <w:right w:w="0" w:type="dxa"/>
        </w:tblCellMar>
        <w:tblLook w:val="0600" w:firstRow="0" w:lastRow="0" w:firstColumn="0" w:lastColumn="0" w:noHBand="1" w:noVBand="1"/>
      </w:tblPr>
      <w:tblGrid>
        <w:gridCol w:w="2683"/>
        <w:gridCol w:w="1072"/>
        <w:gridCol w:w="1075"/>
        <w:gridCol w:w="1073"/>
        <w:gridCol w:w="1075"/>
        <w:gridCol w:w="941"/>
        <w:gridCol w:w="1142"/>
      </w:tblGrid>
      <w:tr w:rsidR="00CD647B" w:rsidRPr="00307028" w14:paraId="3F51A48F" w14:textId="77777777" w:rsidTr="001E7AA9">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tcPr>
          <w:p w14:paraId="27A86E0C" w14:textId="77777777" w:rsidR="00CD647B" w:rsidRPr="00307028" w:rsidRDefault="00CD647B" w:rsidP="00CD647B">
            <w:pPr>
              <w:tabs>
                <w:tab w:val="left" w:pos="1992"/>
              </w:tabs>
              <w:jc w:val="center"/>
              <w:rPr>
                <w:rFonts w:eastAsia="Times New Roman"/>
                <w:b/>
                <w:bCs/>
                <w:sz w:val="18"/>
                <w:szCs w:val="18"/>
                <w:lang w:eastAsia="en-US"/>
              </w:rPr>
            </w:pP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tcPr>
          <w:p w14:paraId="0392801B"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2020</w:t>
            </w: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tcPr>
          <w:p w14:paraId="264932B3"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2021</w:t>
            </w:r>
          </w:p>
        </w:tc>
        <w:tc>
          <w:tcPr>
            <w:tcW w:w="1149" w:type="pct"/>
            <w:gridSpan w:val="2"/>
            <w:tcBorders>
              <w:top w:val="single" w:sz="4" w:space="0" w:color="000000"/>
              <w:left w:val="single" w:sz="4" w:space="0" w:color="000000"/>
              <w:bottom w:val="single" w:sz="4" w:space="0" w:color="000000"/>
              <w:right w:val="single" w:sz="4" w:space="0" w:color="000000"/>
            </w:tcBorders>
            <w:shd w:val="clear" w:color="auto" w:fill="B2D9EC"/>
            <w:vAlign w:val="center"/>
          </w:tcPr>
          <w:p w14:paraId="612ABAEB"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2022</w:t>
            </w:r>
          </w:p>
        </w:tc>
      </w:tr>
      <w:tr w:rsidR="00CD647B" w:rsidRPr="00307028" w14:paraId="206621C0" w14:textId="77777777" w:rsidTr="001E7AA9">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hideMark/>
          </w:tcPr>
          <w:p w14:paraId="3A22DDF6"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Rezultatīvais rādītājs</w:t>
            </w:r>
          </w:p>
        </w:tc>
        <w:tc>
          <w:tcPr>
            <w:tcW w:w="592"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hideMark/>
          </w:tcPr>
          <w:p w14:paraId="66AA024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593"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hideMark/>
          </w:tcPr>
          <w:p w14:paraId="23273F4F"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592"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hideMark/>
          </w:tcPr>
          <w:p w14:paraId="33B46C6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593" w:type="pct"/>
            <w:tcBorders>
              <w:top w:val="single" w:sz="4" w:space="0" w:color="000000"/>
              <w:left w:val="single" w:sz="4" w:space="0" w:color="000000"/>
              <w:bottom w:val="single" w:sz="4" w:space="0" w:color="000000"/>
              <w:right w:val="single" w:sz="4" w:space="0" w:color="000000"/>
            </w:tcBorders>
            <w:shd w:val="clear" w:color="auto" w:fill="B2D9EC"/>
            <w:tcMar>
              <w:top w:w="15" w:type="dxa"/>
              <w:left w:w="15" w:type="dxa"/>
              <w:bottom w:w="0" w:type="dxa"/>
              <w:right w:w="15" w:type="dxa"/>
            </w:tcMar>
            <w:vAlign w:val="center"/>
            <w:hideMark/>
          </w:tcPr>
          <w:p w14:paraId="2BB06A50"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519" w:type="pct"/>
            <w:tcBorders>
              <w:top w:val="single" w:sz="4" w:space="0" w:color="000000"/>
              <w:left w:val="single" w:sz="4" w:space="0" w:color="000000"/>
              <w:bottom w:val="single" w:sz="4" w:space="0" w:color="000000"/>
              <w:right w:val="single" w:sz="4" w:space="0" w:color="000000"/>
            </w:tcBorders>
            <w:shd w:val="clear" w:color="auto" w:fill="B2D9EC"/>
            <w:vAlign w:val="center"/>
          </w:tcPr>
          <w:p w14:paraId="29EB5B4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630" w:type="pct"/>
            <w:tcBorders>
              <w:top w:val="single" w:sz="4" w:space="0" w:color="000000"/>
              <w:left w:val="single" w:sz="4" w:space="0" w:color="000000"/>
              <w:bottom w:val="single" w:sz="4" w:space="0" w:color="000000"/>
              <w:right w:val="single" w:sz="4" w:space="0" w:color="000000"/>
            </w:tcBorders>
            <w:shd w:val="clear" w:color="auto" w:fill="B2D9EC"/>
            <w:vAlign w:val="center"/>
          </w:tcPr>
          <w:p w14:paraId="451A6374"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r>
      <w:tr w:rsidR="00CD647B" w:rsidRPr="00307028" w14:paraId="664E93A7" w14:textId="77777777" w:rsidTr="002A577C">
        <w:trPr>
          <w:trHeight w:val="395"/>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29769B" w14:textId="77777777" w:rsidR="00CD647B" w:rsidRPr="00307028" w:rsidRDefault="00CD647B" w:rsidP="00CD647B">
            <w:pPr>
              <w:tabs>
                <w:tab w:val="left" w:pos="1992"/>
              </w:tabs>
              <w:jc w:val="center"/>
              <w:rPr>
                <w:rFonts w:eastAsia="Times New Roman"/>
                <w:sz w:val="18"/>
                <w:szCs w:val="18"/>
                <w:lang w:eastAsia="en-US"/>
              </w:rPr>
            </w:pPr>
            <w:bookmarkStart w:id="87" w:name="_Hlk140221138"/>
            <w:r w:rsidRPr="00307028">
              <w:rPr>
                <w:rFonts w:eastAsia="Times New Roman"/>
                <w:sz w:val="18"/>
                <w:szCs w:val="18"/>
                <w:lang w:eastAsia="en-US"/>
              </w:rPr>
              <w:t>Nodrošinātas dienestā ārvalstīs esošajiem darbiniekiem normatīvos aktos noteiktās izdevumu kompensācijas (darbinieku skaits)</w:t>
            </w:r>
            <w:bookmarkEnd w:id="87"/>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B7C019"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 xml:space="preserve">56 </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5143DE"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58</w:t>
            </w:r>
          </w:p>
          <w:p w14:paraId="22A56BC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103,6%</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235EE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56</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FC4F3B"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76</w:t>
            </w:r>
          </w:p>
          <w:p w14:paraId="4C7874AE"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135,7%</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126C7"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56</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D98BE4"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64</w:t>
            </w:r>
          </w:p>
          <w:p w14:paraId="22D87D6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114,3%</w:t>
            </w:r>
          </w:p>
        </w:tc>
      </w:tr>
      <w:tr w:rsidR="00CD647B" w:rsidRPr="00307028" w14:paraId="6B74FE35" w14:textId="77777777" w:rsidTr="002A577C">
        <w:trPr>
          <w:trHeight w:val="501"/>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836E51"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Kvalifikācijas celšanas kursi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2C14E9"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2AEF4E"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w:t>
            </w:r>
          </w:p>
          <w:p w14:paraId="482B7A2C"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20%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FAC6F8"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4</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B001E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w:t>
            </w:r>
          </w:p>
          <w:p w14:paraId="044573F4"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50%</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7E0F3C"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1B687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w:t>
            </w:r>
          </w:p>
          <w:p w14:paraId="48832D7D"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40%</w:t>
            </w:r>
          </w:p>
        </w:tc>
      </w:tr>
      <w:tr w:rsidR="00CD647B" w:rsidRPr="00307028" w14:paraId="7AB0F6EA" w14:textId="77777777" w:rsidTr="002A577C">
        <w:trPr>
          <w:trHeight w:val="409"/>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492361"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Civilo ekspertu mācības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DEF7E9"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D97DE9"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0</w:t>
            </w:r>
          </w:p>
          <w:p w14:paraId="40C0437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E7F9D4"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680133"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0</w:t>
            </w:r>
          </w:p>
          <w:p w14:paraId="5102CA6F"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0%</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CD40C"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FFB464"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w:t>
            </w:r>
          </w:p>
          <w:p w14:paraId="73B826AF"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color w:val="FF0000"/>
                <w:sz w:val="18"/>
                <w:szCs w:val="18"/>
                <w:lang w:eastAsia="en-US"/>
              </w:rPr>
              <w:t>100%</w:t>
            </w:r>
          </w:p>
        </w:tc>
      </w:tr>
    </w:tbl>
    <w:p w14:paraId="71FD6C36" w14:textId="77777777"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Atbilstoši tabulā Nr.2.2.2 norādītajai PP darbības rezultatīvo rādītāju izpildei, secināms, ka ik gadu normatīvos aktos noteiktās izdevumu kompensācijas tika nodrošinātas lielākam darbinieku skaitam, nekā plānots, kā arī 2022. gadā ir nodrošinātas plānotās civilo ekspertu mācības, tādējādi rezultātus var vērtēt kā sasniegtus.</w:t>
      </w:r>
    </w:p>
    <w:p w14:paraId="222D418A" w14:textId="77777777"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lastRenderedPageBreak/>
        <w:t xml:space="preserve">Ņemot vērā, ka 2022. gadā divi no trim rezultatīvie rādītāji tika sasniegti, izlietojot mazāku PP īstenošanai piešķirto finansējumu, finansējums </w:t>
      </w:r>
      <w:r w:rsidRPr="00307028">
        <w:rPr>
          <w:rFonts w:eastAsia="Times New Roman"/>
          <w:b/>
          <w:bCs/>
          <w:lang w:eastAsia="en-US"/>
        </w:rPr>
        <w:t xml:space="preserve">84 052 </w:t>
      </w:r>
      <w:r w:rsidRPr="00307028">
        <w:rPr>
          <w:rFonts w:eastAsia="Times New Roman"/>
          <w:b/>
          <w:bCs/>
          <w:i/>
          <w:iCs/>
          <w:lang w:eastAsia="en-US"/>
        </w:rPr>
        <w:t>euro</w:t>
      </w:r>
      <w:r w:rsidRPr="00307028">
        <w:rPr>
          <w:rFonts w:eastAsia="Times New Roman"/>
          <w:lang w:eastAsia="en-US"/>
        </w:rPr>
        <w:t xml:space="preserve"> apmērā (atbilstoši 2022. gadā neizlietotajam) 2024. un turpmāk ik gadu ir vērtējams kā pieejamie iekšējie resursi. </w:t>
      </w:r>
    </w:p>
    <w:p w14:paraId="3D381098" w14:textId="1555D062"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ĀM – Latvijas ārlietu spēju stiprināšana pieaugošu starptautisko izaicinājumu un sarežģītākas starptautiskās vides apstākļos</w:t>
      </w:r>
    </w:p>
    <w:p w14:paraId="2AE1594F" w14:textId="77777777" w:rsidR="00CD647B" w:rsidRPr="00307028" w:rsidRDefault="00CD647B" w:rsidP="00CD647B">
      <w:pPr>
        <w:tabs>
          <w:tab w:val="left" w:pos="1992"/>
        </w:tabs>
        <w:spacing w:before="120" w:after="120" w:line="259" w:lineRule="auto"/>
        <w:ind w:firstLine="709"/>
        <w:jc w:val="both"/>
        <w:rPr>
          <w:rFonts w:eastAsia="Times New Roman"/>
          <w:lang w:eastAsia="en-US"/>
        </w:rPr>
      </w:pPr>
      <w:r w:rsidRPr="00307028">
        <w:rPr>
          <w:rFonts w:eastAsia="Times New Roman"/>
          <w:lang w:eastAsia="en-US"/>
        </w:rPr>
        <w:t>PP mērķis ir Latvijas ārlietu spēju stiprināšana, lai nodrošinātu kvalitatīvu Latvijas nacionālo drošības un ekonomisko interešu aizstāvību aizvien sarežģītākā, izaicinājumiem bagātākā starptautiskajā vidē.</w:t>
      </w:r>
    </w:p>
    <w:p w14:paraId="222BE71F" w14:textId="33E05FE4" w:rsidR="00CD647B" w:rsidRPr="00307028" w:rsidRDefault="00CD647B" w:rsidP="00CD647B">
      <w:pPr>
        <w:spacing w:before="120" w:after="120" w:line="259" w:lineRule="auto"/>
        <w:ind w:firstLine="709"/>
        <w:jc w:val="both"/>
        <w:rPr>
          <w:rFonts w:eastAsia="Times New Roman"/>
          <w:lang w:eastAsia="en-US"/>
        </w:rPr>
      </w:pPr>
      <w:r w:rsidRPr="00307028">
        <w:rPr>
          <w:rFonts w:eastAsia="Times New Roman"/>
          <w:lang w:eastAsia="en-US"/>
        </w:rPr>
        <w:t xml:space="preserve">Pēc </w:t>
      </w:r>
      <w:r w:rsidR="00A304E3" w:rsidRPr="00307028">
        <w:rPr>
          <w:rFonts w:eastAsia="Times New Roman"/>
          <w:lang w:eastAsia="en-US"/>
        </w:rPr>
        <w:t>DRR</w:t>
      </w:r>
      <w:r w:rsidRPr="00307028">
        <w:rPr>
          <w:rFonts w:eastAsia="Times New Roman"/>
          <w:lang w:eastAsia="en-US"/>
        </w:rPr>
        <w:t xml:space="preserve"> izpildes secināms, ka 2022. gadā rezultatīvo rādītāju izpilde ir </w:t>
      </w:r>
      <w:r w:rsidRPr="00307028">
        <w:rPr>
          <w:rFonts w:eastAsia="Times New Roman"/>
          <w:lang w:eastAsia="lv-LV"/>
        </w:rPr>
        <w:t>100% apmērā</w:t>
      </w:r>
      <w:r w:rsidRPr="00307028">
        <w:rPr>
          <w:rFonts w:eastAsia="Times New Roman"/>
          <w:lang w:eastAsia="en-US"/>
        </w:rPr>
        <w:t>, jo 2022. gadā izveidotas septiņas jaunas amata vietas un organizēti pieci informatīvie biznesa semināri</w:t>
      </w:r>
      <w:r w:rsidRPr="00307028">
        <w:rPr>
          <w:rFonts w:eastAsia="Times New Roman"/>
          <w:lang w:eastAsia="lv-LV"/>
        </w:rPr>
        <w:t>.</w:t>
      </w:r>
    </w:p>
    <w:p w14:paraId="094E4551" w14:textId="77777777" w:rsidR="00CD647B" w:rsidRPr="00307028" w:rsidRDefault="00CD647B" w:rsidP="00CD647B">
      <w:pPr>
        <w:spacing w:before="120" w:after="120" w:line="259" w:lineRule="auto"/>
        <w:ind w:firstLine="709"/>
        <w:jc w:val="both"/>
        <w:rPr>
          <w:rFonts w:eastAsia="Times New Roman"/>
          <w:lang w:eastAsia="en-US"/>
        </w:rPr>
      </w:pPr>
      <w:r w:rsidRPr="00307028">
        <w:rPr>
          <w:rFonts w:eastAsia="Times New Roman"/>
          <w:lang w:eastAsia="en-US"/>
        </w:rPr>
        <w:t xml:space="preserve">PP īstenošanai piešķirts finansējums 2022. gadam un turpmāk ik gadu 2,3 milj. </w:t>
      </w:r>
      <w:r w:rsidRPr="00307028">
        <w:rPr>
          <w:rFonts w:eastAsia="Times New Roman"/>
          <w:i/>
          <w:iCs/>
          <w:lang w:eastAsia="en-US"/>
        </w:rPr>
        <w:t>euro</w:t>
      </w:r>
      <w:r w:rsidRPr="00307028">
        <w:rPr>
          <w:rFonts w:eastAsia="Times New Roman"/>
          <w:lang w:eastAsia="en-US"/>
        </w:rPr>
        <w:t xml:space="preserve"> apmērā. Ņemot vērā rezultatīvo rādītāju izpildi, vienlaikus izlietojot mazāku finansējumu – 88% apmērā no plānotā, finansējums </w:t>
      </w:r>
      <w:r w:rsidRPr="00307028">
        <w:rPr>
          <w:rFonts w:eastAsia="Times New Roman"/>
          <w:b/>
          <w:bCs/>
          <w:lang w:eastAsia="en-US"/>
        </w:rPr>
        <w:t xml:space="preserve">271 712 </w:t>
      </w:r>
      <w:r w:rsidRPr="00307028">
        <w:rPr>
          <w:rFonts w:eastAsia="Times New Roman"/>
          <w:b/>
          <w:bCs/>
          <w:i/>
          <w:iCs/>
          <w:lang w:eastAsia="en-US"/>
        </w:rPr>
        <w:t>euro</w:t>
      </w:r>
      <w:r w:rsidRPr="00307028">
        <w:rPr>
          <w:rFonts w:eastAsia="Times New Roman"/>
          <w:lang w:eastAsia="en-US"/>
        </w:rPr>
        <w:t xml:space="preserve"> apmērā 2024. gadā un turpmāk ik gadu ir vērtējams kā pieejamie iekšējie resursi. </w:t>
      </w:r>
    </w:p>
    <w:p w14:paraId="1AC5D89E"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EM – Latvijas Ārējo ekonomisko pārstāvniecību tīkla nodrošināšana</w:t>
      </w:r>
    </w:p>
    <w:p w14:paraId="3313F4F9" w14:textId="14508018"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 xml:space="preserve">PP mērķis ir Latvijas Ārējo ekonomisko pārstāvniecību tīkla nodrošināšana. Pēc </w:t>
      </w:r>
      <w:r w:rsidR="00A304E3" w:rsidRPr="00307028">
        <w:rPr>
          <w:rFonts w:eastAsia="Times New Roman"/>
          <w:lang w:eastAsia="en-US"/>
        </w:rPr>
        <w:t>DRR</w:t>
      </w:r>
      <w:r w:rsidRPr="00307028">
        <w:rPr>
          <w:rFonts w:eastAsia="Times New Roman"/>
          <w:lang w:eastAsia="en-US"/>
        </w:rPr>
        <w:t xml:space="preserve"> “Padziļinātas konsultācijas Latvijas uzņēmējiem par ārējiem tirgiem” izpildes secināms, ka tā ir 110,5% apmērā, jo 2022. gadā sniegta 421 padziļināta konsultācija Latvijas uzņēmējiem par ārējiem tirgiem, salīdzinot ar plānotajām 200</w:t>
      </w:r>
      <w:r w:rsidRPr="00307028">
        <w:rPr>
          <w:rFonts w:eastAsia="Times New Roman"/>
          <w:lang w:eastAsia="lv-LV"/>
        </w:rPr>
        <w:t>.</w:t>
      </w:r>
      <w:r w:rsidRPr="00307028">
        <w:rPr>
          <w:rFonts w:eastAsia="Times New Roman"/>
          <w:lang w:eastAsia="en-US"/>
        </w:rPr>
        <w:t xml:space="preserve"> Vienlaikus EM skaidro, ka PP plānotā rezultatīvā rādītāja vērtība ir būtiski pārsniegta ārējo faktoru dēļ – 2022. gadā uzsāktās karadarbības Ukrainā rezultātā ir būtiski augusi uzņēmumu vēlme apgūt jaunus tirgus, kuros līdz šim Latvijas uzņēmumiem ir bijusi maza pieredze. Līdz ar to 2022. gadā būtiski auga arī padziļinātu konsultāciju skaits</w:t>
      </w:r>
      <w:r w:rsidR="00A304E3" w:rsidRPr="00307028">
        <w:rPr>
          <w:rFonts w:eastAsia="Times New Roman"/>
          <w:lang w:eastAsia="en-US"/>
        </w:rPr>
        <w:t xml:space="preserve"> un</w:t>
      </w:r>
      <w:r w:rsidRPr="00307028">
        <w:rPr>
          <w:rFonts w:eastAsia="Times New Roman"/>
          <w:lang w:eastAsia="en-US"/>
        </w:rPr>
        <w:t>, ja šī tendence saglabāsies arī 2023. gadā, varēs pieņemt lēmumu par rezultatīvā rādītāja vērtības turpmākajām izmaiņām.</w:t>
      </w:r>
    </w:p>
    <w:p w14:paraId="5AA449F2" w14:textId="4F028EFB" w:rsidR="00912269" w:rsidRPr="00307028" w:rsidRDefault="00CD647B" w:rsidP="00AA145A">
      <w:pPr>
        <w:spacing w:before="120" w:after="120" w:line="259" w:lineRule="auto"/>
        <w:ind w:firstLine="720"/>
        <w:jc w:val="both"/>
        <w:rPr>
          <w:rFonts w:eastAsia="Times New Roman"/>
          <w:lang w:eastAsia="en-US"/>
        </w:rPr>
      </w:pPr>
      <w:r w:rsidRPr="00307028">
        <w:rPr>
          <w:rFonts w:eastAsia="Times New Roman"/>
          <w:lang w:eastAsia="en-US"/>
        </w:rPr>
        <w:t xml:space="preserve">PP īstenošanai piešķirts finansējums 2022. gadam un turpmāk ik gadu 1,2 milj. </w:t>
      </w:r>
      <w:r w:rsidRPr="00307028">
        <w:rPr>
          <w:rFonts w:eastAsia="Times New Roman"/>
          <w:i/>
          <w:iCs/>
          <w:lang w:eastAsia="en-US"/>
        </w:rPr>
        <w:t>euro</w:t>
      </w:r>
      <w:r w:rsidRPr="00307028">
        <w:rPr>
          <w:rFonts w:eastAsia="Times New Roman"/>
          <w:lang w:eastAsia="en-US"/>
        </w:rPr>
        <w:t xml:space="preserve"> apmērā. Ņemot vērā rezultatīvā rādītāja izpildi, vienlaikus izlietojot mazāku finansējumu – 92,4% apmērā no plānotā, finansējums </w:t>
      </w:r>
      <w:r w:rsidRPr="00307028">
        <w:rPr>
          <w:rFonts w:eastAsia="Times New Roman"/>
          <w:b/>
          <w:bCs/>
          <w:lang w:eastAsia="en-US"/>
        </w:rPr>
        <w:t xml:space="preserve">93 024 </w:t>
      </w:r>
      <w:r w:rsidRPr="00307028">
        <w:rPr>
          <w:rFonts w:eastAsia="Times New Roman"/>
          <w:b/>
          <w:bCs/>
          <w:i/>
          <w:iCs/>
          <w:lang w:eastAsia="en-US"/>
        </w:rPr>
        <w:t>euro</w:t>
      </w:r>
      <w:r w:rsidRPr="00307028">
        <w:rPr>
          <w:rFonts w:eastAsia="Times New Roman"/>
          <w:lang w:eastAsia="en-US"/>
        </w:rPr>
        <w:t xml:space="preserve"> apmērā 2024. gadā un turpmāk ik gadu ir vērtējams kā pieejamie iekšējie resursi. </w:t>
      </w:r>
    </w:p>
    <w:p w14:paraId="4FCC51BF"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FM – Nozaru valsts pētījuma programmas</w:t>
      </w:r>
    </w:p>
    <w:p w14:paraId="6C68F403" w14:textId="4AB22E42" w:rsidR="00CD647B"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PP mērķis ir nodrošināt nozaru politikas prioritāšu īstenošanu un rast zinātniski pamatotus risinājumus aktuāliem nozaru izaicinājumiem.</w:t>
      </w:r>
    </w:p>
    <w:p w14:paraId="26D85657" w14:textId="77777777" w:rsidR="008E73FF" w:rsidRDefault="008E73FF" w:rsidP="00CD647B">
      <w:pPr>
        <w:spacing w:before="120" w:after="120" w:line="259" w:lineRule="auto"/>
        <w:ind w:firstLine="720"/>
        <w:jc w:val="both"/>
        <w:rPr>
          <w:rFonts w:eastAsia="Times New Roman"/>
          <w:lang w:eastAsia="en-US"/>
        </w:rPr>
      </w:pPr>
    </w:p>
    <w:p w14:paraId="26F3A4C0" w14:textId="77777777" w:rsidR="008E73FF" w:rsidRDefault="008E73FF" w:rsidP="00CD647B">
      <w:pPr>
        <w:spacing w:before="120" w:after="120" w:line="259" w:lineRule="auto"/>
        <w:ind w:firstLine="720"/>
        <w:jc w:val="both"/>
        <w:rPr>
          <w:rFonts w:eastAsia="Times New Roman"/>
          <w:lang w:eastAsia="en-US"/>
        </w:rPr>
      </w:pPr>
    </w:p>
    <w:p w14:paraId="76814D71" w14:textId="77777777" w:rsidR="008E73FF" w:rsidRDefault="008E73FF" w:rsidP="00CD647B">
      <w:pPr>
        <w:spacing w:before="120" w:after="120" w:line="259" w:lineRule="auto"/>
        <w:ind w:firstLine="720"/>
        <w:jc w:val="both"/>
        <w:rPr>
          <w:rFonts w:eastAsia="Times New Roman"/>
          <w:lang w:eastAsia="en-US"/>
        </w:rPr>
      </w:pPr>
    </w:p>
    <w:p w14:paraId="581CF666" w14:textId="77777777" w:rsidR="008E73FF" w:rsidRDefault="008E73FF" w:rsidP="00CD647B">
      <w:pPr>
        <w:spacing w:before="120" w:after="120" w:line="259" w:lineRule="auto"/>
        <w:ind w:firstLine="720"/>
        <w:jc w:val="both"/>
        <w:rPr>
          <w:rFonts w:eastAsia="Times New Roman"/>
          <w:lang w:eastAsia="en-US"/>
        </w:rPr>
      </w:pPr>
    </w:p>
    <w:p w14:paraId="3B86C619" w14:textId="77777777" w:rsidR="008E73FF" w:rsidRDefault="008E73FF" w:rsidP="00CD647B">
      <w:pPr>
        <w:spacing w:before="120" w:after="120" w:line="259" w:lineRule="auto"/>
        <w:ind w:firstLine="720"/>
        <w:jc w:val="both"/>
        <w:rPr>
          <w:rFonts w:eastAsia="Times New Roman"/>
          <w:lang w:eastAsia="en-US"/>
        </w:rPr>
      </w:pPr>
    </w:p>
    <w:p w14:paraId="5BE6D301" w14:textId="77777777" w:rsidR="008E73FF" w:rsidRDefault="008E73FF" w:rsidP="00CD647B">
      <w:pPr>
        <w:spacing w:before="120" w:after="120" w:line="259" w:lineRule="auto"/>
        <w:ind w:firstLine="720"/>
        <w:jc w:val="both"/>
        <w:rPr>
          <w:rFonts w:eastAsia="Times New Roman"/>
          <w:lang w:eastAsia="en-US"/>
        </w:rPr>
      </w:pPr>
    </w:p>
    <w:p w14:paraId="5B65EC59" w14:textId="77777777" w:rsidR="008E73FF" w:rsidRPr="00307028" w:rsidRDefault="008E73FF" w:rsidP="00CD647B">
      <w:pPr>
        <w:spacing w:before="120" w:after="120" w:line="259" w:lineRule="auto"/>
        <w:ind w:firstLine="720"/>
        <w:jc w:val="both"/>
        <w:rPr>
          <w:rFonts w:eastAsia="Times New Roman"/>
          <w:lang w:eastAsia="en-US"/>
        </w:rPr>
      </w:pPr>
    </w:p>
    <w:p w14:paraId="1165F8F3" w14:textId="77777777" w:rsidR="00CD647B" w:rsidRPr="00307028" w:rsidRDefault="00CD647B" w:rsidP="00CD647B">
      <w:pPr>
        <w:spacing w:before="120" w:after="120" w:line="259" w:lineRule="auto"/>
        <w:jc w:val="center"/>
        <w:rPr>
          <w:rFonts w:eastAsia="Calibri"/>
          <w:b/>
          <w:sz w:val="22"/>
          <w:szCs w:val="22"/>
          <w:lang w:eastAsia="en-US"/>
        </w:rPr>
      </w:pPr>
      <w:r w:rsidRPr="00307028">
        <w:rPr>
          <w:rFonts w:eastAsia="Calibri"/>
          <w:b/>
          <w:bCs/>
          <w:i/>
          <w:iCs/>
          <w:sz w:val="22"/>
          <w:szCs w:val="22"/>
          <w:lang w:eastAsia="en-US"/>
        </w:rPr>
        <w:lastRenderedPageBreak/>
        <w:t>2.2.3. attēls</w:t>
      </w:r>
      <w:r w:rsidRPr="00307028">
        <w:rPr>
          <w:rFonts w:eastAsia="Calibri"/>
          <w:sz w:val="22"/>
          <w:szCs w:val="22"/>
          <w:lang w:eastAsia="en-US"/>
        </w:rPr>
        <w:t xml:space="preserve"> </w:t>
      </w:r>
      <w:r w:rsidRPr="00307028">
        <w:rPr>
          <w:rFonts w:eastAsia="Calibri"/>
          <w:b/>
          <w:sz w:val="22"/>
          <w:szCs w:val="22"/>
          <w:lang w:eastAsia="en-US"/>
        </w:rPr>
        <w:t xml:space="preserve">PP “Nozaru valsts pētījuma programmas” finansējuma izlietojums, </w:t>
      </w:r>
      <w:r w:rsidRPr="00307028">
        <w:rPr>
          <w:rFonts w:eastAsia="Calibri"/>
          <w:b/>
          <w:i/>
          <w:iCs/>
          <w:sz w:val="22"/>
          <w:szCs w:val="22"/>
          <w:lang w:eastAsia="en-US"/>
        </w:rPr>
        <w:t>euro</w:t>
      </w:r>
    </w:p>
    <w:p w14:paraId="100C3E73" w14:textId="77777777" w:rsidR="00CD647B" w:rsidRPr="00307028" w:rsidRDefault="00CD647B" w:rsidP="00CD647B">
      <w:pPr>
        <w:spacing w:after="120" w:line="259" w:lineRule="auto"/>
        <w:jc w:val="center"/>
        <w:rPr>
          <w:rFonts w:eastAsia="Times New Roman"/>
          <w:lang w:eastAsia="en-US"/>
        </w:rPr>
      </w:pPr>
      <w:r w:rsidRPr="00307028">
        <w:rPr>
          <w:rFonts w:eastAsia="Times New Roman"/>
          <w:noProof/>
          <w:szCs w:val="22"/>
          <w:shd w:val="clear" w:color="auto" w:fill="85C2E0"/>
          <w:lang w:eastAsia="en-US"/>
        </w:rPr>
        <w:drawing>
          <wp:inline distT="0" distB="0" distL="0" distR="0" wp14:anchorId="414C7A27" wp14:editId="103A620E">
            <wp:extent cx="5422265" cy="2226365"/>
            <wp:effectExtent l="0" t="0" r="6985" b="2540"/>
            <wp:docPr id="1" name="Chart 1">
              <a:extLst xmlns:a="http://schemas.openxmlformats.org/drawingml/2006/main">
                <a:ext uri="{FF2B5EF4-FFF2-40B4-BE49-F238E27FC236}">
                  <a16:creationId xmlns:a16="http://schemas.microsoft.com/office/drawing/2014/main" id="{A19AE2A7-68A8-F8A7-609B-3555FD5EC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3BC79BA" w14:textId="311122E7" w:rsidR="001E7AA9" w:rsidRPr="00307028" w:rsidRDefault="001E7AA9" w:rsidP="007A7EFC">
      <w:pPr>
        <w:spacing w:after="120" w:line="259" w:lineRule="auto"/>
        <w:ind w:firstLine="720"/>
        <w:jc w:val="both"/>
        <w:rPr>
          <w:rFonts w:eastAsia="Times New Roman"/>
          <w:lang w:eastAsia="en-US"/>
        </w:rPr>
      </w:pPr>
      <w:r w:rsidRPr="00307028">
        <w:rPr>
          <w:rFonts w:eastAsia="Times New Roman"/>
          <w:lang w:eastAsia="en-US"/>
        </w:rPr>
        <w:t xml:space="preserve">2022. gadā PP finansējums tika izlietots 59,7% apmērā. Sākotnēji PP ietvaros tika plānotas vairākas aktivitātes, bet ņemot vērā piešķirtā finansējuma apjomu un VPP īstenošanas nosacījumus, to realizācijai nepieciešamo laiku un finansējumu, kā arī FM izvirzītās prioritātes, tika atbalstīts, ka PP ietvaros 2020. </w:t>
      </w:r>
      <w:r w:rsidRPr="00307028">
        <w:rPr>
          <w:rFonts w:eastAsia="Times New Roman"/>
          <w:b/>
          <w:bCs/>
          <w:lang w:eastAsia="en-US"/>
        </w:rPr>
        <w:t xml:space="preserve">– </w:t>
      </w:r>
      <w:r w:rsidRPr="00307028">
        <w:rPr>
          <w:rFonts w:eastAsia="Times New Roman"/>
          <w:lang w:eastAsia="en-US"/>
        </w:rPr>
        <w:t xml:space="preserve">2022. gadam visa piešķirtā finansējuma ietvaros tiek īstenota tikai viena VPP "Ēnu ekonomikas mazināšana valsts ilgtspējīgas attīstības nodrošināšanai". VPP projekta izmaksas tika apstiprinātas mazākā apmērā kā sākotnēji tika paredzēts. 2023. gadam paredzētais finansējums 55 000 </w:t>
      </w:r>
      <w:r w:rsidRPr="00307028">
        <w:rPr>
          <w:rFonts w:eastAsia="Times New Roman"/>
          <w:i/>
          <w:iCs/>
          <w:lang w:eastAsia="en-US"/>
        </w:rPr>
        <w:t>euro</w:t>
      </w:r>
      <w:r w:rsidRPr="00307028">
        <w:rPr>
          <w:rFonts w:eastAsia="Times New Roman"/>
          <w:lang w:eastAsia="en-US"/>
        </w:rPr>
        <w:t xml:space="preserve"> apmērā izdevumu pārskatīšanas procesa ietvaros tika novirzīts citiem pasākumiem, jo netika saņemti priekšlikumi jaunām VPP. Ņemot vērā minēto, finansējums </w:t>
      </w:r>
      <w:r w:rsidRPr="00307028">
        <w:rPr>
          <w:rFonts w:eastAsia="Times New Roman"/>
          <w:b/>
          <w:bCs/>
          <w:lang w:eastAsia="en-US"/>
        </w:rPr>
        <w:t xml:space="preserve">55 000 </w:t>
      </w:r>
      <w:r w:rsidRPr="00307028">
        <w:rPr>
          <w:rFonts w:eastAsia="Times New Roman"/>
          <w:b/>
          <w:bCs/>
          <w:i/>
          <w:iCs/>
          <w:lang w:eastAsia="en-US"/>
        </w:rPr>
        <w:t>euro</w:t>
      </w:r>
      <w:r w:rsidRPr="00307028">
        <w:rPr>
          <w:rFonts w:eastAsia="Times New Roman"/>
          <w:lang w:eastAsia="en-US"/>
        </w:rPr>
        <w:t xml:space="preserve"> apmērā 2024.</w:t>
      </w:r>
      <w:r w:rsidR="00937693" w:rsidRPr="00307028">
        <w:rPr>
          <w:rFonts w:eastAsia="Times New Roman"/>
          <w:lang w:eastAsia="en-US"/>
        </w:rPr>
        <w:t xml:space="preserve"> gadam</w:t>
      </w:r>
      <w:r w:rsidRPr="00307028">
        <w:rPr>
          <w:rFonts w:eastAsia="Times New Roman"/>
          <w:lang w:eastAsia="en-US"/>
        </w:rPr>
        <w:t xml:space="preserve"> un turpmāk ik gadu ir vērtējams kā pieejamie iekšējie resursi.</w:t>
      </w:r>
    </w:p>
    <w:p w14:paraId="4B0139BA" w14:textId="63C2657E" w:rsidR="00CD647B" w:rsidRPr="00307028" w:rsidRDefault="00CD647B" w:rsidP="001E7AA9">
      <w:pPr>
        <w:spacing w:before="360" w:after="120" w:line="259" w:lineRule="auto"/>
        <w:jc w:val="both"/>
        <w:rPr>
          <w:rFonts w:eastAsia="Times New Roman"/>
          <w:b/>
          <w:bCs/>
          <w:lang w:eastAsia="en-US"/>
        </w:rPr>
      </w:pPr>
      <w:r w:rsidRPr="00307028">
        <w:rPr>
          <w:rFonts w:eastAsia="Times New Roman"/>
          <w:b/>
          <w:bCs/>
          <w:lang w:eastAsia="lv-LV"/>
        </w:rPr>
        <w:t xml:space="preserve">FM </w:t>
      </w:r>
      <w:r w:rsidR="006264F3" w:rsidRPr="00307028">
        <w:rPr>
          <w:rFonts w:eastAsia="Times New Roman"/>
          <w:b/>
          <w:bCs/>
          <w:lang w:eastAsia="en-US"/>
        </w:rPr>
        <w:t>–</w:t>
      </w:r>
      <w:r w:rsidRPr="00307028">
        <w:rPr>
          <w:rFonts w:eastAsia="Times New Roman"/>
          <w:b/>
          <w:bCs/>
          <w:lang w:eastAsia="lv-LV"/>
        </w:rPr>
        <w:t xml:space="preserve"> </w:t>
      </w:r>
      <w:r w:rsidRPr="00307028">
        <w:rPr>
          <w:rFonts w:eastAsia="Times New Roman"/>
          <w:b/>
          <w:bCs/>
          <w:lang w:eastAsia="en-US"/>
        </w:rPr>
        <w:t>VID Nodokļu un muitas policijas pārvaldes kapacitātes stiprināšana</w:t>
      </w:r>
    </w:p>
    <w:p w14:paraId="091067E5" w14:textId="690999CE" w:rsidR="00CD647B" w:rsidRPr="00307028" w:rsidRDefault="00CD647B" w:rsidP="00CD647B">
      <w:pPr>
        <w:spacing w:before="120" w:after="120" w:line="259" w:lineRule="auto"/>
        <w:ind w:firstLine="720"/>
        <w:jc w:val="both"/>
        <w:rPr>
          <w:rFonts w:eastAsia="Times New Roman"/>
          <w:b/>
          <w:bCs/>
          <w:lang w:eastAsia="en-US"/>
        </w:rPr>
      </w:pPr>
      <w:r w:rsidRPr="00307028">
        <w:rPr>
          <w:rFonts w:eastAsia="Times New Roman"/>
          <w:lang w:eastAsia="en-US"/>
        </w:rPr>
        <w:t>PP “FM resora spēju stiprināšana, tajā skaitā IUB, V</w:t>
      </w:r>
      <w:r w:rsidR="000E1043" w:rsidRPr="00307028">
        <w:rPr>
          <w:rFonts w:eastAsia="Times New Roman"/>
          <w:lang w:eastAsia="en-US"/>
        </w:rPr>
        <w:t>alsts kase</w:t>
      </w:r>
      <w:r w:rsidRPr="00307028">
        <w:rPr>
          <w:rFonts w:eastAsia="Times New Roman"/>
          <w:lang w:eastAsia="en-US"/>
        </w:rPr>
        <w:t xml:space="preserve"> un VID Nodokļu un muitas policijas pārvaldes kapacitātes stiprināšana un muitas infrastruktūras pilnveidošana” piešķirtā finansējuma ietvaros VID bija plānoti pasākumi trīs virzienos, attiecīgi Nodokļu un muitas policijas pārvaldes (NMPP) amatpersonu atlīdzības palielināšana, tehniskā aprīkojuma un IT risinājuma pielāgošana darbam ar E-lietu, kā arī videonovērošanas sistēmas paplašināšana muitas kontroles punktos. IT risinājuma pielāgošanai darbam ar E-lietu bija plānota VID IS sasaiste un datu apmaiņa ar </w:t>
      </w:r>
      <w:r w:rsidR="00A304E3" w:rsidRPr="00307028">
        <w:rPr>
          <w:rFonts w:eastAsia="Times New Roman"/>
          <w:lang w:eastAsia="en-US"/>
        </w:rPr>
        <w:t>IeM</w:t>
      </w:r>
      <w:r w:rsidRPr="00307028">
        <w:rPr>
          <w:rFonts w:eastAsia="Times New Roman"/>
          <w:lang w:eastAsia="en-US"/>
        </w:rPr>
        <w:t xml:space="preserve"> Informācijas centra (IeM IC) E-KRASS sistēmu. IeM IC ir kavēšanās ar E-KRASS sistēmas izstrādi, tādējādi plānotajā laikā netiks nodrošināta VID IS sasaiste, tādējādi plānotais finansējums 2024. gadā 195 423 </w:t>
      </w:r>
      <w:r w:rsidRPr="00307028">
        <w:rPr>
          <w:rFonts w:eastAsia="Times New Roman"/>
          <w:i/>
          <w:iCs/>
          <w:lang w:eastAsia="en-US"/>
        </w:rPr>
        <w:t>euro</w:t>
      </w:r>
      <w:r w:rsidRPr="00307028">
        <w:rPr>
          <w:rFonts w:eastAsia="Times New Roman"/>
          <w:lang w:eastAsia="en-US"/>
        </w:rPr>
        <w:t xml:space="preserve">, 2025. gadā un turpmāk ik gadu 30 492 </w:t>
      </w:r>
      <w:r w:rsidRPr="00307028">
        <w:rPr>
          <w:rFonts w:eastAsia="Times New Roman"/>
          <w:i/>
          <w:iCs/>
          <w:lang w:eastAsia="en-US"/>
        </w:rPr>
        <w:t>euro</w:t>
      </w:r>
      <w:r w:rsidRPr="00307028">
        <w:rPr>
          <w:rFonts w:eastAsia="Times New Roman"/>
          <w:lang w:eastAsia="en-US"/>
        </w:rPr>
        <w:t xml:space="preserve"> netiks izlietots</w:t>
      </w:r>
      <w:r w:rsidRPr="00307028">
        <w:rPr>
          <w:rFonts w:eastAsia="Times New Roman"/>
          <w:b/>
          <w:bCs/>
          <w:lang w:eastAsia="en-US"/>
        </w:rPr>
        <w:t xml:space="preserve">. </w:t>
      </w:r>
    </w:p>
    <w:p w14:paraId="556E6F11" w14:textId="13F2F734" w:rsidR="00CD647B" w:rsidRPr="00307028" w:rsidRDefault="00CD647B" w:rsidP="00CD647B">
      <w:pPr>
        <w:spacing w:before="120" w:after="120" w:line="259" w:lineRule="auto"/>
        <w:ind w:firstLine="720"/>
        <w:jc w:val="both"/>
        <w:rPr>
          <w:rFonts w:eastAsia="Times New Roman"/>
          <w:b/>
          <w:bCs/>
          <w:lang w:eastAsia="en-US"/>
        </w:rPr>
      </w:pPr>
      <w:r w:rsidRPr="00307028">
        <w:rPr>
          <w:rFonts w:eastAsia="Times New Roman"/>
          <w:lang w:eastAsia="en-US"/>
        </w:rPr>
        <w:t xml:space="preserve">Ņemot vērā minēto, priekšlikums </w:t>
      </w:r>
      <w:r w:rsidR="00506B88" w:rsidRPr="00307028">
        <w:rPr>
          <w:rFonts w:eastAsia="Times New Roman"/>
          <w:lang w:eastAsia="en-US"/>
        </w:rPr>
        <w:t>plānoto finansējumu FM</w:t>
      </w:r>
      <w:r w:rsidRPr="00307028">
        <w:rPr>
          <w:rFonts w:eastAsia="Times New Roman"/>
          <w:lang w:eastAsia="en-US"/>
        </w:rPr>
        <w:t xml:space="preserve"> budžeta programmā 33.00.00 “Valsts ieņēmumu un muitas politikas nodrošināšana” </w:t>
      </w:r>
      <w:r w:rsidR="00506B88" w:rsidRPr="00307028">
        <w:rPr>
          <w:rFonts w:eastAsia="Times New Roman"/>
          <w:lang w:eastAsia="en-US"/>
        </w:rPr>
        <w:t xml:space="preserve">pārdalīt starp aktivitātēm (virzieniem) </w:t>
      </w:r>
      <w:r w:rsidRPr="00307028">
        <w:rPr>
          <w:rFonts w:eastAsia="Times New Roman"/>
          <w:lang w:eastAsia="en-US"/>
        </w:rPr>
        <w:t>PP ietvaros nemainot pasākuma mērķi</w:t>
      </w:r>
      <w:r w:rsidR="00506B88" w:rsidRPr="00307028">
        <w:rPr>
          <w:rFonts w:eastAsia="Times New Roman"/>
          <w:lang w:eastAsia="en-US"/>
        </w:rPr>
        <w:t>, t.sk.</w:t>
      </w:r>
      <w:r w:rsidRPr="00307028">
        <w:rPr>
          <w:rFonts w:eastAsia="Times New Roman"/>
          <w:lang w:eastAsia="en-US"/>
        </w:rPr>
        <w:t xml:space="preserve"> 2024. gadā un turpmāk ik gadu finansējumu </w:t>
      </w:r>
      <w:r w:rsidRPr="00307028">
        <w:rPr>
          <w:rFonts w:eastAsia="Times New Roman"/>
          <w:b/>
          <w:bCs/>
          <w:lang w:eastAsia="en-US"/>
        </w:rPr>
        <w:t xml:space="preserve">30 492 </w:t>
      </w:r>
      <w:r w:rsidRPr="00307028">
        <w:rPr>
          <w:rFonts w:eastAsia="Times New Roman"/>
          <w:b/>
          <w:bCs/>
          <w:i/>
          <w:iCs/>
          <w:lang w:eastAsia="en-US"/>
        </w:rPr>
        <w:t>euro</w:t>
      </w:r>
      <w:r w:rsidRPr="00307028">
        <w:rPr>
          <w:rFonts w:eastAsia="Times New Roman"/>
          <w:lang w:eastAsia="en-US"/>
        </w:rPr>
        <w:t xml:space="preserve"> apmērā novirzīt NMPP </w:t>
      </w:r>
      <w:r w:rsidR="00506B88" w:rsidRPr="00307028">
        <w:rPr>
          <w:rFonts w:eastAsia="Times New Roman"/>
          <w:lang w:eastAsia="en-US"/>
        </w:rPr>
        <w:t xml:space="preserve">nodarbināto </w:t>
      </w:r>
      <w:r w:rsidRPr="00307028">
        <w:rPr>
          <w:rFonts w:eastAsia="Times New Roman"/>
          <w:lang w:eastAsia="en-US"/>
        </w:rPr>
        <w:t xml:space="preserve">atlīdzības palielināšanai, savukārt 2024. gadā </w:t>
      </w:r>
      <w:r w:rsidRPr="00307028">
        <w:rPr>
          <w:rFonts w:eastAsia="Times New Roman"/>
          <w:b/>
          <w:bCs/>
          <w:lang w:eastAsia="en-US"/>
        </w:rPr>
        <w:t xml:space="preserve">164 931 </w:t>
      </w:r>
      <w:r w:rsidRPr="00307028">
        <w:rPr>
          <w:rFonts w:eastAsia="Times New Roman"/>
          <w:b/>
          <w:bCs/>
          <w:i/>
          <w:iCs/>
          <w:lang w:eastAsia="en-US"/>
        </w:rPr>
        <w:t>euro</w:t>
      </w:r>
      <w:r w:rsidRPr="00307028">
        <w:rPr>
          <w:rFonts w:eastAsia="Times New Roman"/>
          <w:lang w:eastAsia="en-US"/>
        </w:rPr>
        <w:t xml:space="preserve"> novirzīt </w:t>
      </w:r>
      <w:r w:rsidR="00506B88" w:rsidRPr="00307028">
        <w:rPr>
          <w:rFonts w:eastAsia="Times New Roman"/>
          <w:lang w:eastAsia="en-US"/>
        </w:rPr>
        <w:t xml:space="preserve">vienreizēju motivēšanas pasākumu nodrošināšanai atlīdzības ietvaros </w:t>
      </w:r>
      <w:r w:rsidRPr="00307028">
        <w:rPr>
          <w:rFonts w:eastAsia="Times New Roman"/>
          <w:lang w:eastAsia="en-US"/>
        </w:rPr>
        <w:t xml:space="preserve">NMPP </w:t>
      </w:r>
      <w:r w:rsidR="00506B88" w:rsidRPr="00307028">
        <w:rPr>
          <w:rFonts w:eastAsia="Times New Roman"/>
          <w:lang w:eastAsia="en-US"/>
        </w:rPr>
        <w:t>nodarbinātajiem</w:t>
      </w:r>
      <w:r w:rsidRPr="00307028">
        <w:rPr>
          <w:rFonts w:eastAsia="Times New Roman"/>
          <w:lang w:eastAsia="en-US"/>
        </w:rPr>
        <w:t>.</w:t>
      </w:r>
    </w:p>
    <w:p w14:paraId="08A7C5D5" w14:textId="39919284"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 xml:space="preserve">IeM </w:t>
      </w:r>
      <w:r w:rsidR="006264F3" w:rsidRPr="00307028">
        <w:rPr>
          <w:rFonts w:eastAsia="Times New Roman"/>
          <w:b/>
          <w:bCs/>
          <w:lang w:eastAsia="en-US"/>
        </w:rPr>
        <w:t>–</w:t>
      </w:r>
      <w:r w:rsidRPr="00307028">
        <w:rPr>
          <w:rFonts w:eastAsia="Times New Roman"/>
          <w:b/>
          <w:bCs/>
          <w:lang w:eastAsia="en-US"/>
        </w:rPr>
        <w:t xml:space="preserve"> Valsts policijas amatpersonu izglītības sistēmas pilnveide (tai skaitā izmeklētāju apmācību centra izveide)</w:t>
      </w:r>
    </w:p>
    <w:p w14:paraId="275D2A03" w14:textId="5A113C91"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Saskaņā ar MK 2023. gada 27. jūnija noteikumiem Nr. 354 “Iekšlietu ministrijas sistēmas koledžu finansēšanas noteikumi” (turpmāk – MK noteikumi Nr.</w:t>
      </w:r>
      <w:r w:rsidR="000D19BF" w:rsidRPr="00307028">
        <w:rPr>
          <w:rFonts w:eastAsia="Times New Roman"/>
          <w:lang w:eastAsia="en-US"/>
        </w:rPr>
        <w:t xml:space="preserve"> </w:t>
      </w:r>
      <w:r w:rsidRPr="00307028">
        <w:rPr>
          <w:rFonts w:eastAsia="Times New Roman"/>
          <w:lang w:eastAsia="en-US"/>
        </w:rPr>
        <w:t>354) tiek noteikta Ie</w:t>
      </w:r>
      <w:r w:rsidR="000D19BF" w:rsidRPr="00307028">
        <w:rPr>
          <w:rFonts w:eastAsia="Times New Roman"/>
          <w:lang w:eastAsia="en-US"/>
        </w:rPr>
        <w:t xml:space="preserve">M </w:t>
      </w:r>
      <w:r w:rsidRPr="00307028">
        <w:rPr>
          <w:rFonts w:eastAsia="Times New Roman"/>
          <w:lang w:eastAsia="en-US"/>
        </w:rPr>
        <w:lastRenderedPageBreak/>
        <w:t>sistēmā esošo koledžu akadēmiskā personāla (izņemot amatpersonas ar speciālajām dienesta pakāpēm) atlīdzības noteikšanas kārtība.</w:t>
      </w:r>
    </w:p>
    <w:p w14:paraId="3C218052" w14:textId="4B79422B"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Atbilstoši MK noteikumu Nr.</w:t>
      </w:r>
      <w:r w:rsidR="000D19BF" w:rsidRPr="00307028">
        <w:rPr>
          <w:rFonts w:eastAsia="Times New Roman"/>
          <w:lang w:eastAsia="en-US"/>
        </w:rPr>
        <w:t xml:space="preserve"> </w:t>
      </w:r>
      <w:r w:rsidRPr="00307028">
        <w:rPr>
          <w:rFonts w:eastAsia="Times New Roman"/>
          <w:lang w:eastAsia="en-US"/>
        </w:rPr>
        <w:t>354 sākotnējās ietekmes novērtējuma ziņojumā (anotācijā) norādītajam, papildu nepieciešamais finansējums IeM sistēmas izglītības iestāžu akadēmiskā personāla (darbinieku) atlīdzībai 2024. gadam un turpmākajiem gadiem ir 267</w:t>
      </w:r>
      <w:r w:rsidR="0034757D" w:rsidRPr="00307028">
        <w:rPr>
          <w:rFonts w:eastAsia="Times New Roman"/>
          <w:lang w:eastAsia="en-US"/>
        </w:rPr>
        <w:t> </w:t>
      </w:r>
      <w:r w:rsidRPr="00307028">
        <w:rPr>
          <w:rFonts w:eastAsia="Times New Roman"/>
          <w:lang w:eastAsia="en-US"/>
        </w:rPr>
        <w:t>938</w:t>
      </w:r>
      <w:r w:rsidR="0034757D" w:rsidRPr="00307028">
        <w:rPr>
          <w:rFonts w:eastAsia="Times New Roman"/>
          <w:lang w:eastAsia="en-US"/>
        </w:rPr>
        <w:t> </w:t>
      </w:r>
      <w:r w:rsidRPr="00307028">
        <w:rPr>
          <w:rFonts w:eastAsia="Times New Roman"/>
          <w:i/>
          <w:iCs/>
          <w:lang w:eastAsia="en-US"/>
        </w:rPr>
        <w:t>euro</w:t>
      </w:r>
      <w:r w:rsidRPr="00307028">
        <w:rPr>
          <w:rFonts w:eastAsia="Times New Roman"/>
          <w:lang w:eastAsia="en-US"/>
        </w:rPr>
        <w:t>, tai skaitā:</w:t>
      </w:r>
    </w:p>
    <w:p w14:paraId="6C448B59" w14:textId="77777777" w:rsidR="00CD647B" w:rsidRPr="00307028" w:rsidRDefault="00CD647B" w:rsidP="00070D5F">
      <w:pPr>
        <w:numPr>
          <w:ilvl w:val="0"/>
          <w:numId w:val="41"/>
        </w:numPr>
        <w:spacing w:before="120" w:after="120" w:line="259" w:lineRule="auto"/>
        <w:ind w:left="1418" w:hanging="426"/>
        <w:jc w:val="both"/>
        <w:rPr>
          <w:rFonts w:eastAsia="Times New Roman"/>
          <w:lang w:eastAsia="en-US"/>
        </w:rPr>
      </w:pPr>
      <w:r w:rsidRPr="00307028">
        <w:rPr>
          <w:rFonts w:eastAsia="Times New Roman"/>
          <w:lang w:eastAsia="en-US"/>
        </w:rPr>
        <w:t xml:space="preserve">Valsts policijas koledžai (budžeta apakšprogramma 06.01.00 “Valsts policija”) 220 409 </w:t>
      </w:r>
      <w:r w:rsidRPr="00307028">
        <w:rPr>
          <w:rFonts w:eastAsia="Times New Roman"/>
          <w:i/>
          <w:iCs/>
          <w:lang w:eastAsia="en-US"/>
        </w:rPr>
        <w:t>euro</w:t>
      </w:r>
      <w:r w:rsidRPr="00307028">
        <w:rPr>
          <w:rFonts w:eastAsia="Times New Roman"/>
          <w:lang w:eastAsia="en-US"/>
        </w:rPr>
        <w:t>;</w:t>
      </w:r>
    </w:p>
    <w:p w14:paraId="1CA2D310" w14:textId="77777777" w:rsidR="00CD647B" w:rsidRPr="00307028" w:rsidRDefault="00CD647B" w:rsidP="00070D5F">
      <w:pPr>
        <w:numPr>
          <w:ilvl w:val="0"/>
          <w:numId w:val="41"/>
        </w:numPr>
        <w:spacing w:before="120" w:after="120" w:line="259" w:lineRule="auto"/>
        <w:ind w:left="1418" w:hanging="426"/>
        <w:jc w:val="both"/>
        <w:rPr>
          <w:rFonts w:eastAsia="Times New Roman"/>
          <w:lang w:eastAsia="en-US"/>
        </w:rPr>
      </w:pPr>
      <w:r w:rsidRPr="00307028">
        <w:rPr>
          <w:rFonts w:eastAsia="Times New Roman"/>
          <w:lang w:eastAsia="en-US"/>
        </w:rPr>
        <w:t xml:space="preserve">Ugunsdrošības un civilās aizsardzības koledžai (budžeta programma 07.00.00 “Ugunsdrošība, glābšana un civilā aizsardzība”) 47 529 </w:t>
      </w:r>
      <w:r w:rsidRPr="00307028">
        <w:rPr>
          <w:rFonts w:eastAsia="Times New Roman"/>
          <w:i/>
          <w:iCs/>
          <w:lang w:eastAsia="en-US"/>
        </w:rPr>
        <w:t>euro</w:t>
      </w:r>
      <w:r w:rsidRPr="00307028">
        <w:rPr>
          <w:rFonts w:eastAsia="Times New Roman"/>
          <w:lang w:eastAsia="en-US"/>
        </w:rPr>
        <w:t>.</w:t>
      </w:r>
    </w:p>
    <w:p w14:paraId="2D87DEDC" w14:textId="77777777"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MK noteikumu Nr. 354 paredzēto normu izpilde tiks nodrošināta IeM piešķirto valsts budžeta līdzekļu ietvaros.</w:t>
      </w:r>
    </w:p>
    <w:p w14:paraId="507D73CA" w14:textId="4A63138D"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Saskaņā ar MK 2023. gada 27. jūnija sēdes protokola Nr.</w:t>
      </w:r>
      <w:r w:rsidR="000D19BF" w:rsidRPr="00307028">
        <w:rPr>
          <w:rFonts w:eastAsia="Times New Roman"/>
          <w:lang w:eastAsia="en-US"/>
        </w:rPr>
        <w:t xml:space="preserve"> </w:t>
      </w:r>
      <w:r w:rsidRPr="00307028">
        <w:rPr>
          <w:rFonts w:eastAsia="Times New Roman"/>
          <w:lang w:eastAsia="en-US"/>
        </w:rPr>
        <w:t xml:space="preserve">34 46.§ 4. punktu nepieciešamais finansējums atlīdzības palielināšanai IeM sistēmas koledžu akadēmiskajam personālam </w:t>
      </w:r>
      <w:r w:rsidRPr="00307028">
        <w:rPr>
          <w:rFonts w:eastAsia="Times New Roman"/>
          <w:b/>
          <w:bCs/>
          <w:lang w:eastAsia="en-US"/>
        </w:rPr>
        <w:t xml:space="preserve">267 938 </w:t>
      </w:r>
      <w:r w:rsidRPr="00307028">
        <w:rPr>
          <w:rFonts w:eastAsia="Times New Roman"/>
          <w:b/>
          <w:bCs/>
          <w:i/>
          <w:iCs/>
          <w:lang w:eastAsia="en-US"/>
        </w:rPr>
        <w:t>euro</w:t>
      </w:r>
      <w:r w:rsidRPr="00307028">
        <w:rPr>
          <w:rFonts w:eastAsia="Times New Roman"/>
          <w:lang w:eastAsia="en-US"/>
        </w:rPr>
        <w:t xml:space="preserve"> apmērā 2024. gadā un turpmāk katru gadu nodrošināms no Ie</w:t>
      </w:r>
      <w:r w:rsidR="000D19BF" w:rsidRPr="00307028">
        <w:rPr>
          <w:rFonts w:eastAsia="Times New Roman"/>
          <w:lang w:eastAsia="en-US"/>
        </w:rPr>
        <w:t xml:space="preserve">M </w:t>
      </w:r>
      <w:r w:rsidRPr="00307028">
        <w:rPr>
          <w:rFonts w:eastAsia="Times New Roman"/>
          <w:lang w:eastAsia="en-US"/>
        </w:rPr>
        <w:t>2022.</w:t>
      </w:r>
      <w:r w:rsidR="000D19BF" w:rsidRPr="00307028">
        <w:rPr>
          <w:rFonts w:eastAsia="Times New Roman"/>
          <w:lang w:eastAsia="en-US"/>
        </w:rPr>
        <w:t> </w:t>
      </w:r>
      <w:r w:rsidRPr="00307028">
        <w:rPr>
          <w:rFonts w:eastAsia="Times New Roman"/>
          <w:lang w:eastAsia="en-US"/>
        </w:rPr>
        <w:t>– 2024. gada PP “Valsts policijas amatpersonu izglītības sistēmas pilnveide (tai skaitā izmeklētāju apmācību centra izveide)” piešķirtajiem valsts budžeta līdzekļiem.</w:t>
      </w:r>
    </w:p>
    <w:p w14:paraId="77CFEC5D" w14:textId="55F1F637"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Savukārt atbilstoši MK 2023. gada 27. jūnija sēdes protokola Nr.</w:t>
      </w:r>
      <w:r w:rsidR="000D19BF" w:rsidRPr="00307028">
        <w:rPr>
          <w:rFonts w:eastAsia="Times New Roman"/>
          <w:lang w:eastAsia="en-US"/>
        </w:rPr>
        <w:t xml:space="preserve"> </w:t>
      </w:r>
      <w:r w:rsidRPr="00307028">
        <w:rPr>
          <w:rFonts w:eastAsia="Times New Roman"/>
          <w:lang w:eastAsia="en-US"/>
        </w:rPr>
        <w:t>34 46.§ 7. punktam, lai nodrošinātu finansējumu atlīdzības palielināšanai IeM sistēmas koledžu akadēmiskajam personālam 2024. gadā un turpmāk katru gadu, IeM dots uzdevums 2023. gada izdevumu pārskatīšanas procesā iesniegt FM priekšlikumus izdevumu pārdalei starp IeM budžeta programmām, apakšprogrammām un izdevumu kodiem atbilstoši ekonomiskajām kategorijām.</w:t>
      </w:r>
    </w:p>
    <w:p w14:paraId="7EAB9FC5"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KM – Vispārējo latviešu Dziesmu un Deju svētku tradīcijai 150 gadu</w:t>
      </w:r>
    </w:p>
    <w:p w14:paraId="191D4FAA" w14:textId="405FEA92" w:rsidR="00CD647B" w:rsidRPr="00307028" w:rsidRDefault="00CD647B" w:rsidP="00CD647B">
      <w:pPr>
        <w:spacing w:before="120" w:after="120" w:line="259" w:lineRule="auto"/>
        <w:jc w:val="both"/>
        <w:rPr>
          <w:rFonts w:eastAsia="Times New Roman"/>
          <w:lang w:eastAsia="en-US"/>
        </w:rPr>
      </w:pPr>
      <w:r w:rsidRPr="00307028">
        <w:rPr>
          <w:rFonts w:eastAsia="Times New Roman"/>
          <w:lang w:eastAsia="en-US"/>
        </w:rPr>
        <w:tab/>
        <w:t xml:space="preserve">Sagatavojot likumprojektu “Par valsts budžetu 2022. gadam”, KM tika atbalstīts PP “Vispārējo Latviešu dziesmu un deju svētku tradīcijai 150 gadi”. PP ietvaros no 2024. gada plānots finansējums Rakstniecības un mūzikas muzejam Dziesmu svētku ekspozīcijas Mežaparkā darbības nodrošināšanai </w:t>
      </w:r>
      <w:r w:rsidR="000D19BF" w:rsidRPr="00307028">
        <w:rPr>
          <w:rFonts w:eastAsia="Times New Roman"/>
          <w:lang w:eastAsia="en-US"/>
        </w:rPr>
        <w:t xml:space="preserve">ir </w:t>
      </w:r>
      <w:r w:rsidRPr="00307028">
        <w:rPr>
          <w:rFonts w:eastAsia="Times New Roman"/>
          <w:lang w:eastAsia="en-US"/>
        </w:rPr>
        <w:t xml:space="preserve">663 458 </w:t>
      </w:r>
      <w:r w:rsidRPr="00307028">
        <w:rPr>
          <w:rFonts w:eastAsia="Times New Roman"/>
          <w:i/>
          <w:iCs/>
          <w:lang w:eastAsia="en-US"/>
        </w:rPr>
        <w:t>euro</w:t>
      </w:r>
      <w:r w:rsidRPr="00307028">
        <w:rPr>
          <w:rFonts w:eastAsia="Times New Roman"/>
          <w:lang w:eastAsia="en-US"/>
        </w:rPr>
        <w:t xml:space="preserve">. Ņemot vērā faktiskās ekspozīcijas izmaksas, secināms, ka PP nodrošināšanai 2024. gadā nepieciešams par </w:t>
      </w:r>
      <w:r w:rsidRPr="00307028">
        <w:rPr>
          <w:rFonts w:eastAsia="Times New Roman"/>
          <w:b/>
          <w:bCs/>
          <w:lang w:eastAsia="en-US"/>
        </w:rPr>
        <w:t xml:space="preserve">238 136 </w:t>
      </w:r>
      <w:r w:rsidRPr="00307028">
        <w:rPr>
          <w:rFonts w:eastAsia="Times New Roman"/>
          <w:b/>
          <w:bCs/>
          <w:i/>
          <w:iCs/>
          <w:lang w:eastAsia="en-US"/>
        </w:rPr>
        <w:t>euro</w:t>
      </w:r>
      <w:r w:rsidRPr="00307028">
        <w:rPr>
          <w:rFonts w:eastAsia="Times New Roman"/>
          <w:lang w:eastAsia="en-US"/>
        </w:rPr>
        <w:t xml:space="preserve"> mazāks finansējums, nekā ieplānots, un</w:t>
      </w:r>
      <w:r w:rsidR="000D19BF" w:rsidRPr="00307028">
        <w:rPr>
          <w:rFonts w:eastAsia="Times New Roman"/>
          <w:lang w:eastAsia="en-US"/>
        </w:rPr>
        <w:t>,</w:t>
      </w:r>
      <w:r w:rsidRPr="00307028">
        <w:rPr>
          <w:rFonts w:eastAsia="Times New Roman"/>
          <w:lang w:eastAsia="en-US"/>
        </w:rPr>
        <w:t xml:space="preserve"> zinot, ka Rakstniecības un mūzikas muzeja ekspozīcijai Mārstaļu ielā 6, Rīgā</w:t>
      </w:r>
      <w:r w:rsidR="000D19BF" w:rsidRPr="00307028">
        <w:rPr>
          <w:rFonts w:eastAsia="Times New Roman"/>
          <w:lang w:eastAsia="en-US"/>
        </w:rPr>
        <w:t>,</w:t>
      </w:r>
      <w:r w:rsidRPr="00307028">
        <w:rPr>
          <w:rFonts w:eastAsia="Times New Roman"/>
          <w:lang w:eastAsia="en-US"/>
        </w:rPr>
        <w:t xml:space="preserve"> nav paredzēts finansējums ne ekspozīcijas izveidei, ne uzturēšanai, </w:t>
      </w:r>
      <w:r w:rsidR="000D19BF" w:rsidRPr="00307028">
        <w:rPr>
          <w:rFonts w:eastAsia="Times New Roman"/>
          <w:lang w:eastAsia="en-US"/>
        </w:rPr>
        <w:t>KM</w:t>
      </w:r>
      <w:r w:rsidRPr="00307028">
        <w:rPr>
          <w:rFonts w:eastAsia="Times New Roman"/>
          <w:lang w:eastAsia="en-US"/>
        </w:rPr>
        <w:t xml:space="preserve"> ierosina ietaupīto finansējumu no Rakstniecības un mūzikas muzeja ekspozīcijas Mežaparkā pārvirzīt tā paša muzeja ekspozīcijas Mārstaļu ielā 6, Rīgā</w:t>
      </w:r>
      <w:r w:rsidR="000D19BF" w:rsidRPr="00307028">
        <w:rPr>
          <w:rFonts w:eastAsia="Times New Roman"/>
          <w:lang w:eastAsia="en-US"/>
        </w:rPr>
        <w:t>,</w:t>
      </w:r>
      <w:r w:rsidRPr="00307028">
        <w:rPr>
          <w:rFonts w:eastAsia="Times New Roman"/>
          <w:lang w:eastAsia="en-US"/>
        </w:rPr>
        <w:t xml:space="preserve"> uzturēšanas un izveides izmaksām 2024. gadā un no 2025. gada ekspozīcijas uzturēšanas izmaksām. </w:t>
      </w:r>
    </w:p>
    <w:p w14:paraId="1485F36B"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 xml:space="preserve">KM – Valsts nekustamo īpašumu nomas maksas un apsaimniekošanas izdevumu pieauguma segšana </w:t>
      </w:r>
    </w:p>
    <w:p w14:paraId="71D80E5C" w14:textId="5C9F3C12"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LNKC līdz 2022. gada 31. novembrim nomāja biroja telpas 479,5 m</w:t>
      </w:r>
      <w:r w:rsidRPr="00307028">
        <w:rPr>
          <w:rFonts w:eastAsia="Times New Roman"/>
          <w:vertAlign w:val="superscript"/>
          <w:lang w:eastAsia="en-US"/>
        </w:rPr>
        <w:t>2</w:t>
      </w:r>
      <w:r w:rsidRPr="00307028">
        <w:rPr>
          <w:rFonts w:eastAsia="Times New Roman"/>
          <w:lang w:eastAsia="en-US"/>
        </w:rPr>
        <w:t xml:space="preserve"> platībā no VAS “Valsts nekustamie īpašumi” Pils laukumā 4, Rīgā. 2022. gada 1. decembrī LNKC pārcēlās uz telpām Meierovica bulvārī 14, Rīgā, un sākot ar 2023. gada 1. janvāri sāka nomāt telpas no VAS “Valsts nekustamie īpašumi” 449,9 m</w:t>
      </w:r>
      <w:r w:rsidRPr="00307028">
        <w:rPr>
          <w:rFonts w:eastAsia="Times New Roman"/>
          <w:vertAlign w:val="superscript"/>
          <w:lang w:eastAsia="en-US"/>
        </w:rPr>
        <w:t>2</w:t>
      </w:r>
      <w:r w:rsidRPr="00307028">
        <w:rPr>
          <w:rFonts w:eastAsia="Times New Roman"/>
          <w:lang w:eastAsia="en-US"/>
        </w:rPr>
        <w:t xml:space="preserve"> platībā – daļu no telpām, ko iepriekš Meierovica bulvārī 14, Rīgā</w:t>
      </w:r>
      <w:r w:rsidR="000D19BF" w:rsidRPr="00307028">
        <w:rPr>
          <w:rFonts w:eastAsia="Times New Roman"/>
          <w:lang w:eastAsia="en-US"/>
        </w:rPr>
        <w:t>,</w:t>
      </w:r>
      <w:r w:rsidRPr="00307028">
        <w:rPr>
          <w:rFonts w:eastAsia="Times New Roman"/>
          <w:lang w:eastAsia="en-US"/>
        </w:rPr>
        <w:t xml:space="preserve"> nomāja KM. Savukārt no 2023. gada 1. janvāra telpas Meierovica bulvārī 14, Rīgā</w:t>
      </w:r>
      <w:r w:rsidR="000D19BF" w:rsidRPr="00307028">
        <w:rPr>
          <w:rFonts w:eastAsia="Times New Roman"/>
          <w:lang w:eastAsia="en-US"/>
        </w:rPr>
        <w:t>,</w:t>
      </w:r>
      <w:r w:rsidRPr="00307028">
        <w:rPr>
          <w:rFonts w:eastAsia="Times New Roman"/>
          <w:lang w:eastAsia="en-US"/>
        </w:rPr>
        <w:t xml:space="preserve"> tiek nomātas 434,6 m</w:t>
      </w:r>
      <w:r w:rsidRPr="00307028">
        <w:rPr>
          <w:rFonts w:eastAsia="Times New Roman"/>
          <w:vertAlign w:val="superscript"/>
          <w:lang w:eastAsia="en-US"/>
        </w:rPr>
        <w:t>2</w:t>
      </w:r>
      <w:r w:rsidRPr="00307028">
        <w:rPr>
          <w:rFonts w:eastAsia="Times New Roman"/>
          <w:lang w:eastAsia="en-US"/>
        </w:rPr>
        <w:t xml:space="preserve"> platībā. </w:t>
      </w:r>
    </w:p>
    <w:p w14:paraId="08ABCBFF" w14:textId="3F189728"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lastRenderedPageBreak/>
        <w:t xml:space="preserve">LNKC par telpām Pils laukumā 4, Rīgā maksāja nomas maksu 20 408,16 </w:t>
      </w:r>
      <w:r w:rsidRPr="00307028">
        <w:rPr>
          <w:rFonts w:eastAsia="Times New Roman"/>
          <w:i/>
          <w:iCs/>
          <w:lang w:eastAsia="en-US"/>
        </w:rPr>
        <w:t>euro</w:t>
      </w:r>
      <w:r w:rsidRPr="00307028">
        <w:rPr>
          <w:rFonts w:eastAsia="Times New Roman"/>
          <w:lang w:eastAsia="en-US"/>
        </w:rPr>
        <w:t xml:space="preserve"> ar PVN gadā un sedza izdevumus par ēkas apdrošināšanu 56,04 </w:t>
      </w:r>
      <w:r w:rsidRPr="00307028">
        <w:rPr>
          <w:rFonts w:eastAsia="Times New Roman"/>
          <w:i/>
          <w:iCs/>
          <w:lang w:eastAsia="en-US"/>
        </w:rPr>
        <w:t>euro</w:t>
      </w:r>
      <w:r w:rsidR="000D19BF" w:rsidRPr="00307028">
        <w:rPr>
          <w:rFonts w:eastAsia="Times New Roman"/>
          <w:i/>
          <w:iCs/>
          <w:lang w:eastAsia="en-US"/>
        </w:rPr>
        <w:t xml:space="preserve"> </w:t>
      </w:r>
      <w:r w:rsidR="000D19BF" w:rsidRPr="00307028">
        <w:rPr>
          <w:rFonts w:eastAsia="Times New Roman"/>
          <w:lang w:eastAsia="en-US"/>
        </w:rPr>
        <w:t>apmērā</w:t>
      </w:r>
      <w:r w:rsidRPr="00307028">
        <w:rPr>
          <w:rFonts w:eastAsia="Times New Roman"/>
          <w:lang w:eastAsia="en-US"/>
        </w:rPr>
        <w:t>, savukārt gada kopējais maksājums LNKC par telpām Meierovica bulvārī 14, Rīgā</w:t>
      </w:r>
      <w:r w:rsidR="000D19BF" w:rsidRPr="00307028">
        <w:rPr>
          <w:rFonts w:eastAsia="Times New Roman"/>
          <w:lang w:eastAsia="en-US"/>
        </w:rPr>
        <w:t>,</w:t>
      </w:r>
      <w:r w:rsidRPr="00307028">
        <w:rPr>
          <w:rFonts w:eastAsia="Times New Roman"/>
          <w:lang w:eastAsia="en-US"/>
        </w:rPr>
        <w:t xml:space="preserve"> veido 30 551,81 </w:t>
      </w:r>
      <w:r w:rsidRPr="00307028">
        <w:rPr>
          <w:rFonts w:eastAsia="Times New Roman"/>
          <w:i/>
          <w:iCs/>
          <w:lang w:eastAsia="en-US"/>
        </w:rPr>
        <w:t>euro</w:t>
      </w:r>
      <w:r w:rsidRPr="00307028">
        <w:rPr>
          <w:rFonts w:eastAsia="Times New Roman"/>
          <w:lang w:eastAsia="en-US"/>
        </w:rPr>
        <w:t xml:space="preserve"> ar PVN jeb par 10 087,61 </w:t>
      </w:r>
      <w:r w:rsidRPr="00307028">
        <w:rPr>
          <w:rFonts w:eastAsia="Times New Roman"/>
          <w:i/>
          <w:iCs/>
          <w:lang w:eastAsia="en-US"/>
        </w:rPr>
        <w:t>euro</w:t>
      </w:r>
      <w:r w:rsidRPr="00307028">
        <w:rPr>
          <w:rFonts w:eastAsia="Times New Roman"/>
          <w:lang w:eastAsia="en-US"/>
        </w:rPr>
        <w:t xml:space="preserve"> vairāk, nekā t</w:t>
      </w:r>
      <w:r w:rsidR="000D19BF" w:rsidRPr="00307028">
        <w:rPr>
          <w:rFonts w:eastAsia="Times New Roman"/>
          <w:lang w:eastAsia="en-US"/>
        </w:rPr>
        <w:t>ika</w:t>
      </w:r>
      <w:r w:rsidRPr="00307028">
        <w:rPr>
          <w:rFonts w:eastAsia="Times New Roman"/>
          <w:lang w:eastAsia="en-US"/>
        </w:rPr>
        <w:t xml:space="preserve"> maksā</w:t>
      </w:r>
      <w:r w:rsidR="000D19BF" w:rsidRPr="00307028">
        <w:rPr>
          <w:rFonts w:eastAsia="Times New Roman"/>
          <w:lang w:eastAsia="en-US"/>
        </w:rPr>
        <w:t>ts</w:t>
      </w:r>
      <w:r w:rsidRPr="00307028">
        <w:rPr>
          <w:rFonts w:eastAsia="Times New Roman"/>
          <w:lang w:eastAsia="en-US"/>
        </w:rPr>
        <w:t xml:space="preserve"> par iepriekš lietotām telpām.</w:t>
      </w:r>
    </w:p>
    <w:p w14:paraId="41BDB0C1" w14:textId="5980B45F"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 xml:space="preserve">Ņemot vērā, ka līdz 2023. gada 1. janvārim par telpām Meirovica bulvāri 14, Rīgā visus maksājumus sedza KM un to, ka telpu nomas maksa palielinājumam KM PP “Valsts nekustamo īpašumu nomas maksas un apsaimniekošanas izdevumu pieauguma segšana” ietvaros tika piešķirts papildu finansējums 2 055 </w:t>
      </w:r>
      <w:r w:rsidRPr="00307028">
        <w:rPr>
          <w:rFonts w:eastAsia="Times New Roman"/>
          <w:i/>
          <w:iCs/>
          <w:lang w:eastAsia="en-US"/>
        </w:rPr>
        <w:t>euro</w:t>
      </w:r>
      <w:r w:rsidRPr="00307028">
        <w:rPr>
          <w:rFonts w:eastAsia="Times New Roman"/>
          <w:lang w:eastAsia="en-US"/>
        </w:rPr>
        <w:t xml:space="preserve"> apmērā, kā arī saskaņā ar 2021. gada 24. augusta MK protokola N</w:t>
      </w:r>
      <w:r w:rsidR="000D19BF" w:rsidRPr="00307028">
        <w:rPr>
          <w:rFonts w:eastAsia="Times New Roman"/>
          <w:lang w:eastAsia="en-US"/>
        </w:rPr>
        <w:t>r</w:t>
      </w:r>
      <w:r w:rsidRPr="00307028">
        <w:rPr>
          <w:rFonts w:eastAsia="Times New Roman"/>
          <w:lang w:eastAsia="en-US"/>
        </w:rPr>
        <w:t xml:space="preserve">. 57 52. § 18.7.3. apakšpunktu piešķirts papildu finansējums 18 548 </w:t>
      </w:r>
      <w:r w:rsidRPr="00307028">
        <w:rPr>
          <w:rFonts w:eastAsia="Times New Roman"/>
          <w:i/>
          <w:iCs/>
          <w:lang w:eastAsia="en-US"/>
        </w:rPr>
        <w:t>euro</w:t>
      </w:r>
      <w:r w:rsidRPr="00307028">
        <w:rPr>
          <w:rFonts w:eastAsia="Times New Roman"/>
          <w:lang w:eastAsia="en-US"/>
        </w:rPr>
        <w:t xml:space="preserve"> apmērā</w:t>
      </w:r>
      <w:r w:rsidR="000D19BF" w:rsidRPr="00307028">
        <w:rPr>
          <w:rFonts w:eastAsia="Times New Roman"/>
          <w:lang w:eastAsia="en-US"/>
        </w:rPr>
        <w:t>,</w:t>
      </w:r>
      <w:r w:rsidRPr="00307028">
        <w:rPr>
          <w:rFonts w:eastAsia="Times New Roman"/>
          <w:lang w:eastAsia="en-US"/>
        </w:rPr>
        <w:t xml:space="preserve"> KM no iepriekš piešķirtā finansējuma ierosina 2024. gadā un turpmāk ik gadu pārdalīt LNKC telpu nomas segšanai </w:t>
      </w:r>
      <w:r w:rsidRPr="00307028">
        <w:rPr>
          <w:rFonts w:eastAsia="Times New Roman"/>
          <w:b/>
          <w:bCs/>
          <w:lang w:eastAsia="en-US"/>
        </w:rPr>
        <w:t xml:space="preserve">10 </w:t>
      </w:r>
      <w:r w:rsidR="001D1736" w:rsidRPr="00307028">
        <w:rPr>
          <w:rFonts w:eastAsia="Times New Roman"/>
          <w:b/>
          <w:bCs/>
          <w:lang w:eastAsia="en-US"/>
        </w:rPr>
        <w:t xml:space="preserve">088 </w:t>
      </w:r>
      <w:r w:rsidRPr="00307028">
        <w:rPr>
          <w:rFonts w:eastAsia="Times New Roman"/>
          <w:b/>
          <w:bCs/>
          <w:i/>
          <w:iCs/>
          <w:lang w:eastAsia="en-US"/>
        </w:rPr>
        <w:t>euro</w:t>
      </w:r>
      <w:r w:rsidRPr="00307028">
        <w:rPr>
          <w:rFonts w:eastAsia="Times New Roman"/>
          <w:lang w:eastAsia="en-US"/>
        </w:rPr>
        <w:t xml:space="preserve"> un atlikušo finansējumu </w:t>
      </w:r>
      <w:r w:rsidRPr="00307028">
        <w:rPr>
          <w:rFonts w:eastAsia="Times New Roman"/>
          <w:b/>
          <w:bCs/>
          <w:lang w:eastAsia="en-US"/>
        </w:rPr>
        <w:t xml:space="preserve">10 515 </w:t>
      </w:r>
      <w:r w:rsidRPr="00307028">
        <w:rPr>
          <w:rFonts w:eastAsia="Times New Roman"/>
          <w:b/>
          <w:bCs/>
          <w:i/>
          <w:iCs/>
          <w:lang w:eastAsia="en-US"/>
        </w:rPr>
        <w:t>euro</w:t>
      </w:r>
      <w:r w:rsidRPr="00307028">
        <w:rPr>
          <w:rFonts w:eastAsia="Times New Roman"/>
          <w:lang w:eastAsia="en-US"/>
        </w:rPr>
        <w:t xml:space="preserve"> apmērā novirzīt ministrijas funkciju veikšanai ikgadējo pētījumu veikšanai KM atbildības jomās.</w:t>
      </w:r>
    </w:p>
    <w:p w14:paraId="2532C205" w14:textId="77777777" w:rsidR="00CD647B" w:rsidRPr="00307028" w:rsidRDefault="00CD647B" w:rsidP="00CD647B">
      <w:pPr>
        <w:spacing w:before="360" w:after="120" w:line="259" w:lineRule="auto"/>
        <w:jc w:val="both"/>
        <w:rPr>
          <w:rFonts w:eastAsia="Times New Roman"/>
          <w:b/>
          <w:bCs/>
          <w:szCs w:val="22"/>
          <w:lang w:eastAsia="en-US"/>
        </w:rPr>
      </w:pPr>
      <w:r w:rsidRPr="00307028">
        <w:rPr>
          <w:rFonts w:eastAsia="Times New Roman"/>
          <w:b/>
          <w:bCs/>
          <w:szCs w:val="22"/>
          <w:lang w:eastAsia="en-US"/>
        </w:rPr>
        <w:t xml:space="preserve">LM – </w:t>
      </w:r>
      <w:bookmarkStart w:id="88" w:name="_Hlk141104940"/>
      <w:r w:rsidRPr="00307028">
        <w:rPr>
          <w:rFonts w:eastAsia="Times New Roman"/>
          <w:b/>
          <w:bCs/>
          <w:szCs w:val="22"/>
          <w:lang w:eastAsia="en-US"/>
        </w:rPr>
        <w:t>Tehniskā palīglīdzekļa – skābekļa koncentratora pieejamības nodrošināšana</w:t>
      </w:r>
      <w:bookmarkEnd w:id="88"/>
    </w:p>
    <w:p w14:paraId="2749EE7E" w14:textId="77777777"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rPr>
        <w:t xml:space="preserve">2022. – 2024. gada PP “Tehniskā palīglīdzekļa – skābekļa koncentratora pieejamības nodrošināšana” īstenošanai LM tika piešķirts finansējums 2022. gadam un turpmāk ik gadu 878 628 </w:t>
      </w:r>
      <w:r w:rsidRPr="00307028">
        <w:rPr>
          <w:rFonts w:eastAsia="Times New Roman"/>
          <w:i/>
          <w:iCs/>
          <w:szCs w:val="22"/>
          <w:lang w:eastAsia="en-US"/>
        </w:rPr>
        <w:t>euro</w:t>
      </w:r>
      <w:r w:rsidRPr="00307028">
        <w:rPr>
          <w:rFonts w:eastAsia="Times New Roman"/>
          <w:szCs w:val="22"/>
          <w:lang w:eastAsia="en-US"/>
        </w:rPr>
        <w:t xml:space="preserve"> apmērā. </w:t>
      </w:r>
    </w:p>
    <w:p w14:paraId="5A4F25D9" w14:textId="087B9B68"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rPr>
        <w:t>Ņemot vērā PP piešķirtā finansējuma izpildes tendences, atbilstoši LM iniciatīvai 2022.</w:t>
      </w:r>
      <w:r w:rsidR="000D19BF" w:rsidRPr="00307028">
        <w:rPr>
          <w:rFonts w:eastAsia="Times New Roman"/>
          <w:szCs w:val="22"/>
          <w:lang w:eastAsia="en-US"/>
        </w:rPr>
        <w:t> </w:t>
      </w:r>
      <w:r w:rsidRPr="00307028">
        <w:rPr>
          <w:rFonts w:eastAsia="Times New Roman"/>
          <w:szCs w:val="22"/>
          <w:lang w:eastAsia="en-US"/>
        </w:rPr>
        <w:t>gadā saskaņā ar MK 2022.</w:t>
      </w:r>
      <w:r w:rsidR="00F42E3E" w:rsidRPr="00307028">
        <w:rPr>
          <w:rFonts w:eastAsia="Times New Roman"/>
          <w:szCs w:val="22"/>
          <w:lang w:eastAsia="en-US"/>
        </w:rPr>
        <w:t xml:space="preserve"> gada 18. oktobra</w:t>
      </w:r>
      <w:r w:rsidRPr="00307028">
        <w:rPr>
          <w:rFonts w:eastAsia="Times New Roman"/>
          <w:szCs w:val="22"/>
          <w:lang w:eastAsia="en-US"/>
        </w:rPr>
        <w:t xml:space="preserve"> rīkojuma Nr. 739 “Par apropriācijas pārdali neatliekamu un nozīmīgu pasākumu īstenošanai labklājības nozarē” 2. punktu tika samazināti minētajam PP piešķirtie līdzekļi 851 188 </w:t>
      </w:r>
      <w:r w:rsidRPr="00307028">
        <w:rPr>
          <w:rFonts w:eastAsia="Times New Roman"/>
          <w:i/>
          <w:iCs/>
          <w:szCs w:val="22"/>
          <w:lang w:eastAsia="en-US"/>
        </w:rPr>
        <w:t>euro</w:t>
      </w:r>
      <w:r w:rsidRPr="00307028">
        <w:rPr>
          <w:rFonts w:eastAsia="Times New Roman"/>
          <w:szCs w:val="22"/>
          <w:lang w:eastAsia="en-US"/>
        </w:rPr>
        <w:t xml:space="preserve"> apmērā citu tehnisko palīglīdzekļu nodrošināšanai, samazinot rindu pēc tehniskajiem palīglīdzekļiem. Skābekļa koncentratoru iegādes nodrošināšanai 2022. gadā kopā veikti izdevumi 32 577 </w:t>
      </w:r>
      <w:r w:rsidRPr="00307028">
        <w:rPr>
          <w:rFonts w:eastAsia="Times New Roman"/>
          <w:i/>
          <w:iCs/>
          <w:szCs w:val="22"/>
          <w:lang w:eastAsia="en-US"/>
        </w:rPr>
        <w:t>euro</w:t>
      </w:r>
      <w:r w:rsidRPr="00307028">
        <w:rPr>
          <w:rFonts w:eastAsia="Times New Roman"/>
          <w:szCs w:val="22"/>
          <w:lang w:eastAsia="en-US"/>
        </w:rPr>
        <w:t xml:space="preserve"> apmērā, tai skaitā izdevumi PP ietvaros 27 440 </w:t>
      </w:r>
      <w:r w:rsidRPr="00307028">
        <w:rPr>
          <w:rFonts w:eastAsia="Times New Roman"/>
          <w:i/>
          <w:iCs/>
          <w:szCs w:val="22"/>
          <w:lang w:eastAsia="en-US"/>
        </w:rPr>
        <w:t>euro</w:t>
      </w:r>
      <w:r w:rsidRPr="00307028">
        <w:rPr>
          <w:rFonts w:eastAsia="Times New Roman"/>
          <w:szCs w:val="22"/>
          <w:lang w:eastAsia="en-US"/>
        </w:rPr>
        <w:t xml:space="preserve"> apmērā</w:t>
      </w:r>
      <w:r w:rsidR="00CB744E" w:rsidRPr="00307028">
        <w:rPr>
          <w:rFonts w:eastAsia="Times New Roman"/>
          <w:szCs w:val="22"/>
          <w:lang w:eastAsia="en-US"/>
        </w:rPr>
        <w:t>,</w:t>
      </w:r>
      <w:r w:rsidRPr="00307028">
        <w:rPr>
          <w:rFonts w:eastAsia="Times New Roman"/>
          <w:szCs w:val="22"/>
          <w:lang w:eastAsia="en-US"/>
        </w:rPr>
        <w:t xml:space="preserve"> un izdevumi 5 137 </w:t>
      </w:r>
      <w:r w:rsidRPr="00307028">
        <w:rPr>
          <w:rFonts w:eastAsia="Times New Roman"/>
          <w:i/>
          <w:iCs/>
          <w:szCs w:val="22"/>
          <w:lang w:eastAsia="en-US"/>
        </w:rPr>
        <w:t>euro</w:t>
      </w:r>
      <w:r w:rsidRPr="00307028">
        <w:rPr>
          <w:rFonts w:eastAsia="Times New Roman"/>
          <w:szCs w:val="22"/>
          <w:lang w:eastAsia="en-US"/>
        </w:rPr>
        <w:t xml:space="preserve"> apmērā tika nodrošināti no apakšprogrammā 05.01.00 “Sociālās rehabilitācijas valsts programmas” plānotajiem resursiem tehniskajiem palīglīdzekļiem. </w:t>
      </w:r>
    </w:p>
    <w:p w14:paraId="296BDA03" w14:textId="77777777"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rPr>
        <w:t xml:space="preserve">LM informē, ka normatīvā regulējuma par tehnisko palīglīdzekļu – skābekļa koncentratoru (turpmāk – </w:t>
      </w:r>
      <w:bookmarkStart w:id="89" w:name="_Hlk141268831"/>
      <w:r w:rsidRPr="00307028">
        <w:rPr>
          <w:rFonts w:eastAsia="Times New Roman"/>
          <w:szCs w:val="22"/>
          <w:lang w:eastAsia="en-US"/>
        </w:rPr>
        <w:t>skābekļa koncentratori</w:t>
      </w:r>
      <w:bookmarkEnd w:id="89"/>
      <w:r w:rsidRPr="00307028">
        <w:rPr>
          <w:rFonts w:eastAsia="Times New Roman"/>
          <w:szCs w:val="22"/>
          <w:lang w:eastAsia="en-US"/>
        </w:rPr>
        <w:t xml:space="preserve">) nodrošināšanu tapšanas laikā tika apzināta problēmas aktualitāte un potenciālais skābekļa koncentratoru saņēmēju skaits. Skābekļa koncentratoru piešķiršanas process ir multidisciplinārs. Skābekļa koncentratoru nepieciešamību nosaka ārstējošais ārsts, tiek veikti mērījumi (Latvijā ir maz vietu, kur veic šos nepieciešamos izmeklējumus), lai precīzi noteiktu skābekļa koncentratoru parametrus. Pretēji prognozētajam skābekļa koncentratorus pieprasījis neliels lietotāju skaits. 2023. gada janvārī – aprīlī faktiskie pakalpojuma izdevumi ir 15 957,60 </w:t>
      </w:r>
      <w:r w:rsidRPr="00307028">
        <w:rPr>
          <w:rFonts w:eastAsia="Times New Roman"/>
          <w:i/>
          <w:iCs/>
          <w:szCs w:val="22"/>
          <w:lang w:eastAsia="en-US"/>
        </w:rPr>
        <w:t>euro</w:t>
      </w:r>
      <w:r w:rsidRPr="00307028">
        <w:rPr>
          <w:rFonts w:eastAsia="Times New Roman"/>
          <w:szCs w:val="22"/>
          <w:lang w:eastAsia="en-US"/>
        </w:rPr>
        <w:t xml:space="preserve"> un līdz gada beigām LM prognozē, ka pakalpojuma īstenošanai būs nepieciešams finansējums 47 873 </w:t>
      </w:r>
      <w:r w:rsidRPr="00307028">
        <w:rPr>
          <w:rFonts w:eastAsia="Times New Roman"/>
          <w:i/>
          <w:iCs/>
          <w:szCs w:val="22"/>
          <w:lang w:eastAsia="en-US"/>
        </w:rPr>
        <w:t>euro</w:t>
      </w:r>
      <w:r w:rsidRPr="00307028">
        <w:rPr>
          <w:rFonts w:eastAsia="Times New Roman"/>
          <w:szCs w:val="22"/>
          <w:lang w:eastAsia="en-US"/>
        </w:rPr>
        <w:t xml:space="preserve"> apmērā. Izvērtējot minētā PP izpildi 2022. un 2023. gadā, tiek prognozēts, ka </w:t>
      </w:r>
      <w:r w:rsidRPr="00307028">
        <w:rPr>
          <w:rFonts w:eastAsia="Times New Roman"/>
          <w:b/>
          <w:bCs/>
          <w:szCs w:val="22"/>
          <w:lang w:eastAsia="en-US"/>
        </w:rPr>
        <w:t xml:space="preserve">2024. gadā un turpmāk ik gadu pieejamais resurss 830 755 </w:t>
      </w:r>
      <w:r w:rsidRPr="00307028">
        <w:rPr>
          <w:rFonts w:eastAsia="Times New Roman"/>
          <w:b/>
          <w:bCs/>
          <w:i/>
          <w:iCs/>
          <w:szCs w:val="22"/>
          <w:lang w:eastAsia="en-US"/>
        </w:rPr>
        <w:t>euro</w:t>
      </w:r>
      <w:r w:rsidRPr="00307028">
        <w:rPr>
          <w:rFonts w:eastAsia="Times New Roman"/>
          <w:szCs w:val="22"/>
          <w:lang w:eastAsia="en-US"/>
        </w:rPr>
        <w:t xml:space="preserve"> </w:t>
      </w:r>
      <w:r w:rsidRPr="00307028">
        <w:rPr>
          <w:rFonts w:eastAsia="Times New Roman"/>
          <w:b/>
          <w:bCs/>
          <w:szCs w:val="22"/>
          <w:lang w:eastAsia="en-US"/>
        </w:rPr>
        <w:t>apmērā</w:t>
      </w:r>
      <w:r w:rsidRPr="00307028">
        <w:rPr>
          <w:rFonts w:eastAsia="Times New Roman"/>
          <w:szCs w:val="22"/>
          <w:lang w:eastAsia="en-US"/>
        </w:rPr>
        <w:t xml:space="preserve"> pārdalāms </w:t>
      </w:r>
      <w:bookmarkStart w:id="90" w:name="_Hlk141110374"/>
      <w:r w:rsidRPr="00307028">
        <w:rPr>
          <w:rFonts w:eastAsia="Times New Roman"/>
          <w:szCs w:val="22"/>
          <w:lang w:eastAsia="en-US"/>
        </w:rPr>
        <w:t xml:space="preserve">LM pasākumam “Atbalsta personas lēmuma pieņemšanā pakalpojums pilngadīgām personām ar garīga rakstura traucējumiem” </w:t>
      </w:r>
      <w:bookmarkStart w:id="91" w:name="_Hlk141343910"/>
      <w:r w:rsidRPr="00307028">
        <w:rPr>
          <w:rFonts w:eastAsia="Times New Roman"/>
          <w:szCs w:val="22"/>
          <w:lang w:eastAsia="en-US"/>
        </w:rPr>
        <w:t xml:space="preserve">(2024. gadam un turpmāk ik gadu 399 102 </w:t>
      </w:r>
      <w:r w:rsidRPr="00307028">
        <w:rPr>
          <w:rFonts w:eastAsia="Times New Roman"/>
          <w:i/>
          <w:iCs/>
          <w:szCs w:val="22"/>
          <w:lang w:eastAsia="en-US"/>
        </w:rPr>
        <w:t>euro</w:t>
      </w:r>
      <w:r w:rsidRPr="00307028">
        <w:rPr>
          <w:rFonts w:eastAsia="Times New Roman"/>
          <w:szCs w:val="22"/>
          <w:lang w:eastAsia="en-US"/>
        </w:rPr>
        <w:t>)</w:t>
      </w:r>
      <w:bookmarkEnd w:id="91"/>
      <w:r w:rsidRPr="00307028">
        <w:rPr>
          <w:rFonts w:eastAsia="Times New Roman"/>
          <w:szCs w:val="22"/>
          <w:lang w:eastAsia="en-US"/>
        </w:rPr>
        <w:t xml:space="preserve">, pasākumam “Veselības un darbspēju ekspertīzes ārstu valsts kapacitātes stiprināšana un funkciju izpildes nepārtrauktības nodrošināšana” (2024. gadam un turpmāk ik gadu 144 689 </w:t>
      </w:r>
      <w:r w:rsidRPr="00307028">
        <w:rPr>
          <w:rFonts w:eastAsia="Times New Roman"/>
          <w:i/>
          <w:iCs/>
          <w:szCs w:val="22"/>
          <w:lang w:eastAsia="en-US"/>
        </w:rPr>
        <w:t>euro</w:t>
      </w:r>
      <w:r w:rsidRPr="00307028">
        <w:rPr>
          <w:rFonts w:eastAsia="Times New Roman"/>
          <w:szCs w:val="22"/>
          <w:lang w:eastAsia="en-US"/>
        </w:rPr>
        <w:t xml:space="preserve">), pasākumam “Līdzfinansējums pašvaldībām pabalstam audžuģimenēm bērna uzturam” (2024. gadam un turpmāk ik gadu 286 964 </w:t>
      </w:r>
      <w:r w:rsidRPr="00307028">
        <w:rPr>
          <w:rFonts w:eastAsia="Times New Roman"/>
          <w:i/>
          <w:iCs/>
          <w:szCs w:val="22"/>
          <w:lang w:eastAsia="en-US"/>
        </w:rPr>
        <w:t>euro</w:t>
      </w:r>
      <w:r w:rsidRPr="00307028">
        <w:rPr>
          <w:rFonts w:eastAsia="Times New Roman"/>
          <w:szCs w:val="22"/>
          <w:lang w:eastAsia="en-US"/>
        </w:rPr>
        <w:t xml:space="preserve">). </w:t>
      </w:r>
    </w:p>
    <w:p w14:paraId="29977950" w14:textId="77777777"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rPr>
        <w:t>Ja prognozētais finansējums skābekļa koncentratoru nodrošināšanai būs nepietiekams, iztrūkstošais finansējums tiks nodrošināts apakšprogrammas 05.01.00 “Sociālās rehabilitācijas valsts programmas” tehnisko palīglīdzekļu nodrošināšanai plānotā finansējuma ietvaros.</w:t>
      </w:r>
      <w:bookmarkEnd w:id="90"/>
    </w:p>
    <w:p w14:paraId="3315ABD5" w14:textId="77777777" w:rsidR="00CD647B" w:rsidRPr="00307028" w:rsidRDefault="00CD647B" w:rsidP="00CD647B">
      <w:pPr>
        <w:spacing w:before="360" w:after="120" w:line="259" w:lineRule="auto"/>
        <w:jc w:val="both"/>
        <w:rPr>
          <w:rFonts w:eastAsia="Times New Roman"/>
          <w:b/>
          <w:bCs/>
          <w:szCs w:val="22"/>
          <w:lang w:eastAsia="en-US"/>
        </w:rPr>
      </w:pPr>
      <w:bookmarkStart w:id="92" w:name="_Hlk141110393"/>
      <w:r w:rsidRPr="00307028">
        <w:rPr>
          <w:rFonts w:eastAsia="Times New Roman"/>
          <w:b/>
          <w:bCs/>
          <w:szCs w:val="22"/>
          <w:lang w:eastAsia="en-US"/>
        </w:rPr>
        <w:lastRenderedPageBreak/>
        <w:t xml:space="preserve">LM – Tehnisko </w:t>
      </w:r>
      <w:bookmarkEnd w:id="92"/>
      <w:r w:rsidRPr="00307028">
        <w:rPr>
          <w:rFonts w:eastAsia="Times New Roman"/>
          <w:b/>
          <w:bCs/>
          <w:szCs w:val="22"/>
          <w:lang w:eastAsia="en-US"/>
        </w:rPr>
        <w:t xml:space="preserve">palīglīdzekļu pakalpojuma nodrošināšana (rindu mazināšanai) </w:t>
      </w:r>
    </w:p>
    <w:p w14:paraId="616DE5F1" w14:textId="77777777" w:rsidR="00CD647B" w:rsidRPr="00307028" w:rsidRDefault="00CD647B" w:rsidP="00CD647B">
      <w:pPr>
        <w:spacing w:after="120" w:line="259" w:lineRule="auto"/>
        <w:ind w:firstLine="720"/>
        <w:jc w:val="both"/>
        <w:rPr>
          <w:rFonts w:eastAsia="Times New Roman"/>
          <w:szCs w:val="22"/>
          <w:lang w:eastAsia="en-US"/>
        </w:rPr>
      </w:pPr>
      <w:bookmarkStart w:id="93" w:name="_Hlk141111127"/>
      <w:r w:rsidRPr="00307028">
        <w:rPr>
          <w:rFonts w:eastAsia="Times New Roman"/>
          <w:szCs w:val="22"/>
          <w:lang w:eastAsia="en-US"/>
        </w:rPr>
        <w:t xml:space="preserve">2023. – 2025. gada PP “Tehnisko palīglīdzekļu pakalpojuma nodrošināšana (rindu mazināšanai)” </w:t>
      </w:r>
      <w:bookmarkEnd w:id="93"/>
      <w:r w:rsidRPr="00307028">
        <w:rPr>
          <w:rFonts w:eastAsia="Times New Roman"/>
          <w:szCs w:val="22"/>
          <w:lang w:eastAsia="en-US"/>
        </w:rPr>
        <w:t xml:space="preserve">īstenošanai LM tika piešķirts finansējums 2023. gadam 4 400 000 </w:t>
      </w:r>
      <w:r w:rsidRPr="00307028">
        <w:rPr>
          <w:rFonts w:eastAsia="Times New Roman"/>
          <w:i/>
          <w:iCs/>
          <w:szCs w:val="22"/>
          <w:lang w:eastAsia="en-US"/>
        </w:rPr>
        <w:t>euro</w:t>
      </w:r>
      <w:r w:rsidRPr="00307028">
        <w:rPr>
          <w:rFonts w:eastAsia="Times New Roman"/>
          <w:szCs w:val="22"/>
          <w:lang w:eastAsia="en-US"/>
        </w:rPr>
        <w:t xml:space="preserve">, 2025. gadam un turpmāk ik gadu 5 000 000 </w:t>
      </w:r>
      <w:r w:rsidRPr="00307028">
        <w:rPr>
          <w:rFonts w:eastAsia="Times New Roman"/>
          <w:i/>
          <w:iCs/>
          <w:szCs w:val="22"/>
          <w:lang w:eastAsia="en-US"/>
        </w:rPr>
        <w:t>euro</w:t>
      </w:r>
      <w:r w:rsidRPr="00307028">
        <w:rPr>
          <w:rFonts w:eastAsia="Times New Roman"/>
          <w:szCs w:val="22"/>
          <w:lang w:eastAsia="en-US"/>
        </w:rPr>
        <w:t xml:space="preserve"> apmērā. </w:t>
      </w:r>
    </w:p>
    <w:p w14:paraId="501B270A" w14:textId="4E4C1F15"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rPr>
        <w:t xml:space="preserve">LM informē, ka minētā pasākuma īstenošanu 2024. gadam un turpmāk ik gadu nodrošinās, saglabājot 2023. gada līmeni, tas ir, finansējuma 4 400 000 </w:t>
      </w:r>
      <w:r w:rsidRPr="00307028">
        <w:rPr>
          <w:rFonts w:eastAsia="Times New Roman"/>
          <w:i/>
          <w:iCs/>
          <w:szCs w:val="22"/>
          <w:lang w:eastAsia="en-US"/>
        </w:rPr>
        <w:t>euro</w:t>
      </w:r>
      <w:r w:rsidRPr="00307028">
        <w:rPr>
          <w:rFonts w:eastAsia="Times New Roman"/>
          <w:szCs w:val="22"/>
          <w:lang w:eastAsia="en-US"/>
        </w:rPr>
        <w:t xml:space="preserve"> </w:t>
      </w:r>
      <w:r w:rsidR="00CB744E" w:rsidRPr="00307028">
        <w:rPr>
          <w:rFonts w:eastAsia="Times New Roman"/>
          <w:szCs w:val="22"/>
          <w:lang w:eastAsia="en-US"/>
        </w:rPr>
        <w:t xml:space="preserve">apmērā </w:t>
      </w:r>
      <w:r w:rsidRPr="00307028">
        <w:rPr>
          <w:rFonts w:eastAsia="Times New Roman"/>
          <w:szCs w:val="22"/>
          <w:lang w:eastAsia="en-US"/>
        </w:rPr>
        <w:t xml:space="preserve">ietvaros, </w:t>
      </w:r>
      <w:r w:rsidRPr="00307028">
        <w:rPr>
          <w:rFonts w:eastAsia="Times New Roman"/>
          <w:b/>
          <w:bCs/>
          <w:szCs w:val="22"/>
          <w:lang w:eastAsia="en-US"/>
        </w:rPr>
        <w:t xml:space="preserve">līdz ar to finansējumu 600 000 </w:t>
      </w:r>
      <w:r w:rsidRPr="00307028">
        <w:rPr>
          <w:rFonts w:eastAsia="Times New Roman"/>
          <w:b/>
          <w:bCs/>
          <w:i/>
          <w:iCs/>
          <w:szCs w:val="22"/>
          <w:lang w:eastAsia="en-US"/>
        </w:rPr>
        <w:t>euro</w:t>
      </w:r>
      <w:r w:rsidRPr="00307028">
        <w:rPr>
          <w:rFonts w:eastAsia="Times New Roman"/>
          <w:b/>
          <w:bCs/>
          <w:szCs w:val="22"/>
          <w:lang w:eastAsia="en-US"/>
        </w:rPr>
        <w:t xml:space="preserve"> apmērā iespējams pārdalīt nozarei neatliekamu un būtisku pasākumu īstenošanai,</w:t>
      </w:r>
      <w:r w:rsidRPr="00307028">
        <w:rPr>
          <w:rFonts w:eastAsia="Times New Roman"/>
          <w:szCs w:val="22"/>
          <w:lang w:eastAsia="en-US"/>
        </w:rPr>
        <w:t xml:space="preserve"> tajā skaitā pasākuma “Funkcionēšanas novērtēšanas laboratorijas pakalpojuma ieviešana” (</w:t>
      </w:r>
      <w:bookmarkStart w:id="94" w:name="_Hlk141344639"/>
      <w:r w:rsidRPr="00307028">
        <w:rPr>
          <w:rFonts w:eastAsia="Times New Roman"/>
          <w:szCs w:val="22"/>
          <w:lang w:eastAsia="en-US"/>
        </w:rPr>
        <w:t xml:space="preserve">2024. gadam 369 687 </w:t>
      </w:r>
      <w:r w:rsidRPr="00307028">
        <w:rPr>
          <w:rFonts w:eastAsia="Times New Roman"/>
          <w:i/>
          <w:iCs/>
          <w:szCs w:val="22"/>
          <w:lang w:eastAsia="en-US"/>
        </w:rPr>
        <w:t>euro</w:t>
      </w:r>
      <w:r w:rsidRPr="00307028">
        <w:rPr>
          <w:rFonts w:eastAsia="Times New Roman"/>
          <w:szCs w:val="22"/>
          <w:lang w:eastAsia="en-US"/>
        </w:rPr>
        <w:t>, 2025. gadam un turpmāk ik gadu 369 781 </w:t>
      </w:r>
      <w:r w:rsidRPr="00307028">
        <w:rPr>
          <w:rFonts w:eastAsia="Times New Roman"/>
          <w:i/>
          <w:iCs/>
          <w:szCs w:val="22"/>
          <w:lang w:eastAsia="en-US"/>
        </w:rPr>
        <w:t>euro</w:t>
      </w:r>
      <w:bookmarkEnd w:id="94"/>
      <w:r w:rsidRPr="00307028">
        <w:rPr>
          <w:rFonts w:eastAsia="Times New Roman"/>
          <w:szCs w:val="22"/>
          <w:lang w:eastAsia="en-US"/>
        </w:rPr>
        <w:t xml:space="preserve">), pasākuma “Atbalsta personas lēmuma pieņemšanā pakalpojums pilngadīgām personām ar garīga rakstura traucējumiem” (2024. gadam 230 313 </w:t>
      </w:r>
      <w:r w:rsidRPr="00307028">
        <w:rPr>
          <w:rFonts w:eastAsia="Times New Roman"/>
          <w:i/>
          <w:iCs/>
          <w:szCs w:val="22"/>
          <w:lang w:eastAsia="en-US"/>
        </w:rPr>
        <w:t>euro</w:t>
      </w:r>
      <w:r w:rsidRPr="00307028">
        <w:rPr>
          <w:rFonts w:eastAsia="Times New Roman"/>
          <w:szCs w:val="22"/>
          <w:lang w:eastAsia="en-US"/>
        </w:rPr>
        <w:t xml:space="preserve">, 2025. gadam un turpmāk ik gadu 230 219 </w:t>
      </w:r>
      <w:r w:rsidRPr="00307028">
        <w:rPr>
          <w:rFonts w:eastAsia="Times New Roman"/>
          <w:i/>
          <w:iCs/>
          <w:szCs w:val="22"/>
          <w:lang w:eastAsia="en-US"/>
        </w:rPr>
        <w:t>euro</w:t>
      </w:r>
      <w:r w:rsidRPr="00307028">
        <w:rPr>
          <w:rFonts w:eastAsia="Times New Roman"/>
          <w:szCs w:val="22"/>
          <w:lang w:eastAsia="en-US"/>
        </w:rPr>
        <w:t>) īstenošanai.</w:t>
      </w:r>
    </w:p>
    <w:p w14:paraId="3CB59854" w14:textId="77777777" w:rsidR="00CD647B" w:rsidRPr="00307028" w:rsidRDefault="00CD647B" w:rsidP="00CD647B">
      <w:pPr>
        <w:spacing w:after="120" w:line="259" w:lineRule="auto"/>
        <w:ind w:firstLine="720"/>
        <w:jc w:val="both"/>
        <w:rPr>
          <w:rFonts w:eastAsia="Times New Roman"/>
          <w:szCs w:val="22"/>
          <w:lang w:eastAsia="en-US"/>
        </w:rPr>
      </w:pPr>
      <w:bookmarkStart w:id="95" w:name="_Hlk141373654"/>
      <w:r w:rsidRPr="00307028">
        <w:rPr>
          <w:rFonts w:eastAsia="Times New Roman"/>
          <w:szCs w:val="22"/>
          <w:lang w:eastAsia="en-US"/>
        </w:rPr>
        <w:t>Ņemot vērā pieejamos resursus no 2022. – 2024. gada PP “Tehniskā palīglīdzekļa – skābekļa koncentratora pieejamības nodrošināšana” 2024. gadam un turpmāk ik gadu 830 755 </w:t>
      </w:r>
      <w:r w:rsidRPr="00307028">
        <w:rPr>
          <w:rFonts w:eastAsia="Times New Roman"/>
          <w:i/>
          <w:iCs/>
          <w:szCs w:val="22"/>
          <w:lang w:eastAsia="en-US"/>
        </w:rPr>
        <w:t>euro</w:t>
      </w:r>
      <w:r w:rsidRPr="00307028">
        <w:rPr>
          <w:rFonts w:eastAsia="Times New Roman"/>
          <w:szCs w:val="22"/>
          <w:lang w:eastAsia="en-US"/>
        </w:rPr>
        <w:t xml:space="preserve"> apmērā un 2023. – 2025. gada PP “Tehnisko palīglīdzekļu pakalpojuma nodrošināšana (rindu mazināšanai)” 2024. gadam un turpmāk ik gadu 600 000 </w:t>
      </w:r>
      <w:r w:rsidRPr="00307028">
        <w:rPr>
          <w:rFonts w:eastAsia="Times New Roman"/>
          <w:i/>
          <w:iCs/>
          <w:szCs w:val="22"/>
          <w:lang w:eastAsia="en-US"/>
        </w:rPr>
        <w:t>euro</w:t>
      </w:r>
      <w:r w:rsidRPr="00307028">
        <w:rPr>
          <w:rFonts w:eastAsia="Times New Roman"/>
          <w:szCs w:val="22"/>
          <w:lang w:eastAsia="en-US"/>
        </w:rPr>
        <w:t xml:space="preserve"> apmērā, </w:t>
      </w:r>
      <w:r w:rsidRPr="00307028">
        <w:rPr>
          <w:rFonts w:eastAsia="Times New Roman"/>
          <w:b/>
          <w:bCs/>
          <w:szCs w:val="22"/>
          <w:lang w:eastAsia="en-US"/>
        </w:rPr>
        <w:t xml:space="preserve">LM iespējams novirzīt finansējumu 2024. gadam un turpmāk ik gadu 1 430 755 </w:t>
      </w:r>
      <w:r w:rsidRPr="00307028">
        <w:rPr>
          <w:rFonts w:eastAsia="Times New Roman"/>
          <w:b/>
          <w:bCs/>
          <w:i/>
          <w:iCs/>
          <w:szCs w:val="22"/>
          <w:lang w:eastAsia="en-US"/>
        </w:rPr>
        <w:t>euro</w:t>
      </w:r>
      <w:r w:rsidRPr="00307028">
        <w:rPr>
          <w:rFonts w:eastAsia="Times New Roman"/>
          <w:b/>
          <w:bCs/>
          <w:szCs w:val="22"/>
          <w:lang w:eastAsia="en-US"/>
        </w:rPr>
        <w:t xml:space="preserve"> apmērā sociālo pakalpojumu un atbalsta pasākumu pilnveidošana</w:t>
      </w:r>
      <w:r w:rsidRPr="00307028">
        <w:rPr>
          <w:rFonts w:eastAsia="Times New Roman"/>
          <w:szCs w:val="22"/>
          <w:lang w:eastAsia="en-US"/>
        </w:rPr>
        <w:t>, tai skaitā:</w:t>
      </w:r>
    </w:p>
    <w:p w14:paraId="1DA1A55C" w14:textId="77777777" w:rsidR="00CD647B" w:rsidRPr="00307028" w:rsidRDefault="00CD647B" w:rsidP="00070D5F">
      <w:pPr>
        <w:numPr>
          <w:ilvl w:val="0"/>
          <w:numId w:val="36"/>
        </w:numPr>
        <w:spacing w:before="120" w:after="120" w:line="259" w:lineRule="auto"/>
        <w:ind w:left="992" w:hanging="295"/>
        <w:jc w:val="both"/>
        <w:rPr>
          <w:rFonts w:eastAsia="Times New Roman"/>
          <w:b/>
          <w:color w:val="000000"/>
          <w:lang w:eastAsia="en-US"/>
        </w:rPr>
      </w:pPr>
      <w:bookmarkStart w:id="96" w:name="_Hlk141344631"/>
      <w:bookmarkEnd w:id="95"/>
      <w:r w:rsidRPr="00307028">
        <w:rPr>
          <w:rFonts w:eastAsia="Times New Roman"/>
          <w:b/>
          <w:lang w:eastAsia="en-US"/>
        </w:rPr>
        <w:t>Atbalsta personas lēmuma pieņemšanā pakalpojums pilngadīgām personām ar garīga rakstura traucējumiem</w:t>
      </w:r>
    </w:p>
    <w:bookmarkEnd w:id="96"/>
    <w:p w14:paraId="5D5181E7" w14:textId="77777777" w:rsidR="00CD647B" w:rsidRPr="00307028" w:rsidRDefault="00CD647B" w:rsidP="00CD647B">
      <w:pPr>
        <w:spacing w:after="120" w:line="259" w:lineRule="auto"/>
        <w:ind w:firstLine="709"/>
        <w:jc w:val="both"/>
        <w:rPr>
          <w:rFonts w:eastAsia="Times New Roman"/>
          <w:color w:val="000000"/>
          <w:lang w:eastAsia="en-US"/>
        </w:rPr>
      </w:pPr>
      <w:r w:rsidRPr="00307028">
        <w:rPr>
          <w:rFonts w:eastAsia="Times New Roman"/>
          <w:color w:val="000000"/>
          <w:lang w:eastAsia="en-US"/>
        </w:rPr>
        <w:t>Atbalsta personas lēmumu pieņemšanā (turpmāk – APLP) pakalpojuma mērķis ir nodrošināt personu ar garīga rakstura traucējumiem cilvēktiesības uz neatkarīgu dzīvi sabiedrībā, ko paredz ANO Konvencija par personu ar invaliditāti tiesībām. </w:t>
      </w:r>
    </w:p>
    <w:p w14:paraId="1AF15FB3" w14:textId="77777777" w:rsidR="00CD647B" w:rsidRPr="00307028" w:rsidRDefault="00CD647B" w:rsidP="00CD647B">
      <w:pPr>
        <w:spacing w:after="120" w:line="259" w:lineRule="auto"/>
        <w:ind w:firstLine="709"/>
        <w:jc w:val="both"/>
        <w:rPr>
          <w:rFonts w:eastAsia="Times New Roman"/>
          <w:color w:val="000000"/>
          <w:lang w:eastAsia="en-US"/>
        </w:rPr>
      </w:pPr>
      <w:r w:rsidRPr="00307028">
        <w:rPr>
          <w:rFonts w:eastAsia="Times New Roman"/>
          <w:color w:val="000000"/>
          <w:lang w:eastAsia="en-US"/>
        </w:rPr>
        <w:t>ES fondu pilotprojekts pierādīja, ka šāda pakalpojuma ieviešanas rezultātā cilvēki ar garīga rakstura traucējumiem no “sabiedrības nastas” kļūst par neatkarīgiem, pilntiesīgiem sabiedrības locekļiem, piemēram, spēj strādāt, mācīties, maksāt rēķinus, plānot budžetu, tiek risinātas problēmas ar atkarībām, tiek saņemti ārstniecības un sociālie pakalpojumi, cilvēki ar atbalsta personas palīdzību var veikt pierakstus pie ārstiem, kuri ilgstoši nebija veikti, pieteikties atbalsta maksājumiem vai sociālajiem pakalpojumiem, kuriem iepriekš nespēja pieteikties utt.</w:t>
      </w:r>
    </w:p>
    <w:p w14:paraId="38F11545" w14:textId="2344A9E3" w:rsidR="00CD647B" w:rsidRPr="00307028" w:rsidRDefault="00CD647B" w:rsidP="00CD647B">
      <w:pPr>
        <w:spacing w:after="120" w:line="259" w:lineRule="auto"/>
        <w:ind w:firstLine="709"/>
        <w:jc w:val="both"/>
        <w:rPr>
          <w:rFonts w:eastAsia="Times New Roman"/>
          <w:color w:val="000000"/>
          <w:lang w:eastAsia="en-US"/>
        </w:rPr>
      </w:pPr>
      <w:r w:rsidRPr="00307028">
        <w:rPr>
          <w:rFonts w:eastAsia="Times New Roman"/>
          <w:color w:val="000000"/>
          <w:lang w:eastAsia="en-US"/>
        </w:rPr>
        <w:t>APLP pakalpojuma ietvaros persona ar garīga rakstura traucējumiem saņem profesionālu atbalstu lēmumu pieņemšanā konkrēti definētās lēmumu pieņemšanas jomās, piemēram, juridiska rakstura, finanšu, prasmju attīstības u.c.</w:t>
      </w:r>
      <w:r w:rsidR="00F42E3E" w:rsidRPr="00307028">
        <w:rPr>
          <w:rFonts w:eastAsia="Times New Roman"/>
          <w:color w:val="000000"/>
          <w:lang w:eastAsia="en-US"/>
        </w:rPr>
        <w:t>.</w:t>
      </w:r>
      <w:r w:rsidRPr="00307028">
        <w:rPr>
          <w:rFonts w:eastAsia="Times New Roman"/>
          <w:color w:val="000000"/>
          <w:lang w:eastAsia="en-US"/>
        </w:rPr>
        <w:t xml:space="preserve"> Tā rezultātā persona lēmumus pieņem pati</w:t>
      </w:r>
      <w:r w:rsidR="00CB744E" w:rsidRPr="00307028">
        <w:rPr>
          <w:rFonts w:eastAsia="Times New Roman"/>
          <w:color w:val="000000"/>
          <w:lang w:eastAsia="en-US"/>
        </w:rPr>
        <w:t xml:space="preserve"> un</w:t>
      </w:r>
      <w:r w:rsidRPr="00307028">
        <w:rPr>
          <w:rFonts w:eastAsia="Times New Roman"/>
          <w:color w:val="000000"/>
          <w:lang w:eastAsia="en-US"/>
        </w:rPr>
        <w:t xml:space="preserve"> spēj dzīvot neatkarīgi.</w:t>
      </w:r>
    </w:p>
    <w:p w14:paraId="13C9B73C" w14:textId="77777777" w:rsidR="00CD647B" w:rsidRPr="00307028" w:rsidRDefault="00CD647B" w:rsidP="00CD647B">
      <w:pPr>
        <w:spacing w:after="120" w:line="259" w:lineRule="auto"/>
        <w:ind w:firstLine="709"/>
        <w:jc w:val="both"/>
        <w:rPr>
          <w:rFonts w:eastAsia="Times New Roman"/>
          <w:color w:val="000000"/>
          <w:lang w:eastAsia="en-US"/>
        </w:rPr>
      </w:pPr>
      <w:r w:rsidRPr="00307028">
        <w:rPr>
          <w:rFonts w:eastAsia="Times New Roman"/>
          <w:szCs w:val="22"/>
          <w:lang w:eastAsia="en-US"/>
        </w:rPr>
        <w:t xml:space="preserve">Laikā no 2017. gada 1. decembra līdz 2019. gada 30. novembrim APLP pakalpojums tika aprobēts atbalsta personas pakalpojuma izmēģinājumprojekta ietvaros. Izmēģinājumprojekta ietvaros APLP pakalpojumu saņēma 332 personas ar </w:t>
      </w:r>
      <w:r w:rsidRPr="00307028">
        <w:rPr>
          <w:rFonts w:eastAsia="Times New Roman"/>
          <w:color w:val="000000"/>
          <w:lang w:eastAsia="en-US"/>
        </w:rPr>
        <w:t>garīga rakstura traucējumiem</w:t>
      </w:r>
      <w:r w:rsidRPr="00307028">
        <w:rPr>
          <w:rFonts w:eastAsia="Times New Roman"/>
          <w:szCs w:val="22"/>
          <w:lang w:eastAsia="en-US"/>
        </w:rPr>
        <w:t>. Savukārt 2020. – 2021. gadā saskaņā ar projekta nosacījumiem biedrība “Resursu centrs cilvēkiem ar garīgiem traucējumiem “Zelda”” izstrādāja un secīgi iesniedza LM tālākos nodevumus, kuros aprakstīja APLP pakalpojuma iespējamo organizēšanas un finansēšanas kārtību, pakalpojuma kvalitātes kontroles shēmu, kā arī sniedza priekšlikumus normatīvajiem aktiem APLP pakalpojuma ieviešanai. Pakalpojuma cenā iekļauti pakalpojuma faktiskie izdevumi saskaņā ar izmēģinājumprojekta rezultātiem.</w:t>
      </w:r>
    </w:p>
    <w:p w14:paraId="3C8730FE" w14:textId="3547C341" w:rsidR="00CD647B" w:rsidRPr="00307028" w:rsidRDefault="00CD647B" w:rsidP="00CD647B">
      <w:pPr>
        <w:spacing w:after="120" w:line="259" w:lineRule="auto"/>
        <w:ind w:firstLine="709"/>
        <w:jc w:val="both"/>
        <w:rPr>
          <w:rFonts w:eastAsia="Times New Roman"/>
          <w:color w:val="000000"/>
          <w:lang w:eastAsia="en-US"/>
        </w:rPr>
      </w:pPr>
      <w:r w:rsidRPr="00307028">
        <w:rPr>
          <w:rFonts w:eastAsia="Times New Roman"/>
          <w:color w:val="000000"/>
          <w:lang w:eastAsia="en-US"/>
        </w:rPr>
        <w:lastRenderedPageBreak/>
        <w:t>APLP pakalpojumu atbilstoši Saeimā izskatīšanā esošajam likumprojektam “Grozījumi Sociālo pakalpojumu un sociālās palīdzības likumā”</w:t>
      </w:r>
      <w:r w:rsidRPr="00307028">
        <w:rPr>
          <w:rFonts w:eastAsia="Times New Roman"/>
          <w:color w:val="000000"/>
          <w:vertAlign w:val="superscript"/>
          <w:lang w:eastAsia="en-US"/>
        </w:rPr>
        <w:footnoteReference w:id="9"/>
      </w:r>
      <w:r w:rsidRPr="00307028">
        <w:rPr>
          <w:rFonts w:eastAsia="Times New Roman"/>
          <w:color w:val="000000"/>
          <w:lang w:eastAsia="en-US"/>
        </w:rPr>
        <w:t xml:space="preserve"> nodrošinās biedrība “Resursu centrs cilvēkiem ar garīgiem traucējumiem “Zelda””, kura slēgs darba līgumus ar atbalsta personām, sociālajiem darbiniekiem un pakalpojuma koordinatoru. APLP pakalpojuma cenas ietvaros ir paredzēti izdevumi minēto speciālistu atlīdzībai, kvalifikācijas celšanai, supervīziju un veselības apdrošināšanas izdevumiem, kā arī izdevumiem atbalsta personu transporta nodrošināšanai (nokļūšanai pie un no klienta), sakaru pakalpojumu izmaksām, biedrības pakalpojuma administrēšanai u.c. izdevumi</w:t>
      </w:r>
      <w:r w:rsidR="00925A15" w:rsidRPr="00307028">
        <w:rPr>
          <w:rFonts w:eastAsia="Times New Roman"/>
          <w:color w:val="000000"/>
          <w:lang w:eastAsia="en-US"/>
        </w:rPr>
        <w:t>em</w:t>
      </w:r>
      <w:r w:rsidRPr="00307028">
        <w:rPr>
          <w:rFonts w:eastAsia="Times New Roman"/>
          <w:color w:val="000000"/>
          <w:lang w:eastAsia="en-US"/>
        </w:rPr>
        <w:t>. APLP pakalpojuma saturu un finansēšanas kārtību noteiks MK.</w:t>
      </w:r>
    </w:p>
    <w:p w14:paraId="296F62F5" w14:textId="0175A07D" w:rsidR="00CD647B" w:rsidRPr="00307028" w:rsidRDefault="00CD647B" w:rsidP="00CD647B">
      <w:pPr>
        <w:spacing w:after="120" w:line="259" w:lineRule="auto"/>
        <w:ind w:firstLine="720"/>
        <w:jc w:val="both"/>
        <w:rPr>
          <w:rFonts w:eastAsia="Times New Roman"/>
          <w:color w:val="000000"/>
          <w:lang w:eastAsia="en-US"/>
        </w:rPr>
      </w:pPr>
      <w:r w:rsidRPr="00307028">
        <w:rPr>
          <w:rFonts w:eastAsia="Times New Roman"/>
          <w:color w:val="000000"/>
          <w:lang w:eastAsia="en-US"/>
        </w:rPr>
        <w:t xml:space="preserve">APLP pakalpojuma ieviešana pakāpeniski mazinās slogu uz valsts un pašvaldību budžetu izdevumiem, jo pakalpojuma ieviešanas rezultātā personas </w:t>
      </w:r>
      <w:r w:rsidRPr="00307028">
        <w:rPr>
          <w:rFonts w:eastAsia="Times New Roman"/>
          <w:szCs w:val="22"/>
          <w:lang w:eastAsia="en-US"/>
        </w:rPr>
        <w:t xml:space="preserve">ar </w:t>
      </w:r>
      <w:r w:rsidR="00F42E3E" w:rsidRPr="00307028">
        <w:rPr>
          <w:rFonts w:eastAsia="Times New Roman"/>
          <w:szCs w:val="22"/>
          <w:lang w:eastAsia="en-US"/>
        </w:rPr>
        <w:t xml:space="preserve">garīga rakstura </w:t>
      </w:r>
      <w:r w:rsidRPr="00307028">
        <w:rPr>
          <w:rFonts w:eastAsia="Times New Roman"/>
          <w:szCs w:val="22"/>
          <w:lang w:eastAsia="en-US"/>
        </w:rPr>
        <w:t>traucējumiem</w:t>
      </w:r>
      <w:r w:rsidRPr="00307028">
        <w:rPr>
          <w:rFonts w:eastAsia="Times New Roman"/>
          <w:color w:val="000000"/>
          <w:lang w:eastAsia="en-US"/>
        </w:rPr>
        <w:t xml:space="preserve"> uzsāk patstāvīgu dzīvi, atrod darbu, iegūst izglītību (kas pierādīts pilotprojekta laikā), tādējādi kļūstot par nodokļu maksātājiem un dzīvo</w:t>
      </w:r>
      <w:r w:rsidR="00925A15" w:rsidRPr="00307028">
        <w:rPr>
          <w:rFonts w:eastAsia="Times New Roman"/>
          <w:color w:val="000000"/>
          <w:lang w:eastAsia="en-US"/>
        </w:rPr>
        <w:t>jot</w:t>
      </w:r>
      <w:r w:rsidRPr="00307028">
        <w:rPr>
          <w:rFonts w:eastAsia="Times New Roman"/>
          <w:color w:val="000000"/>
          <w:lang w:eastAsia="en-US"/>
        </w:rPr>
        <w:t xml:space="preserve"> neatkarīgu dzīvi sabiedrībā, nevis atrod</w:t>
      </w:r>
      <w:r w:rsidR="00925A15" w:rsidRPr="00307028">
        <w:rPr>
          <w:rFonts w:eastAsia="Times New Roman"/>
          <w:color w:val="000000"/>
          <w:lang w:eastAsia="en-US"/>
        </w:rPr>
        <w:t>oties</w:t>
      </w:r>
      <w:r w:rsidRPr="00307028">
        <w:rPr>
          <w:rFonts w:eastAsia="Times New Roman"/>
          <w:color w:val="000000"/>
          <w:lang w:eastAsia="en-US"/>
        </w:rPr>
        <w:t xml:space="preserve"> institucionālā aprūpē vai ģimenes locekļu apgādībā.</w:t>
      </w:r>
    </w:p>
    <w:p w14:paraId="31340CF3" w14:textId="7847C957" w:rsidR="00CD647B" w:rsidRPr="00307028" w:rsidRDefault="00CD647B" w:rsidP="00CD647B">
      <w:pPr>
        <w:spacing w:before="120" w:after="120" w:line="259" w:lineRule="auto"/>
        <w:ind w:firstLine="720"/>
        <w:jc w:val="both"/>
        <w:rPr>
          <w:rFonts w:eastAsia="Times New Roman"/>
          <w:szCs w:val="22"/>
          <w:lang w:eastAsia="en-US"/>
        </w:rPr>
      </w:pPr>
      <w:bookmarkStart w:id="97" w:name="_Hlk141111427"/>
      <w:r w:rsidRPr="00307028">
        <w:rPr>
          <w:rFonts w:eastAsia="Times New Roman"/>
          <w:b/>
          <w:bCs/>
          <w:szCs w:val="22"/>
          <w:lang w:eastAsia="en-US"/>
        </w:rPr>
        <w:t xml:space="preserve">Minētā pasākuma īstenošanai nepieciešams finansējums 2024. gadam 629 415 </w:t>
      </w:r>
      <w:r w:rsidRPr="00307028">
        <w:rPr>
          <w:rFonts w:eastAsia="Times New Roman"/>
          <w:b/>
          <w:bCs/>
          <w:i/>
          <w:iCs/>
          <w:szCs w:val="22"/>
          <w:lang w:eastAsia="en-US"/>
        </w:rPr>
        <w:t>euro</w:t>
      </w:r>
      <w:r w:rsidRPr="00307028">
        <w:rPr>
          <w:rFonts w:eastAsia="Times New Roman"/>
          <w:b/>
          <w:bCs/>
          <w:szCs w:val="22"/>
          <w:lang w:eastAsia="en-US"/>
        </w:rPr>
        <w:t xml:space="preserve"> apmērā</w:t>
      </w:r>
      <w:r w:rsidRPr="00307028">
        <w:rPr>
          <w:rFonts w:eastAsia="Times New Roman"/>
          <w:szCs w:val="22"/>
          <w:lang w:eastAsia="en-US"/>
        </w:rPr>
        <w:t xml:space="preserve"> (t.sk</w:t>
      </w:r>
      <w:r w:rsidR="00C66CAC" w:rsidRPr="00307028">
        <w:rPr>
          <w:rFonts w:eastAsia="Times New Roman"/>
          <w:szCs w:val="22"/>
          <w:lang w:eastAsia="en-US"/>
        </w:rPr>
        <w:t>.</w:t>
      </w:r>
      <w:r w:rsidRPr="00307028">
        <w:rPr>
          <w:rFonts w:eastAsia="Times New Roman"/>
          <w:szCs w:val="22"/>
          <w:lang w:eastAsia="en-US"/>
        </w:rPr>
        <w:t xml:space="preserve"> IT sistēmas pilnveidošanai 118 580 </w:t>
      </w:r>
      <w:r w:rsidRPr="00307028">
        <w:rPr>
          <w:rFonts w:eastAsia="Times New Roman"/>
          <w:i/>
          <w:iCs/>
          <w:szCs w:val="22"/>
          <w:lang w:eastAsia="en-US"/>
        </w:rPr>
        <w:t>euro</w:t>
      </w:r>
      <w:r w:rsidRPr="00307028">
        <w:rPr>
          <w:rFonts w:eastAsia="Times New Roman"/>
          <w:szCs w:val="22"/>
          <w:lang w:eastAsia="en-US"/>
        </w:rPr>
        <w:t xml:space="preserve">) un </w:t>
      </w:r>
      <w:r w:rsidRPr="00307028">
        <w:rPr>
          <w:rFonts w:eastAsia="Times New Roman"/>
          <w:b/>
          <w:bCs/>
          <w:szCs w:val="22"/>
          <w:lang w:eastAsia="en-US"/>
        </w:rPr>
        <w:t xml:space="preserve">2025. gadam un turpmāk ik gadu 629 321 </w:t>
      </w:r>
      <w:r w:rsidRPr="00307028">
        <w:rPr>
          <w:rFonts w:eastAsia="Times New Roman"/>
          <w:b/>
          <w:bCs/>
          <w:i/>
          <w:iCs/>
          <w:szCs w:val="22"/>
          <w:lang w:eastAsia="en-US"/>
        </w:rPr>
        <w:t>euro</w:t>
      </w:r>
      <w:r w:rsidRPr="00307028">
        <w:rPr>
          <w:rFonts w:eastAsia="Times New Roman"/>
          <w:b/>
          <w:bCs/>
          <w:szCs w:val="22"/>
          <w:lang w:eastAsia="en-US"/>
        </w:rPr>
        <w:t xml:space="preserve"> apmērā</w:t>
      </w:r>
      <w:r w:rsidRPr="00307028">
        <w:rPr>
          <w:rFonts w:eastAsia="Times New Roman"/>
          <w:szCs w:val="22"/>
          <w:lang w:eastAsia="en-US"/>
        </w:rPr>
        <w:t xml:space="preserve">. Nepieciešamais finansējums tiks pārdalīts no LM 2022. – 2024. gada PP “Tehniskā palīglīdzekļa – skābekļa koncentratora pieejamības nodrošināšana” (2024. gadam un turpmāk ik gadu 399 102 </w:t>
      </w:r>
      <w:r w:rsidRPr="00307028">
        <w:rPr>
          <w:rFonts w:eastAsia="Times New Roman"/>
          <w:i/>
          <w:iCs/>
          <w:szCs w:val="22"/>
          <w:lang w:eastAsia="en-US"/>
        </w:rPr>
        <w:t>euro</w:t>
      </w:r>
      <w:r w:rsidRPr="00307028">
        <w:rPr>
          <w:rFonts w:eastAsia="Times New Roman"/>
          <w:szCs w:val="22"/>
          <w:lang w:eastAsia="en-US"/>
        </w:rPr>
        <w:t xml:space="preserve">) un 2023. – 2025. gada PP “Tehnisko palīglīdzekļu pakalpojuma nodrošināšana (rindu mazināšanai)” (2024. gadam 230 313 </w:t>
      </w:r>
      <w:r w:rsidRPr="00307028">
        <w:rPr>
          <w:rFonts w:eastAsia="Times New Roman"/>
          <w:i/>
          <w:iCs/>
          <w:szCs w:val="22"/>
          <w:lang w:eastAsia="en-US"/>
        </w:rPr>
        <w:t>euro</w:t>
      </w:r>
      <w:r w:rsidRPr="00307028">
        <w:rPr>
          <w:rFonts w:eastAsia="Times New Roman"/>
          <w:szCs w:val="22"/>
          <w:lang w:eastAsia="en-US"/>
        </w:rPr>
        <w:t xml:space="preserve">, 2025. gadam un turpmāk ik gadu 230 219 </w:t>
      </w:r>
      <w:r w:rsidRPr="00307028">
        <w:rPr>
          <w:rFonts w:eastAsia="Times New Roman"/>
          <w:i/>
          <w:iCs/>
          <w:szCs w:val="22"/>
          <w:lang w:eastAsia="en-US"/>
        </w:rPr>
        <w:t>euro</w:t>
      </w:r>
      <w:r w:rsidRPr="00307028">
        <w:rPr>
          <w:rFonts w:eastAsia="Times New Roman"/>
          <w:szCs w:val="22"/>
          <w:lang w:eastAsia="en-US"/>
        </w:rPr>
        <w:t>) piešķirtā finansējuma.</w:t>
      </w:r>
      <w:bookmarkEnd w:id="97"/>
    </w:p>
    <w:p w14:paraId="34E185BE" w14:textId="77777777" w:rsidR="00CD647B" w:rsidRPr="00307028" w:rsidRDefault="00CD647B" w:rsidP="00070D5F">
      <w:pPr>
        <w:numPr>
          <w:ilvl w:val="0"/>
          <w:numId w:val="36"/>
        </w:numPr>
        <w:spacing w:before="120" w:after="120" w:line="259" w:lineRule="auto"/>
        <w:ind w:left="1134" w:hanging="425"/>
        <w:jc w:val="both"/>
        <w:rPr>
          <w:rFonts w:eastAsia="Times New Roman"/>
          <w:b/>
          <w:bCs/>
          <w:szCs w:val="22"/>
          <w:lang w:eastAsia="en-US"/>
        </w:rPr>
      </w:pPr>
      <w:bookmarkStart w:id="98" w:name="_Hlk141343191"/>
      <w:r w:rsidRPr="00307028">
        <w:rPr>
          <w:rFonts w:eastAsia="Times New Roman"/>
          <w:b/>
          <w:bCs/>
          <w:szCs w:val="22"/>
          <w:lang w:eastAsia="en-US"/>
        </w:rPr>
        <w:t>Funkcionēšanas novērtēšanas laboratorijas pakalpojuma ieviešana</w:t>
      </w:r>
    </w:p>
    <w:bookmarkEnd w:id="98"/>
    <w:p w14:paraId="4AD49E18" w14:textId="45450DCE" w:rsidR="00CD647B" w:rsidRPr="00307028" w:rsidRDefault="00CD647B" w:rsidP="00CD647B">
      <w:pPr>
        <w:spacing w:before="120" w:after="120" w:line="259" w:lineRule="auto"/>
        <w:ind w:firstLine="720"/>
        <w:jc w:val="both"/>
        <w:rPr>
          <w:rFonts w:eastAsia="Times New Roman"/>
          <w:szCs w:val="22"/>
          <w:lang w:eastAsia="en-US"/>
        </w:rPr>
      </w:pPr>
      <w:r w:rsidRPr="00307028">
        <w:rPr>
          <w:rFonts w:eastAsia="Times New Roman"/>
          <w:szCs w:val="22"/>
          <w:lang w:eastAsia="en-US"/>
        </w:rPr>
        <w:t>MK noteikumu projektā “Grozījumi M</w:t>
      </w:r>
      <w:r w:rsidR="00F42E3E" w:rsidRPr="00307028">
        <w:rPr>
          <w:rFonts w:eastAsia="Times New Roman"/>
          <w:szCs w:val="22"/>
          <w:lang w:eastAsia="en-US"/>
        </w:rPr>
        <w:t>inistru kabineta</w:t>
      </w:r>
      <w:r w:rsidRPr="00307028">
        <w:rPr>
          <w:rFonts w:eastAsia="Times New Roman"/>
          <w:szCs w:val="22"/>
          <w:lang w:eastAsia="en-US"/>
        </w:rPr>
        <w:t xml:space="preserve"> 2021.</w:t>
      </w:r>
      <w:r w:rsidR="00F42E3E" w:rsidRPr="00307028">
        <w:rPr>
          <w:rFonts w:eastAsia="Times New Roman"/>
          <w:szCs w:val="22"/>
          <w:lang w:eastAsia="en-US"/>
        </w:rPr>
        <w:t xml:space="preserve"> gada 21. decembra</w:t>
      </w:r>
      <w:r w:rsidRPr="00307028">
        <w:rPr>
          <w:rFonts w:eastAsia="Times New Roman"/>
          <w:szCs w:val="22"/>
          <w:lang w:eastAsia="en-US"/>
        </w:rPr>
        <w:t xml:space="preserve"> noteikumos Nr. 878 “Tehnisko palīglīdzekļu noteikumi””, kas LM ir izstrādes procesā, paredzēts nodrošināt ES projektu pēctecību pēc ESF un ERAF projektu beigām, tas ir turpinās projektu ietvaros izveidotās funkcionēšanas novērtēšanas laboratorijas (turpmāk – FNL) darbu. </w:t>
      </w:r>
    </w:p>
    <w:p w14:paraId="59C1D0EA" w14:textId="2A43978A" w:rsidR="00CD647B" w:rsidRPr="00307028" w:rsidRDefault="00CD647B" w:rsidP="00CD647B">
      <w:pPr>
        <w:spacing w:before="120" w:after="120" w:line="259" w:lineRule="auto"/>
        <w:ind w:firstLine="720"/>
        <w:jc w:val="both"/>
        <w:rPr>
          <w:rFonts w:eastAsia="Times New Roman"/>
          <w:szCs w:val="22"/>
          <w:lang w:eastAsia="en-US"/>
        </w:rPr>
      </w:pPr>
      <w:r w:rsidRPr="00307028">
        <w:rPr>
          <w:rFonts w:eastAsia="Times New Roman"/>
          <w:szCs w:val="22"/>
          <w:lang w:eastAsia="en-US"/>
        </w:rPr>
        <w:t xml:space="preserve">Lai uzlabotu tehnisko palīglīdzekļu (turpmāk – TPL) pakalpojumu, tajā skaitā lai TPL tiktu piešķirti mērķēti, atbilstoši personas aktivitātes līmenim </w:t>
      </w:r>
      <w:bookmarkStart w:id="99" w:name="_Hlk141345527"/>
      <w:r w:rsidRPr="00307028">
        <w:rPr>
          <w:rFonts w:eastAsia="Times New Roman"/>
          <w:szCs w:val="22"/>
          <w:lang w:eastAsia="en-US"/>
        </w:rPr>
        <w:t>VSIA “Nacionālais rehabilitācijas centrs “Vaivari”</w:t>
      </w:r>
      <w:bookmarkEnd w:id="99"/>
      <w:r w:rsidRPr="00307028">
        <w:rPr>
          <w:rFonts w:eastAsia="Times New Roman"/>
          <w:szCs w:val="22"/>
          <w:lang w:eastAsia="en-US"/>
        </w:rPr>
        <w:t xml:space="preserve">” (ieguldot ESF un ERAF finansējumu) ir izveidota funkcionēšanas novērtēšanas sistēma, izstrādājot funkcionēšanas novērtēšanas sistēmas aprakstu un to aprobējot jaunizveidotajā FNL. Izveidotā sistēma fokusējas uz personas aktivitātes (funkcionēšanas) novērtēšanu, attiecīgi nodrošinot personas individuālajām vajadzībām atbilstošākā TPL piešķiršanu. Jāatzīmē, ka FNL izvērtēšanu paredzēts veikt sarežģītu, paaugstinātas funkcionalitātes TPL piešķiršanai, diferencējot valsts finansējuma apjomu. Funkcionēšanas novērtēšanas sistēmas aprakstu izstrādāja </w:t>
      </w:r>
      <w:r w:rsidR="00497067" w:rsidRPr="00307028">
        <w:rPr>
          <w:rFonts w:eastAsia="Times New Roman"/>
          <w:szCs w:val="22"/>
          <w:lang w:eastAsia="en-US"/>
        </w:rPr>
        <w:t>RSU</w:t>
      </w:r>
      <w:r w:rsidRPr="00307028">
        <w:rPr>
          <w:rFonts w:eastAsia="Times New Roman"/>
          <w:szCs w:val="22"/>
          <w:lang w:eastAsia="en-US"/>
        </w:rPr>
        <w:t xml:space="preserve"> nozares vadošie pētnieki asoc. prof. dr. med. Signes Tomsones vadībā. Paredzēts, ka jaunā kārtība personas funkcionēšanas stāvokļa novērtēšanai </w:t>
      </w:r>
      <w:bookmarkStart w:id="100" w:name="_Hlk141273562"/>
      <w:r w:rsidRPr="00307028">
        <w:rPr>
          <w:rFonts w:eastAsia="Times New Roman"/>
          <w:szCs w:val="22"/>
          <w:lang w:eastAsia="en-US"/>
        </w:rPr>
        <w:t>VSIA “Nacionālais rehabilitācijas centrs “Vaivari”</w:t>
      </w:r>
      <w:bookmarkEnd w:id="100"/>
      <w:r w:rsidRPr="00307028">
        <w:rPr>
          <w:rFonts w:eastAsia="Times New Roman"/>
          <w:szCs w:val="22"/>
          <w:lang w:eastAsia="en-US"/>
        </w:rPr>
        <w:t>” tehnisko palīglīdzekļu centrā tiks ieviesta 2023. gada beigās, iekļaujot FNL TPL piešķiršanas sistēmā. Paredzams, ka ar FNL darba uzsākšanu TPL tiks piešķirti mērķētāk, ņemot vērā TPL lietošanas mērķi un personas vajadzības.</w:t>
      </w:r>
    </w:p>
    <w:p w14:paraId="7B7884CF" w14:textId="49EA273A" w:rsidR="00CD647B" w:rsidRPr="00307028" w:rsidRDefault="00CD647B" w:rsidP="00CD647B">
      <w:pPr>
        <w:spacing w:before="120" w:after="120" w:line="259" w:lineRule="auto"/>
        <w:ind w:firstLine="720"/>
        <w:jc w:val="both"/>
        <w:rPr>
          <w:rFonts w:eastAsia="Times New Roman"/>
          <w:szCs w:val="22"/>
          <w:lang w:eastAsia="en-US"/>
        </w:rPr>
      </w:pPr>
      <w:r w:rsidRPr="00307028">
        <w:rPr>
          <w:rFonts w:eastAsia="Times New Roman"/>
          <w:szCs w:val="22"/>
          <w:lang w:eastAsia="en-US"/>
        </w:rPr>
        <w:t xml:space="preserve">Lai nodrošinātu FNL darbību un uzturēšanu, nepieciešams papildu finansējums VSIA “Nacionālais rehabilitācijas centrs “Vaivari”” speciālistu (fizioterapeita, ergoterapeita, audiologopēda, tehniskā ortopēda, psihologa, klientu apkalpošanas speciālista u.c. speciālistu) </w:t>
      </w:r>
      <w:r w:rsidRPr="00307028">
        <w:rPr>
          <w:rFonts w:eastAsia="Times New Roman"/>
          <w:szCs w:val="22"/>
          <w:lang w:eastAsia="en-US"/>
        </w:rPr>
        <w:lastRenderedPageBreak/>
        <w:t>atlīdzībai, telpu nodrošinājumam, tajā skaitā komunālajiem maksājumiem u.c. izdevumiem. Izdevumi balstīti uz ESF projekta “VSIA NRC “Vaivari”” Funkcionēšanas novērtēšanas sistēmas izveide un ieviešana un asistīvo tehnoloģiju (tehnisko palīglīdzekļu) pieejamības un pielietojuma Latvijas izglītības iestādēs izpēte” faktiskajiem izdevumiem.</w:t>
      </w:r>
    </w:p>
    <w:p w14:paraId="598BF74D" w14:textId="508C684E" w:rsidR="00CD647B" w:rsidRPr="00307028" w:rsidRDefault="00CD647B" w:rsidP="00CD647B">
      <w:pPr>
        <w:spacing w:before="120" w:after="120" w:line="259" w:lineRule="auto"/>
        <w:ind w:firstLine="720"/>
        <w:jc w:val="both"/>
        <w:rPr>
          <w:rFonts w:eastAsia="Times New Roman"/>
          <w:szCs w:val="22"/>
          <w:lang w:eastAsia="en-US"/>
        </w:rPr>
      </w:pPr>
      <w:bookmarkStart w:id="101" w:name="_Hlk141198605"/>
      <w:r w:rsidRPr="00307028">
        <w:rPr>
          <w:rFonts w:eastAsia="Times New Roman"/>
          <w:b/>
          <w:bCs/>
          <w:szCs w:val="22"/>
          <w:lang w:eastAsia="en-US"/>
        </w:rPr>
        <w:t xml:space="preserve">Minētā pasākuma īstenošanai nepieciešams finansējums 2024. gadam 369 687 </w:t>
      </w:r>
      <w:r w:rsidRPr="00307028">
        <w:rPr>
          <w:rFonts w:eastAsia="Times New Roman"/>
          <w:b/>
          <w:bCs/>
          <w:i/>
          <w:iCs/>
          <w:szCs w:val="22"/>
          <w:lang w:eastAsia="en-US"/>
        </w:rPr>
        <w:t>euro</w:t>
      </w:r>
      <w:r w:rsidRPr="00307028">
        <w:rPr>
          <w:rFonts w:eastAsia="Times New Roman"/>
          <w:b/>
          <w:bCs/>
          <w:szCs w:val="22"/>
          <w:lang w:eastAsia="en-US"/>
        </w:rPr>
        <w:t xml:space="preserve"> apmērā</w:t>
      </w:r>
      <w:r w:rsidRPr="00307028">
        <w:rPr>
          <w:rFonts w:eastAsia="Times New Roman"/>
          <w:szCs w:val="22"/>
          <w:lang w:eastAsia="en-US"/>
        </w:rPr>
        <w:t xml:space="preserve"> un </w:t>
      </w:r>
      <w:r w:rsidRPr="00307028">
        <w:rPr>
          <w:rFonts w:eastAsia="Times New Roman"/>
          <w:b/>
          <w:bCs/>
          <w:szCs w:val="22"/>
          <w:lang w:eastAsia="en-US"/>
        </w:rPr>
        <w:t xml:space="preserve">2025. gadam un turpmāk ik gadu 369 781 </w:t>
      </w:r>
      <w:r w:rsidRPr="00307028">
        <w:rPr>
          <w:rFonts w:eastAsia="Times New Roman"/>
          <w:b/>
          <w:bCs/>
          <w:i/>
          <w:iCs/>
          <w:szCs w:val="22"/>
          <w:lang w:eastAsia="en-US"/>
        </w:rPr>
        <w:t>euro</w:t>
      </w:r>
      <w:r w:rsidRPr="00307028">
        <w:rPr>
          <w:rFonts w:eastAsia="Times New Roman"/>
          <w:b/>
          <w:bCs/>
          <w:szCs w:val="22"/>
          <w:lang w:eastAsia="en-US"/>
        </w:rPr>
        <w:t xml:space="preserve"> apmērā</w:t>
      </w:r>
      <w:r w:rsidRPr="00307028">
        <w:rPr>
          <w:rFonts w:eastAsia="Times New Roman"/>
          <w:szCs w:val="22"/>
          <w:lang w:eastAsia="en-US"/>
        </w:rPr>
        <w:t>. Nepieciešamais finansējums tiks pārdalīts no 2023. – 2025.</w:t>
      </w:r>
      <w:r w:rsidR="00C66CAC" w:rsidRPr="00307028">
        <w:rPr>
          <w:rFonts w:eastAsia="Times New Roman"/>
          <w:szCs w:val="22"/>
          <w:lang w:eastAsia="en-US"/>
        </w:rPr>
        <w:t xml:space="preserve"> </w:t>
      </w:r>
      <w:r w:rsidRPr="00307028">
        <w:rPr>
          <w:rFonts w:eastAsia="Times New Roman"/>
          <w:szCs w:val="22"/>
          <w:lang w:eastAsia="en-US"/>
        </w:rPr>
        <w:t>gada PP “Tehnisko palīglīdzekļu pakalpojuma nodrošināšana (rindu mazināšanai)” piešķirtā finansējuma.</w:t>
      </w:r>
      <w:bookmarkEnd w:id="101"/>
    </w:p>
    <w:p w14:paraId="699B39C9" w14:textId="77777777" w:rsidR="00CD647B" w:rsidRPr="00307028" w:rsidRDefault="00CD647B" w:rsidP="00070D5F">
      <w:pPr>
        <w:numPr>
          <w:ilvl w:val="0"/>
          <w:numId w:val="36"/>
        </w:numPr>
        <w:spacing w:before="120" w:after="120" w:line="259" w:lineRule="auto"/>
        <w:ind w:left="993" w:hanging="295"/>
        <w:jc w:val="both"/>
        <w:rPr>
          <w:rFonts w:eastAsia="Calibri"/>
          <w:b/>
          <w:lang w:eastAsia="en-US"/>
        </w:rPr>
      </w:pPr>
      <w:bookmarkStart w:id="102" w:name="_Hlk141373799"/>
      <w:r w:rsidRPr="00307028">
        <w:rPr>
          <w:rFonts w:eastAsia="Calibri"/>
          <w:b/>
          <w:lang w:eastAsia="en-US"/>
        </w:rPr>
        <w:t>Līdzfinansējums pašvaldībām pabalstam audžuģimenēm bērna uzturam</w:t>
      </w:r>
    </w:p>
    <w:bookmarkEnd w:id="102"/>
    <w:p w14:paraId="0304B4AE"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Lai daļēji kompensētu pašvaldību izmaksas bērna uzturam audžuģimenē, LM budžetā 2023. gadam un turpmāk ik gadu plānots finansējums 772 994 </w:t>
      </w:r>
      <w:r w:rsidRPr="00307028">
        <w:rPr>
          <w:rFonts w:eastAsia="Calibri"/>
          <w:i/>
          <w:iCs/>
          <w:lang w:eastAsia="en-US"/>
        </w:rPr>
        <w:t>euro</w:t>
      </w:r>
      <w:r w:rsidRPr="00307028">
        <w:rPr>
          <w:rFonts w:eastAsia="Calibri"/>
          <w:lang w:eastAsia="en-US"/>
        </w:rPr>
        <w:t xml:space="preserve"> apmērā. 2022. gadā mērķdotācija tika izmaksāta vidēji mēnesī par 1 373 bērniem, savukārt 2023. gada janvārī </w:t>
      </w:r>
      <w:r w:rsidRPr="00307028">
        <w:rPr>
          <w:rFonts w:eastAsia="Times New Roman"/>
          <w:szCs w:val="22"/>
          <w:lang w:eastAsia="en-US"/>
        </w:rPr>
        <w:t>–</w:t>
      </w:r>
      <w:r w:rsidRPr="00307028">
        <w:rPr>
          <w:rFonts w:eastAsia="Calibri"/>
          <w:lang w:eastAsia="en-US"/>
        </w:rPr>
        <w:t xml:space="preserve"> aprīlī mērķdotācija izmaksāta vidēji mēnesī par 1 408 bērniem. Tiek veikti dažādi atbalsta pasākumi, lai veicinātu bez vecāku gādības palikušo bērnu nokļūšanu ģimeniskā vidē, kā rezultātā ik gadu palielinās audžuģimenēs ievietoto bērnu skaits.</w:t>
      </w:r>
    </w:p>
    <w:p w14:paraId="669436D3"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LM, pamatojoties uz faktiskajiem izpildes rādītājiem, prognozē, ka 2024. gadam un turpmāk ik gadu mērķdotācijas pašvaldībām nodrošināšanai būs nepieciešams finansējums 1 059 958 </w:t>
      </w:r>
      <w:r w:rsidRPr="00307028">
        <w:rPr>
          <w:rFonts w:eastAsia="Calibri"/>
          <w:i/>
          <w:iCs/>
          <w:lang w:eastAsia="en-US"/>
        </w:rPr>
        <w:t>euro</w:t>
      </w:r>
      <w:r w:rsidRPr="00307028">
        <w:rPr>
          <w:rFonts w:eastAsia="Calibri"/>
          <w:lang w:eastAsia="en-US"/>
        </w:rPr>
        <w:t xml:space="preserve"> apmērā. Līdz ar to, lai nodrošinātu pašvaldībām</w:t>
      </w:r>
      <w:r w:rsidRPr="00307028">
        <w:rPr>
          <w:rFonts w:eastAsia="Times New Roman"/>
          <w:szCs w:val="22"/>
          <w:lang w:eastAsia="en-US"/>
        </w:rPr>
        <w:t xml:space="preserve"> </w:t>
      </w:r>
      <w:r w:rsidRPr="00307028">
        <w:rPr>
          <w:rFonts w:eastAsia="Calibri"/>
          <w:lang w:eastAsia="en-US"/>
        </w:rPr>
        <w:t xml:space="preserve">pabalsta izmaksu audžuģimenēm bērna uzturam, nepieciešams palielināt valsts finansējumu </w:t>
      </w:r>
      <w:r w:rsidRPr="00307028">
        <w:rPr>
          <w:rFonts w:eastAsia="Calibri"/>
          <w:b/>
          <w:bCs/>
          <w:lang w:eastAsia="en-US"/>
        </w:rPr>
        <w:t xml:space="preserve">2024. gadam un turpmāk ik gadu 286 964 </w:t>
      </w:r>
      <w:r w:rsidRPr="00307028">
        <w:rPr>
          <w:rFonts w:eastAsia="Calibri"/>
          <w:b/>
          <w:bCs/>
          <w:i/>
          <w:iCs/>
          <w:lang w:eastAsia="en-US"/>
        </w:rPr>
        <w:t>euro</w:t>
      </w:r>
      <w:r w:rsidRPr="00307028">
        <w:rPr>
          <w:rFonts w:eastAsia="Calibri"/>
          <w:b/>
          <w:bCs/>
          <w:lang w:eastAsia="en-US"/>
        </w:rPr>
        <w:t xml:space="preserve"> apmērā. </w:t>
      </w:r>
      <w:r w:rsidRPr="00307028">
        <w:rPr>
          <w:rFonts w:eastAsia="Calibri"/>
          <w:lang w:eastAsia="en-US"/>
        </w:rPr>
        <w:t>Nepieciešamais finansējums tiks pārdalīts no LM 2022. – 2024. gada PP “Tehniskā palīglīdzekļa – skābekļa koncentratora pieejamības nodrošināšana” piešķirtā finansējuma.</w:t>
      </w:r>
    </w:p>
    <w:p w14:paraId="5F081EA9" w14:textId="60F0E1BB" w:rsidR="00CD647B" w:rsidRPr="00307028" w:rsidRDefault="00E93418" w:rsidP="00070D5F">
      <w:pPr>
        <w:numPr>
          <w:ilvl w:val="0"/>
          <w:numId w:val="36"/>
        </w:numPr>
        <w:spacing w:before="120" w:after="120" w:line="259" w:lineRule="auto"/>
        <w:ind w:left="1134" w:hanging="425"/>
        <w:jc w:val="both"/>
        <w:rPr>
          <w:rFonts w:eastAsia="Calibri"/>
          <w:b/>
          <w:bCs/>
          <w:lang w:eastAsia="en-US"/>
        </w:rPr>
      </w:pPr>
      <w:bookmarkStart w:id="103" w:name="_Hlk141342759"/>
      <w:r w:rsidRPr="00307028">
        <w:rPr>
          <w:rFonts w:eastAsia="Calibri"/>
          <w:b/>
          <w:bCs/>
          <w:lang w:eastAsia="en-US"/>
        </w:rPr>
        <w:t>VDEĀVK</w:t>
      </w:r>
      <w:r w:rsidR="00CD647B" w:rsidRPr="00307028">
        <w:rPr>
          <w:rFonts w:eastAsia="Calibri"/>
          <w:b/>
          <w:bCs/>
          <w:lang w:eastAsia="en-US"/>
        </w:rPr>
        <w:t xml:space="preserve"> stiprināšana un funkciju izpildes nepārtrauktības </w:t>
      </w:r>
      <w:r w:rsidR="00CD647B" w:rsidRPr="00307028">
        <w:rPr>
          <w:rFonts w:eastAsia="Times New Roman"/>
          <w:b/>
          <w:bCs/>
          <w:lang w:eastAsia="en-US"/>
        </w:rPr>
        <w:t>nodrošināšana</w:t>
      </w:r>
    </w:p>
    <w:bookmarkEnd w:id="103"/>
    <w:p w14:paraId="558D1A5A" w14:textId="245E747C"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VDEĀVK invaliditātes ekspertīzē iesaistīto darbinieku amatu vietu skaits ir pietiekams, kad iesniegumu skaits vidēji mēnesī nepārsniedz 5</w:t>
      </w:r>
      <w:r w:rsidR="00D85401" w:rsidRPr="00307028">
        <w:rPr>
          <w:rFonts w:eastAsia="Calibri"/>
          <w:lang w:eastAsia="en-US"/>
        </w:rPr>
        <w:t xml:space="preserve"> </w:t>
      </w:r>
      <w:r w:rsidRPr="00307028">
        <w:rPr>
          <w:rFonts w:eastAsia="Calibri"/>
          <w:lang w:eastAsia="en-US"/>
        </w:rPr>
        <w:t>500. Savukārt 2022. gada pēdējos mēnešos (septembra vidus līdz decembris) iesniegumu skaits pārsniedza 6</w:t>
      </w:r>
      <w:r w:rsidR="00D85401" w:rsidRPr="00307028">
        <w:rPr>
          <w:rFonts w:eastAsia="Calibri"/>
          <w:lang w:eastAsia="en-US"/>
        </w:rPr>
        <w:t xml:space="preserve"> </w:t>
      </w:r>
      <w:r w:rsidRPr="00307028">
        <w:rPr>
          <w:rFonts w:eastAsia="Calibri"/>
          <w:lang w:eastAsia="en-US"/>
        </w:rPr>
        <w:t>500, pie esošā amata slodžu skaita pieņemt savlaicīgi lēmumus personas lietās nebija iespējams. Grozījumi Invaliditātes likumā (līdz 2023.</w:t>
      </w:r>
      <w:r w:rsidR="00D85401" w:rsidRPr="00307028">
        <w:rPr>
          <w:rFonts w:eastAsia="Calibri"/>
          <w:lang w:eastAsia="en-US"/>
        </w:rPr>
        <w:t xml:space="preserve"> gada 31. decembrim</w:t>
      </w:r>
      <w:r w:rsidRPr="00307028">
        <w:rPr>
          <w:rFonts w:eastAsia="Calibri"/>
          <w:lang w:eastAsia="en-US"/>
        </w:rPr>
        <w:t xml:space="preserve"> 6 mēnešu pagarinājums līdz lēmuma pieņemšanai) ir uzskatāms kā pagaidu risinājums. VDEĀVK kapacitātes stiprināšana ne tikai nodrošinātu savlaicīgu lēmumu pieņemšanu, bet arī iespējami ātru lēmumu pieņemšanu personu lietās. Ņemot vērā, ka ir plānots pirmreizējās invaliditātes ekspertīzes nodrošināt klātienē, VDEĀVK nav pietiekams speciālistu skaits, lai veiktu personas funkcionēšanas traucējumu izvērtēšanu. Lai nodrošinātu </w:t>
      </w:r>
      <w:bookmarkStart w:id="104" w:name="_Hlk141198370"/>
      <w:r w:rsidRPr="00307028">
        <w:rPr>
          <w:rFonts w:eastAsia="Calibri"/>
          <w:lang w:eastAsia="en-US"/>
        </w:rPr>
        <w:t>VDEĀVK darba procesa nepārtrauktību</w:t>
      </w:r>
      <w:bookmarkEnd w:id="104"/>
      <w:r w:rsidRPr="00307028">
        <w:rPr>
          <w:rFonts w:eastAsia="Calibri"/>
          <w:lang w:eastAsia="en-US"/>
        </w:rPr>
        <w:t xml:space="preserve"> un savlaicīgi pieņemtu lēmumus personu lietās, nepieciešamas palielināt kopējo amata vietu skaitu. Ja amata vietu skaits netiks palielināts, pastāv risks, ka ilgtermiņā VDEĀ</w:t>
      </w:r>
      <w:r w:rsidR="00D85401" w:rsidRPr="00307028">
        <w:rPr>
          <w:rFonts w:eastAsia="Calibri"/>
          <w:lang w:eastAsia="en-US"/>
        </w:rPr>
        <w:t>V</w:t>
      </w:r>
      <w:r w:rsidRPr="00307028">
        <w:rPr>
          <w:rFonts w:eastAsia="Calibri"/>
          <w:lang w:eastAsia="en-US"/>
        </w:rPr>
        <w:t>K nevarēs pieņemt lēmumu Administratīvā procesa likuma noteiktajā termiņā (1 mēnesis no iesnieguma saņemšanas dienas), tādējādi būs jāmeklē citi risinājumi, kas saistās ar speciālas normas ieviešanu, nosakot, ka VDEĀVK lēmumu personas lietā var pieņemt ilgākā laikā nekā tikai mēneša laikā (vismaz pirmreizējos gadījumos).</w:t>
      </w:r>
    </w:p>
    <w:p w14:paraId="2138CA2F" w14:textId="001E65D8"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Lai nodrošinātu strauji pieaugušo invaliditātes ekspertīzes iesniegumu skaita izskatīšanu un savlaicīga lēmuma pieņemšanu, VDEĀVK nepieciešams </w:t>
      </w:r>
      <w:bookmarkStart w:id="105" w:name="_Hlk141423219"/>
      <w:r w:rsidRPr="00307028">
        <w:rPr>
          <w:rFonts w:eastAsia="Calibri"/>
          <w:lang w:eastAsia="en-US"/>
        </w:rPr>
        <w:t xml:space="preserve">izveidot papildu pastāvīgas </w:t>
      </w:r>
      <w:bookmarkEnd w:id="105"/>
      <w:r w:rsidR="00912269" w:rsidRPr="00307028">
        <w:rPr>
          <w:rFonts w:eastAsia="Calibri"/>
          <w:lang w:eastAsia="en-US"/>
        </w:rPr>
        <w:t xml:space="preserve">divas </w:t>
      </w:r>
      <w:r w:rsidRPr="00307028">
        <w:rPr>
          <w:rFonts w:eastAsia="Calibri"/>
          <w:lang w:eastAsia="en-US"/>
        </w:rPr>
        <w:t xml:space="preserve">vadošo ekspertu un </w:t>
      </w:r>
      <w:r w:rsidR="00912269" w:rsidRPr="00307028">
        <w:rPr>
          <w:rFonts w:eastAsia="Calibri"/>
          <w:lang w:eastAsia="en-US"/>
        </w:rPr>
        <w:t xml:space="preserve">trīs </w:t>
      </w:r>
      <w:r w:rsidRPr="00307028">
        <w:rPr>
          <w:rFonts w:eastAsia="Calibri"/>
          <w:lang w:eastAsia="en-US"/>
        </w:rPr>
        <w:t xml:space="preserve">ārstu – ekspertu amata vietas, nozarei noteikto amata vietu skaita ietvaros. Amata vietas tiks nodrošinātas nozarei kopējo amata vietu ietvaros, samazinot VSAA </w:t>
      </w:r>
      <w:r w:rsidR="00912269" w:rsidRPr="00307028">
        <w:rPr>
          <w:rFonts w:eastAsia="Calibri"/>
          <w:lang w:eastAsia="en-US"/>
        </w:rPr>
        <w:t xml:space="preserve">piecas </w:t>
      </w:r>
      <w:r w:rsidRPr="00307028">
        <w:rPr>
          <w:rFonts w:eastAsia="Calibri"/>
          <w:lang w:eastAsia="en-US"/>
        </w:rPr>
        <w:t xml:space="preserve">ilgstoši vakantās amata vietas LM speciālā budžeta apakšprogrammā </w:t>
      </w:r>
      <w:r w:rsidRPr="00307028">
        <w:rPr>
          <w:rFonts w:eastAsia="Calibri"/>
          <w:lang w:eastAsia="en-US"/>
        </w:rPr>
        <w:lastRenderedPageBreak/>
        <w:t xml:space="preserve">04.05.00 “Valsts sociālās apdrošināšanas aģentūras speciālais budžets” (nepārdalot finansējumu, bet to novirzot VSAA nodarbināto atlīdzības </w:t>
      </w:r>
      <w:r w:rsidR="004665A9" w:rsidRPr="00307028">
        <w:rPr>
          <w:rFonts w:eastAsia="Calibri"/>
          <w:lang w:eastAsia="en-US"/>
        </w:rPr>
        <w:t>nodrošināšanai</w:t>
      </w:r>
      <w:r w:rsidRPr="00307028">
        <w:rPr>
          <w:rFonts w:eastAsia="Calibri"/>
          <w:lang w:eastAsia="en-US"/>
        </w:rPr>
        <w:t xml:space="preserve">). </w:t>
      </w:r>
    </w:p>
    <w:p w14:paraId="1AB13E99"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Lai VDEĀVK </w:t>
      </w:r>
      <w:r w:rsidRPr="00307028">
        <w:rPr>
          <w:rFonts w:eastAsia="Calibri"/>
          <w:b/>
          <w:bCs/>
          <w:lang w:eastAsia="en-US"/>
        </w:rPr>
        <w:t xml:space="preserve">2024. gadam un turpmāk ik gadu nodrošinātu atlīdzību izmaksas piecām amata vietām, nepieciešams finansējums 144 689 </w:t>
      </w:r>
      <w:r w:rsidRPr="00307028">
        <w:rPr>
          <w:rFonts w:eastAsia="Calibri"/>
          <w:b/>
          <w:bCs/>
          <w:i/>
          <w:iCs/>
          <w:lang w:eastAsia="en-US"/>
        </w:rPr>
        <w:t>euro</w:t>
      </w:r>
      <w:r w:rsidRPr="00307028">
        <w:rPr>
          <w:rFonts w:eastAsia="Calibri"/>
          <w:b/>
          <w:bCs/>
          <w:lang w:eastAsia="en-US"/>
        </w:rPr>
        <w:t xml:space="preserve"> apmērā</w:t>
      </w:r>
      <w:r w:rsidRPr="00307028">
        <w:rPr>
          <w:rFonts w:eastAsia="Calibri"/>
          <w:lang w:eastAsia="en-US"/>
        </w:rPr>
        <w:t>. Nepieciešamais finansējums tiks pārdalīts no LM 2022. – 2024. gada PP “Tehniskā palīglīdzekļa – skābekļa koncentratora pieejamības nodrošināšana” piešķirtā finansējuma.</w:t>
      </w:r>
    </w:p>
    <w:p w14:paraId="1CBB3F0A" w14:textId="77777777" w:rsidR="00CD647B" w:rsidRPr="00307028" w:rsidRDefault="00CD647B" w:rsidP="00CD647B">
      <w:pPr>
        <w:spacing w:before="360" w:after="120" w:line="259" w:lineRule="auto"/>
        <w:ind w:firstLine="567"/>
        <w:jc w:val="both"/>
        <w:rPr>
          <w:rFonts w:eastAsia="Calibri"/>
          <w:b/>
          <w:bCs/>
          <w:lang w:eastAsia="en-US"/>
        </w:rPr>
      </w:pPr>
      <w:bookmarkStart w:id="106" w:name="_Hlk141281646"/>
      <w:r w:rsidRPr="00307028">
        <w:rPr>
          <w:rFonts w:eastAsia="Calibri"/>
          <w:b/>
          <w:bCs/>
          <w:lang w:eastAsia="en-US"/>
        </w:rPr>
        <w:t>LM – bāreņu un bez vecāku gādības palikušo bērnu atbalsts patstāvīgas dzīves uzsākšanai pēc pilngadības sasniegšanas</w:t>
      </w:r>
      <w:bookmarkEnd w:id="106"/>
    </w:p>
    <w:p w14:paraId="5B70E14E" w14:textId="0BE4AC9C" w:rsidR="00017993" w:rsidRPr="00307028" w:rsidRDefault="00CD647B" w:rsidP="000500E3">
      <w:pPr>
        <w:spacing w:before="120" w:after="120" w:line="259" w:lineRule="auto"/>
        <w:ind w:firstLine="720"/>
        <w:jc w:val="both"/>
        <w:rPr>
          <w:rFonts w:eastAsia="Times New Roman"/>
          <w:b/>
          <w:bCs/>
          <w:i/>
          <w:iCs/>
          <w:sz w:val="22"/>
          <w:szCs w:val="22"/>
          <w:lang w:eastAsia="en-US"/>
        </w:rPr>
      </w:pPr>
      <w:bookmarkStart w:id="107" w:name="_Hlk141373676"/>
      <w:r w:rsidRPr="00307028">
        <w:rPr>
          <w:rFonts w:eastAsia="Calibri"/>
          <w:lang w:eastAsia="en-US"/>
        </w:rPr>
        <w:t xml:space="preserve">2023. – 2025. gada PP “Ārpusģimenes aprūpes atbalsta pakalpojumu pilnveide, tai skaitā bērniem īpašās situācijās” </w:t>
      </w:r>
      <w:bookmarkEnd w:id="107"/>
      <w:r w:rsidRPr="00307028">
        <w:rPr>
          <w:rFonts w:eastAsia="Calibri"/>
          <w:lang w:eastAsia="en-US"/>
        </w:rPr>
        <w:t>īstenošanai LM tika piešķirts finansējums 2023. gadam 1 741 518 </w:t>
      </w:r>
      <w:r w:rsidRPr="00307028">
        <w:rPr>
          <w:rFonts w:eastAsia="Calibri"/>
          <w:i/>
          <w:iCs/>
          <w:lang w:eastAsia="en-US"/>
        </w:rPr>
        <w:t>euro</w:t>
      </w:r>
      <w:r w:rsidRPr="00307028">
        <w:rPr>
          <w:rFonts w:eastAsia="Calibri"/>
          <w:lang w:eastAsia="en-US"/>
        </w:rPr>
        <w:t xml:space="preserve">, 2024. gadam 7 700 000 </w:t>
      </w:r>
      <w:r w:rsidRPr="00307028">
        <w:rPr>
          <w:rFonts w:eastAsia="Calibri"/>
          <w:i/>
          <w:iCs/>
          <w:lang w:eastAsia="en-US"/>
        </w:rPr>
        <w:t>euro</w:t>
      </w:r>
      <w:r w:rsidRPr="00307028">
        <w:rPr>
          <w:rFonts w:eastAsia="Calibri"/>
          <w:lang w:eastAsia="en-US"/>
        </w:rPr>
        <w:t xml:space="preserve">, 2025. gadam un turpmāk ik gadu 7 900 000 </w:t>
      </w:r>
      <w:r w:rsidRPr="00307028">
        <w:rPr>
          <w:rFonts w:eastAsia="Calibri"/>
          <w:i/>
          <w:iCs/>
          <w:lang w:eastAsia="en-US"/>
        </w:rPr>
        <w:t>euro</w:t>
      </w:r>
      <w:r w:rsidRPr="00307028">
        <w:rPr>
          <w:rFonts w:eastAsia="Calibri"/>
          <w:lang w:eastAsia="en-US"/>
        </w:rPr>
        <w:t xml:space="preserve"> apmērā. (sadalījumā pa apakšpasākumiem skatīt 2.2.3. tabulu)</w:t>
      </w:r>
    </w:p>
    <w:p w14:paraId="57D1A7AA" w14:textId="25A238FC" w:rsidR="00CD647B" w:rsidRPr="00307028" w:rsidRDefault="00CD647B" w:rsidP="00CD647B">
      <w:pPr>
        <w:spacing w:before="120" w:after="120" w:line="259" w:lineRule="auto"/>
        <w:ind w:firstLine="720"/>
        <w:jc w:val="center"/>
        <w:rPr>
          <w:rFonts w:eastAsia="Calibri"/>
          <w:b/>
          <w:bCs/>
          <w:lang w:eastAsia="en-US"/>
        </w:rPr>
      </w:pPr>
      <w:r w:rsidRPr="00307028">
        <w:rPr>
          <w:rFonts w:eastAsia="Times New Roman"/>
          <w:b/>
          <w:bCs/>
          <w:i/>
          <w:iCs/>
          <w:sz w:val="22"/>
          <w:szCs w:val="22"/>
          <w:lang w:eastAsia="en-US"/>
        </w:rPr>
        <w:t>2.2.3. tabula</w:t>
      </w:r>
      <w:r w:rsidRPr="00307028">
        <w:rPr>
          <w:rFonts w:eastAsia="Times New Roman"/>
          <w:b/>
          <w:bCs/>
          <w:sz w:val="22"/>
          <w:szCs w:val="22"/>
          <w:lang w:eastAsia="en-US"/>
        </w:rPr>
        <w:t xml:space="preserve"> </w:t>
      </w:r>
      <w:r w:rsidRPr="00307028">
        <w:rPr>
          <w:rFonts w:eastAsia="Calibri"/>
          <w:b/>
          <w:bCs/>
          <w:sz w:val="22"/>
          <w:szCs w:val="22"/>
          <w:lang w:eastAsia="en-US"/>
        </w:rPr>
        <w:t xml:space="preserve">PP “Ārpusģimenes aprūpes atbalsta pakalpojumu pilnveide, tai skaitā bērniem īpašās situācijās” apakšpasākumi un to finansējums, </w:t>
      </w:r>
      <w:r w:rsidRPr="00307028">
        <w:rPr>
          <w:rFonts w:eastAsia="Calibri"/>
          <w:b/>
          <w:bCs/>
          <w:i/>
          <w:iCs/>
          <w:sz w:val="22"/>
          <w:szCs w:val="22"/>
          <w:lang w:eastAsia="en-US"/>
        </w:rPr>
        <w:t>euro</w:t>
      </w:r>
    </w:p>
    <w:tbl>
      <w:tblPr>
        <w:tblW w:w="5000" w:type="pct"/>
        <w:tblLook w:val="04A0" w:firstRow="1" w:lastRow="0" w:firstColumn="1" w:lastColumn="0" w:noHBand="0" w:noVBand="1"/>
      </w:tblPr>
      <w:tblGrid>
        <w:gridCol w:w="3613"/>
        <w:gridCol w:w="1816"/>
        <w:gridCol w:w="1816"/>
        <w:gridCol w:w="1816"/>
      </w:tblGrid>
      <w:tr w:rsidR="00CD647B" w:rsidRPr="00307028" w14:paraId="3875E9C6" w14:textId="77777777" w:rsidTr="00937693">
        <w:trPr>
          <w:trHeight w:val="61"/>
        </w:trPr>
        <w:tc>
          <w:tcPr>
            <w:tcW w:w="1993" w:type="pct"/>
            <w:tcBorders>
              <w:top w:val="single" w:sz="4" w:space="0" w:color="auto"/>
              <w:left w:val="single" w:sz="4" w:space="0" w:color="auto"/>
              <w:bottom w:val="single" w:sz="4" w:space="0" w:color="auto"/>
              <w:right w:val="single" w:sz="4" w:space="0" w:color="auto"/>
            </w:tcBorders>
            <w:shd w:val="clear" w:color="auto" w:fill="85C2E0"/>
            <w:vAlign w:val="bottom"/>
            <w:hideMark/>
          </w:tcPr>
          <w:p w14:paraId="2119F7C8" w14:textId="77777777" w:rsidR="00CD647B" w:rsidRPr="00307028" w:rsidRDefault="00CD647B" w:rsidP="00CD647B">
            <w:pPr>
              <w:jc w:val="both"/>
              <w:rPr>
                <w:rFonts w:eastAsia="Times New Roman"/>
                <w:b/>
                <w:bCs/>
                <w:color w:val="000000"/>
                <w:sz w:val="18"/>
                <w:szCs w:val="18"/>
                <w:lang w:eastAsia="lv-LV"/>
              </w:rPr>
            </w:pPr>
            <w:r w:rsidRPr="00307028">
              <w:rPr>
                <w:rFonts w:eastAsia="Times New Roman"/>
                <w:b/>
                <w:bCs/>
                <w:color w:val="000000"/>
                <w:sz w:val="18"/>
                <w:szCs w:val="18"/>
                <w:lang w:eastAsia="lv-LV"/>
              </w:rPr>
              <w:t>PP nosaukums</w:t>
            </w:r>
          </w:p>
        </w:tc>
        <w:tc>
          <w:tcPr>
            <w:tcW w:w="1002" w:type="pct"/>
            <w:tcBorders>
              <w:top w:val="single" w:sz="4" w:space="0" w:color="auto"/>
              <w:left w:val="nil"/>
              <w:bottom w:val="single" w:sz="4" w:space="0" w:color="auto"/>
              <w:right w:val="single" w:sz="4" w:space="0" w:color="auto"/>
            </w:tcBorders>
            <w:shd w:val="clear" w:color="auto" w:fill="85C2E0"/>
            <w:noWrap/>
            <w:vAlign w:val="bottom"/>
            <w:hideMark/>
          </w:tcPr>
          <w:p w14:paraId="7C437105" w14:textId="77777777" w:rsidR="00CD647B" w:rsidRPr="00307028" w:rsidRDefault="00CD647B" w:rsidP="00CD647B">
            <w:pPr>
              <w:jc w:val="center"/>
              <w:rPr>
                <w:rFonts w:eastAsia="Times New Roman"/>
                <w:b/>
                <w:bCs/>
                <w:color w:val="000000"/>
                <w:sz w:val="18"/>
                <w:szCs w:val="18"/>
                <w:lang w:eastAsia="lv-LV"/>
              </w:rPr>
            </w:pPr>
            <w:r w:rsidRPr="00307028">
              <w:rPr>
                <w:rFonts w:eastAsia="Times New Roman"/>
                <w:b/>
                <w:bCs/>
                <w:color w:val="000000"/>
                <w:sz w:val="18"/>
                <w:szCs w:val="18"/>
                <w:lang w:eastAsia="lv-LV"/>
              </w:rPr>
              <w:t>2023. gads</w:t>
            </w:r>
          </w:p>
        </w:tc>
        <w:tc>
          <w:tcPr>
            <w:tcW w:w="1002" w:type="pct"/>
            <w:tcBorders>
              <w:top w:val="single" w:sz="4" w:space="0" w:color="auto"/>
              <w:left w:val="nil"/>
              <w:bottom w:val="single" w:sz="4" w:space="0" w:color="auto"/>
              <w:right w:val="single" w:sz="4" w:space="0" w:color="auto"/>
            </w:tcBorders>
            <w:shd w:val="clear" w:color="auto" w:fill="85C2E0"/>
            <w:noWrap/>
            <w:vAlign w:val="bottom"/>
            <w:hideMark/>
          </w:tcPr>
          <w:p w14:paraId="4253C3F4" w14:textId="77777777" w:rsidR="00CD647B" w:rsidRPr="00307028" w:rsidRDefault="00CD647B" w:rsidP="00CD647B">
            <w:pPr>
              <w:jc w:val="center"/>
              <w:rPr>
                <w:rFonts w:eastAsia="Times New Roman"/>
                <w:b/>
                <w:bCs/>
                <w:color w:val="000000"/>
                <w:sz w:val="18"/>
                <w:szCs w:val="18"/>
                <w:lang w:eastAsia="lv-LV"/>
              </w:rPr>
            </w:pPr>
            <w:r w:rsidRPr="00307028">
              <w:rPr>
                <w:rFonts w:eastAsia="Times New Roman"/>
                <w:b/>
                <w:bCs/>
                <w:color w:val="000000"/>
                <w:sz w:val="18"/>
                <w:szCs w:val="18"/>
                <w:lang w:eastAsia="lv-LV"/>
              </w:rPr>
              <w:t>2024. gads</w:t>
            </w:r>
          </w:p>
        </w:tc>
        <w:tc>
          <w:tcPr>
            <w:tcW w:w="1002" w:type="pct"/>
            <w:tcBorders>
              <w:top w:val="single" w:sz="4" w:space="0" w:color="auto"/>
              <w:left w:val="nil"/>
              <w:bottom w:val="single" w:sz="4" w:space="0" w:color="auto"/>
              <w:right w:val="single" w:sz="4" w:space="0" w:color="auto"/>
            </w:tcBorders>
            <w:shd w:val="clear" w:color="auto" w:fill="85C2E0"/>
            <w:noWrap/>
            <w:vAlign w:val="bottom"/>
            <w:hideMark/>
          </w:tcPr>
          <w:p w14:paraId="22913A4A" w14:textId="77777777" w:rsidR="00CD647B" w:rsidRPr="00307028" w:rsidRDefault="00CD647B" w:rsidP="00CD647B">
            <w:pPr>
              <w:jc w:val="center"/>
              <w:rPr>
                <w:rFonts w:eastAsia="Times New Roman"/>
                <w:b/>
                <w:bCs/>
                <w:color w:val="000000"/>
                <w:sz w:val="18"/>
                <w:szCs w:val="18"/>
                <w:lang w:eastAsia="lv-LV"/>
              </w:rPr>
            </w:pPr>
            <w:r w:rsidRPr="00307028">
              <w:rPr>
                <w:rFonts w:eastAsia="Times New Roman"/>
                <w:b/>
                <w:bCs/>
                <w:color w:val="000000"/>
                <w:sz w:val="18"/>
                <w:szCs w:val="18"/>
                <w:lang w:eastAsia="lv-LV"/>
              </w:rPr>
              <w:t>2025. gads</w:t>
            </w:r>
          </w:p>
        </w:tc>
      </w:tr>
      <w:tr w:rsidR="00CD647B" w:rsidRPr="00307028" w14:paraId="72582E4C" w14:textId="77777777" w:rsidTr="00937693">
        <w:trPr>
          <w:trHeight w:val="465"/>
        </w:trPr>
        <w:tc>
          <w:tcPr>
            <w:tcW w:w="1993" w:type="pct"/>
            <w:tcBorders>
              <w:top w:val="nil"/>
              <w:left w:val="single" w:sz="4" w:space="0" w:color="auto"/>
              <w:bottom w:val="single" w:sz="4" w:space="0" w:color="auto"/>
              <w:right w:val="single" w:sz="4" w:space="0" w:color="auto"/>
            </w:tcBorders>
            <w:shd w:val="clear" w:color="auto" w:fill="B2D9EC"/>
            <w:vAlign w:val="center"/>
            <w:hideMark/>
          </w:tcPr>
          <w:p w14:paraId="1E960FF2" w14:textId="77777777" w:rsidR="00CD647B" w:rsidRPr="00307028" w:rsidRDefault="00CD647B" w:rsidP="00CD647B">
            <w:pPr>
              <w:jc w:val="both"/>
              <w:rPr>
                <w:rFonts w:eastAsia="Times New Roman"/>
                <w:color w:val="000000"/>
                <w:sz w:val="18"/>
                <w:szCs w:val="18"/>
                <w:lang w:eastAsia="lv-LV"/>
              </w:rPr>
            </w:pPr>
            <w:r w:rsidRPr="00307028">
              <w:rPr>
                <w:rFonts w:eastAsia="Calibri"/>
                <w:sz w:val="18"/>
                <w:szCs w:val="18"/>
                <w:lang w:eastAsia="lv-LV"/>
              </w:rPr>
              <w:t>Ārpusģimenes aprūpes atbalsta pakalpojumu pilnveide, tai skaitā bērniem īpašās situācijās, t.sk.:</w:t>
            </w:r>
          </w:p>
        </w:tc>
        <w:tc>
          <w:tcPr>
            <w:tcW w:w="1002" w:type="pct"/>
            <w:tcBorders>
              <w:top w:val="nil"/>
              <w:left w:val="nil"/>
              <w:bottom w:val="single" w:sz="4" w:space="0" w:color="auto"/>
              <w:right w:val="single" w:sz="4" w:space="0" w:color="auto"/>
            </w:tcBorders>
            <w:shd w:val="clear" w:color="auto" w:fill="B2D9EC"/>
            <w:vAlign w:val="center"/>
            <w:hideMark/>
          </w:tcPr>
          <w:p w14:paraId="7DEE8789" w14:textId="77777777" w:rsidR="00CD647B" w:rsidRPr="00307028" w:rsidRDefault="00CD647B" w:rsidP="00CD647B">
            <w:pPr>
              <w:jc w:val="right"/>
              <w:rPr>
                <w:rFonts w:eastAsia="Times New Roman"/>
                <w:color w:val="000000"/>
                <w:sz w:val="18"/>
                <w:szCs w:val="18"/>
                <w:lang w:eastAsia="lv-LV"/>
              </w:rPr>
            </w:pPr>
            <w:r w:rsidRPr="00307028">
              <w:rPr>
                <w:rFonts w:eastAsia="Calibri"/>
                <w:sz w:val="18"/>
                <w:szCs w:val="18"/>
                <w:lang w:eastAsia="lv-LV"/>
              </w:rPr>
              <w:t>1 741 518</w:t>
            </w:r>
          </w:p>
        </w:tc>
        <w:tc>
          <w:tcPr>
            <w:tcW w:w="1002" w:type="pct"/>
            <w:tcBorders>
              <w:top w:val="nil"/>
              <w:left w:val="nil"/>
              <w:bottom w:val="single" w:sz="4" w:space="0" w:color="auto"/>
              <w:right w:val="single" w:sz="4" w:space="0" w:color="auto"/>
            </w:tcBorders>
            <w:shd w:val="clear" w:color="auto" w:fill="B2D9EC"/>
            <w:vAlign w:val="center"/>
            <w:hideMark/>
          </w:tcPr>
          <w:p w14:paraId="42D27DB1" w14:textId="77777777" w:rsidR="00CD647B" w:rsidRPr="00307028" w:rsidRDefault="00CD647B" w:rsidP="00CD647B">
            <w:pPr>
              <w:jc w:val="right"/>
              <w:rPr>
                <w:rFonts w:eastAsia="Times New Roman"/>
                <w:color w:val="000000"/>
                <w:sz w:val="18"/>
                <w:szCs w:val="18"/>
                <w:lang w:eastAsia="lv-LV"/>
              </w:rPr>
            </w:pPr>
            <w:r w:rsidRPr="00307028">
              <w:rPr>
                <w:rFonts w:eastAsia="Calibri"/>
                <w:sz w:val="18"/>
                <w:szCs w:val="18"/>
                <w:lang w:eastAsia="lv-LV"/>
              </w:rPr>
              <w:t>7 700 000</w:t>
            </w:r>
          </w:p>
        </w:tc>
        <w:tc>
          <w:tcPr>
            <w:tcW w:w="1002" w:type="pct"/>
            <w:tcBorders>
              <w:top w:val="nil"/>
              <w:left w:val="nil"/>
              <w:bottom w:val="single" w:sz="4" w:space="0" w:color="auto"/>
              <w:right w:val="single" w:sz="4" w:space="0" w:color="auto"/>
            </w:tcBorders>
            <w:shd w:val="clear" w:color="auto" w:fill="B2D9EC"/>
            <w:vAlign w:val="center"/>
            <w:hideMark/>
          </w:tcPr>
          <w:p w14:paraId="202CD0EF" w14:textId="77777777" w:rsidR="00CD647B" w:rsidRPr="00307028" w:rsidRDefault="00CD647B" w:rsidP="00CD647B">
            <w:pPr>
              <w:jc w:val="right"/>
              <w:rPr>
                <w:rFonts w:eastAsia="Times New Roman"/>
                <w:color w:val="000000"/>
                <w:sz w:val="18"/>
                <w:szCs w:val="18"/>
                <w:lang w:eastAsia="lv-LV"/>
              </w:rPr>
            </w:pPr>
            <w:r w:rsidRPr="00307028">
              <w:rPr>
                <w:rFonts w:eastAsia="Calibri"/>
                <w:sz w:val="18"/>
                <w:szCs w:val="18"/>
                <w:lang w:eastAsia="lv-LV"/>
              </w:rPr>
              <w:t>7 900 000</w:t>
            </w:r>
          </w:p>
        </w:tc>
      </w:tr>
      <w:tr w:rsidR="00CD647B" w:rsidRPr="00307028" w14:paraId="670E4D07" w14:textId="77777777" w:rsidTr="002A577C">
        <w:trPr>
          <w:trHeight w:val="96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3BF512C5" w14:textId="77777777" w:rsidR="00CD647B" w:rsidRPr="00307028" w:rsidRDefault="00CD647B" w:rsidP="00D85401">
            <w:pPr>
              <w:ind w:left="164"/>
              <w:jc w:val="both"/>
              <w:rPr>
                <w:rFonts w:eastAsia="Times New Roman"/>
                <w:i/>
                <w:iCs/>
                <w:color w:val="000000"/>
                <w:sz w:val="18"/>
                <w:szCs w:val="18"/>
                <w:lang w:eastAsia="lv-LV"/>
              </w:rPr>
            </w:pPr>
            <w:r w:rsidRPr="00307028">
              <w:rPr>
                <w:rFonts w:eastAsia="Calibri"/>
                <w:i/>
                <w:iCs/>
                <w:sz w:val="18"/>
                <w:szCs w:val="18"/>
                <w:lang w:eastAsia="en-US"/>
              </w:rPr>
              <w:t>Nodrošināta</w:t>
            </w:r>
            <w:r w:rsidRPr="00307028">
              <w:rPr>
                <w:rFonts w:eastAsia="Calibri"/>
                <w:i/>
                <w:iCs/>
                <w:sz w:val="18"/>
                <w:szCs w:val="18"/>
                <w:lang w:eastAsia="lv-LV"/>
              </w:rPr>
              <w:t xml:space="preserve"> ārpusģimenes aprūpes atbalsta centru sniegto pakalpojumu pilnveide un paplašināšana, kā arī stiprinātas aizbildņu prasmes un zināšanas bērnu aprūpē</w:t>
            </w:r>
          </w:p>
        </w:tc>
        <w:tc>
          <w:tcPr>
            <w:tcW w:w="1002" w:type="pct"/>
            <w:tcBorders>
              <w:top w:val="nil"/>
              <w:left w:val="nil"/>
              <w:bottom w:val="single" w:sz="4" w:space="0" w:color="auto"/>
              <w:right w:val="single" w:sz="4" w:space="0" w:color="auto"/>
            </w:tcBorders>
            <w:shd w:val="clear" w:color="auto" w:fill="auto"/>
            <w:vAlign w:val="center"/>
            <w:hideMark/>
          </w:tcPr>
          <w:p w14:paraId="43DDDE77"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color w:val="000000"/>
                <w:sz w:val="18"/>
                <w:szCs w:val="18"/>
                <w:lang w:eastAsia="lv-LV"/>
              </w:rPr>
              <w:t>1 644 941</w:t>
            </w:r>
          </w:p>
        </w:tc>
        <w:tc>
          <w:tcPr>
            <w:tcW w:w="1002" w:type="pct"/>
            <w:tcBorders>
              <w:top w:val="nil"/>
              <w:left w:val="nil"/>
              <w:bottom w:val="single" w:sz="4" w:space="0" w:color="auto"/>
              <w:right w:val="single" w:sz="4" w:space="0" w:color="auto"/>
            </w:tcBorders>
            <w:shd w:val="clear" w:color="auto" w:fill="auto"/>
            <w:vAlign w:val="center"/>
            <w:hideMark/>
          </w:tcPr>
          <w:p w14:paraId="31AC5F56"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color w:val="000000"/>
                <w:sz w:val="18"/>
                <w:szCs w:val="18"/>
                <w:lang w:eastAsia="lv-LV"/>
              </w:rPr>
              <w:t>2 112 433</w:t>
            </w:r>
          </w:p>
        </w:tc>
        <w:tc>
          <w:tcPr>
            <w:tcW w:w="1002" w:type="pct"/>
            <w:tcBorders>
              <w:top w:val="nil"/>
              <w:left w:val="nil"/>
              <w:bottom w:val="single" w:sz="4" w:space="0" w:color="auto"/>
              <w:right w:val="single" w:sz="4" w:space="0" w:color="auto"/>
            </w:tcBorders>
            <w:shd w:val="clear" w:color="auto" w:fill="auto"/>
            <w:vAlign w:val="center"/>
            <w:hideMark/>
          </w:tcPr>
          <w:p w14:paraId="3CD2337E"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color w:val="000000"/>
                <w:sz w:val="18"/>
                <w:szCs w:val="18"/>
                <w:lang w:eastAsia="lv-LV"/>
              </w:rPr>
              <w:t>1 967 396</w:t>
            </w:r>
          </w:p>
        </w:tc>
      </w:tr>
      <w:tr w:rsidR="00CD647B" w:rsidRPr="00307028" w14:paraId="31BA2038" w14:textId="77777777" w:rsidTr="002A577C">
        <w:trPr>
          <w:trHeight w:val="96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AADE0BB" w14:textId="77777777" w:rsidR="00CD647B" w:rsidRPr="00307028" w:rsidRDefault="00CD647B" w:rsidP="00D85401">
            <w:pPr>
              <w:ind w:left="164"/>
              <w:jc w:val="both"/>
              <w:rPr>
                <w:rFonts w:eastAsia="Times New Roman"/>
                <w:i/>
                <w:iCs/>
                <w:color w:val="000000"/>
                <w:sz w:val="18"/>
                <w:szCs w:val="18"/>
                <w:lang w:eastAsia="lv-LV"/>
              </w:rPr>
            </w:pPr>
            <w:r w:rsidRPr="00307028">
              <w:rPr>
                <w:rFonts w:eastAsia="Calibri"/>
                <w:i/>
                <w:iCs/>
                <w:sz w:val="18"/>
                <w:szCs w:val="18"/>
                <w:lang w:eastAsia="lv-LV"/>
              </w:rPr>
              <w:t xml:space="preserve">Nodrošināta atbalsta turpināšana par bērnu ilgāku uzturēšanos </w:t>
            </w:r>
            <w:r w:rsidRPr="00307028">
              <w:rPr>
                <w:rFonts w:eastAsia="Calibri"/>
                <w:i/>
                <w:iCs/>
                <w:sz w:val="18"/>
                <w:szCs w:val="18"/>
                <w:lang w:eastAsia="en-US"/>
              </w:rPr>
              <w:t>ārpusģimenes</w:t>
            </w:r>
            <w:r w:rsidRPr="00307028">
              <w:rPr>
                <w:rFonts w:eastAsia="Calibri"/>
                <w:i/>
                <w:iCs/>
                <w:sz w:val="18"/>
                <w:szCs w:val="18"/>
                <w:lang w:eastAsia="lv-LV"/>
              </w:rPr>
              <w:t xml:space="preserve"> aprūpē, ja jaunietis izteicis tādu vēlmi, līdz 21 gada vecumam vai 24 gadu vecumam, ja jaunietis mācās</w:t>
            </w:r>
          </w:p>
        </w:tc>
        <w:tc>
          <w:tcPr>
            <w:tcW w:w="1002" w:type="pct"/>
            <w:tcBorders>
              <w:top w:val="nil"/>
              <w:left w:val="nil"/>
              <w:bottom w:val="single" w:sz="4" w:space="0" w:color="auto"/>
              <w:right w:val="single" w:sz="4" w:space="0" w:color="auto"/>
            </w:tcBorders>
            <w:shd w:val="clear" w:color="auto" w:fill="auto"/>
            <w:vAlign w:val="center"/>
            <w:hideMark/>
          </w:tcPr>
          <w:p w14:paraId="6B9341F1" w14:textId="77777777" w:rsidR="00CD647B" w:rsidRPr="00307028" w:rsidRDefault="00CD647B" w:rsidP="00CD647B">
            <w:pPr>
              <w:jc w:val="center"/>
              <w:rPr>
                <w:rFonts w:eastAsia="Times New Roman"/>
                <w:i/>
                <w:iCs/>
                <w:color w:val="000000"/>
                <w:sz w:val="18"/>
                <w:szCs w:val="18"/>
                <w:lang w:eastAsia="lv-LV"/>
              </w:rPr>
            </w:pPr>
            <w:r w:rsidRPr="00307028">
              <w:rPr>
                <w:rFonts w:eastAsia="Calibri"/>
                <w:i/>
                <w:iCs/>
                <w:sz w:val="18"/>
                <w:szCs w:val="18"/>
                <w:lang w:eastAsia="lv-LV"/>
              </w:rPr>
              <w:t>-</w:t>
            </w:r>
          </w:p>
        </w:tc>
        <w:tc>
          <w:tcPr>
            <w:tcW w:w="1002" w:type="pct"/>
            <w:tcBorders>
              <w:top w:val="nil"/>
              <w:left w:val="nil"/>
              <w:bottom w:val="single" w:sz="4" w:space="0" w:color="auto"/>
              <w:right w:val="single" w:sz="4" w:space="0" w:color="auto"/>
            </w:tcBorders>
            <w:shd w:val="clear" w:color="auto" w:fill="auto"/>
            <w:vAlign w:val="center"/>
            <w:hideMark/>
          </w:tcPr>
          <w:p w14:paraId="0B55BCDB"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sz w:val="18"/>
                <w:szCs w:val="18"/>
                <w:lang w:eastAsia="lv-LV"/>
              </w:rPr>
              <w:t>4 738 680</w:t>
            </w:r>
          </w:p>
        </w:tc>
        <w:tc>
          <w:tcPr>
            <w:tcW w:w="1002" w:type="pct"/>
            <w:tcBorders>
              <w:top w:val="nil"/>
              <w:left w:val="nil"/>
              <w:bottom w:val="single" w:sz="4" w:space="0" w:color="auto"/>
              <w:right w:val="single" w:sz="4" w:space="0" w:color="auto"/>
            </w:tcBorders>
            <w:shd w:val="clear" w:color="auto" w:fill="auto"/>
            <w:vAlign w:val="center"/>
            <w:hideMark/>
          </w:tcPr>
          <w:p w14:paraId="733ACC3C"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sz w:val="18"/>
                <w:szCs w:val="18"/>
                <w:lang w:eastAsia="lv-LV"/>
              </w:rPr>
              <w:t>4 683 641</w:t>
            </w:r>
          </w:p>
        </w:tc>
      </w:tr>
      <w:tr w:rsidR="00CD647B" w:rsidRPr="00307028" w14:paraId="442A46D9" w14:textId="77777777" w:rsidTr="002A577C">
        <w:trPr>
          <w:trHeight w:val="555"/>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4C72D916" w14:textId="77777777" w:rsidR="00CD647B" w:rsidRPr="00307028" w:rsidRDefault="00CD647B" w:rsidP="00D85401">
            <w:pPr>
              <w:ind w:left="164"/>
              <w:jc w:val="both"/>
              <w:rPr>
                <w:rFonts w:eastAsia="Times New Roman"/>
                <w:i/>
                <w:iCs/>
                <w:color w:val="000000"/>
                <w:sz w:val="18"/>
                <w:szCs w:val="18"/>
                <w:lang w:eastAsia="lv-LV"/>
              </w:rPr>
            </w:pPr>
            <w:r w:rsidRPr="00307028">
              <w:rPr>
                <w:rFonts w:eastAsia="Calibri"/>
                <w:i/>
                <w:iCs/>
                <w:sz w:val="18"/>
                <w:szCs w:val="18"/>
                <w:lang w:eastAsia="lv-LV"/>
              </w:rPr>
              <w:t>Nodrošināts sociālās rehabilitācijas pakalpojums bērniem ar uzvedības traucējumiem</w:t>
            </w:r>
          </w:p>
        </w:tc>
        <w:tc>
          <w:tcPr>
            <w:tcW w:w="1002" w:type="pct"/>
            <w:tcBorders>
              <w:top w:val="nil"/>
              <w:left w:val="nil"/>
              <w:bottom w:val="single" w:sz="4" w:space="0" w:color="auto"/>
              <w:right w:val="single" w:sz="4" w:space="0" w:color="auto"/>
            </w:tcBorders>
            <w:shd w:val="clear" w:color="auto" w:fill="auto"/>
            <w:vAlign w:val="center"/>
            <w:hideMark/>
          </w:tcPr>
          <w:p w14:paraId="6CFF0B8A" w14:textId="77777777" w:rsidR="00CD647B" w:rsidRPr="00307028" w:rsidRDefault="00CD647B" w:rsidP="00CD647B">
            <w:pPr>
              <w:ind w:firstLineChars="100" w:firstLine="180"/>
              <w:jc w:val="right"/>
              <w:rPr>
                <w:rFonts w:eastAsia="Times New Roman"/>
                <w:i/>
                <w:iCs/>
                <w:color w:val="000000"/>
                <w:sz w:val="18"/>
                <w:szCs w:val="18"/>
                <w:lang w:eastAsia="lv-LV"/>
              </w:rPr>
            </w:pPr>
            <w:r w:rsidRPr="00307028">
              <w:rPr>
                <w:rFonts w:eastAsia="Calibri"/>
                <w:i/>
                <w:iCs/>
                <w:sz w:val="18"/>
                <w:szCs w:val="18"/>
                <w:lang w:eastAsia="lv-LV"/>
              </w:rPr>
              <w:t>96 577</w:t>
            </w:r>
          </w:p>
        </w:tc>
        <w:tc>
          <w:tcPr>
            <w:tcW w:w="1002" w:type="pct"/>
            <w:tcBorders>
              <w:top w:val="nil"/>
              <w:left w:val="nil"/>
              <w:bottom w:val="single" w:sz="4" w:space="0" w:color="auto"/>
              <w:right w:val="single" w:sz="4" w:space="0" w:color="auto"/>
            </w:tcBorders>
            <w:shd w:val="clear" w:color="auto" w:fill="auto"/>
            <w:vAlign w:val="center"/>
            <w:hideMark/>
          </w:tcPr>
          <w:p w14:paraId="0F6A9237"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sz w:val="18"/>
                <w:szCs w:val="18"/>
                <w:lang w:eastAsia="lv-LV"/>
              </w:rPr>
              <w:t>799 865</w:t>
            </w:r>
          </w:p>
        </w:tc>
        <w:tc>
          <w:tcPr>
            <w:tcW w:w="1002" w:type="pct"/>
            <w:tcBorders>
              <w:top w:val="nil"/>
              <w:left w:val="nil"/>
              <w:bottom w:val="single" w:sz="4" w:space="0" w:color="auto"/>
              <w:right w:val="single" w:sz="4" w:space="0" w:color="auto"/>
            </w:tcBorders>
            <w:shd w:val="clear" w:color="auto" w:fill="auto"/>
            <w:vAlign w:val="center"/>
            <w:hideMark/>
          </w:tcPr>
          <w:p w14:paraId="0677FCCF" w14:textId="77777777" w:rsidR="00CD647B" w:rsidRPr="00307028" w:rsidRDefault="00CD647B" w:rsidP="00CD647B">
            <w:pPr>
              <w:jc w:val="right"/>
              <w:rPr>
                <w:rFonts w:eastAsia="Times New Roman"/>
                <w:i/>
                <w:iCs/>
                <w:color w:val="000000"/>
                <w:sz w:val="18"/>
                <w:szCs w:val="18"/>
                <w:lang w:eastAsia="lv-LV"/>
              </w:rPr>
            </w:pPr>
            <w:r w:rsidRPr="00307028">
              <w:rPr>
                <w:rFonts w:eastAsia="Calibri"/>
                <w:i/>
                <w:iCs/>
                <w:sz w:val="18"/>
                <w:szCs w:val="18"/>
                <w:lang w:eastAsia="lv-LV"/>
              </w:rPr>
              <w:t>1 199 941</w:t>
            </w:r>
          </w:p>
        </w:tc>
      </w:tr>
      <w:tr w:rsidR="00CD647B" w:rsidRPr="00307028" w14:paraId="51182973" w14:textId="77777777" w:rsidTr="002A577C">
        <w:trPr>
          <w:trHeight w:val="1335"/>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4ECCEC5" w14:textId="77777777" w:rsidR="00CD647B" w:rsidRPr="00307028" w:rsidRDefault="00CD647B" w:rsidP="00D85401">
            <w:pPr>
              <w:ind w:left="164"/>
              <w:jc w:val="both"/>
              <w:rPr>
                <w:rFonts w:eastAsia="Times New Roman"/>
                <w:i/>
                <w:iCs/>
                <w:color w:val="000000"/>
                <w:sz w:val="18"/>
                <w:szCs w:val="18"/>
                <w:lang w:eastAsia="lv-LV"/>
              </w:rPr>
            </w:pPr>
            <w:r w:rsidRPr="00307028">
              <w:rPr>
                <w:rFonts w:eastAsia="Calibri"/>
                <w:i/>
                <w:iCs/>
                <w:sz w:val="18"/>
                <w:szCs w:val="18"/>
                <w:lang w:eastAsia="lv-LV"/>
              </w:rPr>
              <w:t>Transferta pārskaitījums uz sociālās apdrošināšanas speciālo budžetu, nodrošinot sociālās apdrošināšanas iemaksas par personām, kuras saņem atlīdzību par audžuģimenes pienākumu pildīšanu (2024. un 2025.gadā neradot ietekmi uz speciālā budžeta izdevumiem)</w:t>
            </w:r>
          </w:p>
        </w:tc>
        <w:tc>
          <w:tcPr>
            <w:tcW w:w="1002" w:type="pct"/>
            <w:tcBorders>
              <w:top w:val="nil"/>
              <w:left w:val="nil"/>
              <w:bottom w:val="single" w:sz="4" w:space="0" w:color="auto"/>
              <w:right w:val="single" w:sz="4" w:space="0" w:color="auto"/>
            </w:tcBorders>
            <w:shd w:val="clear" w:color="auto" w:fill="auto"/>
            <w:vAlign w:val="center"/>
            <w:hideMark/>
          </w:tcPr>
          <w:p w14:paraId="2BC53089" w14:textId="77777777" w:rsidR="00CD647B" w:rsidRPr="00307028" w:rsidRDefault="00CD647B" w:rsidP="00CD647B">
            <w:pPr>
              <w:jc w:val="center"/>
              <w:rPr>
                <w:rFonts w:eastAsia="Times New Roman"/>
                <w:i/>
                <w:iCs/>
                <w:color w:val="000000"/>
                <w:sz w:val="18"/>
                <w:szCs w:val="18"/>
                <w:lang w:eastAsia="lv-LV"/>
              </w:rPr>
            </w:pPr>
            <w:r w:rsidRPr="00307028">
              <w:rPr>
                <w:rFonts w:eastAsia="Calibri"/>
                <w:i/>
                <w:iCs/>
                <w:sz w:val="18"/>
                <w:szCs w:val="18"/>
                <w:lang w:eastAsia="lv-LV"/>
              </w:rPr>
              <w:t>-</w:t>
            </w:r>
          </w:p>
        </w:tc>
        <w:tc>
          <w:tcPr>
            <w:tcW w:w="1002" w:type="pct"/>
            <w:tcBorders>
              <w:top w:val="nil"/>
              <w:left w:val="nil"/>
              <w:bottom w:val="single" w:sz="4" w:space="0" w:color="auto"/>
              <w:right w:val="single" w:sz="4" w:space="0" w:color="auto"/>
            </w:tcBorders>
            <w:shd w:val="clear" w:color="auto" w:fill="auto"/>
            <w:vAlign w:val="center"/>
            <w:hideMark/>
          </w:tcPr>
          <w:p w14:paraId="46E3D0DC" w14:textId="77777777" w:rsidR="00CD647B" w:rsidRPr="00307028" w:rsidRDefault="00CD647B" w:rsidP="00CD647B">
            <w:pPr>
              <w:ind w:firstLineChars="100" w:firstLine="180"/>
              <w:jc w:val="right"/>
              <w:rPr>
                <w:rFonts w:eastAsia="Times New Roman"/>
                <w:i/>
                <w:iCs/>
                <w:color w:val="000000"/>
                <w:sz w:val="18"/>
                <w:szCs w:val="18"/>
                <w:lang w:eastAsia="lv-LV"/>
              </w:rPr>
            </w:pPr>
            <w:r w:rsidRPr="00307028">
              <w:rPr>
                <w:rFonts w:eastAsia="Calibri"/>
                <w:i/>
                <w:iCs/>
                <w:sz w:val="18"/>
                <w:szCs w:val="18"/>
                <w:lang w:eastAsia="lv-LV"/>
              </w:rPr>
              <w:t>49 022</w:t>
            </w:r>
          </w:p>
        </w:tc>
        <w:tc>
          <w:tcPr>
            <w:tcW w:w="1002" w:type="pct"/>
            <w:tcBorders>
              <w:top w:val="nil"/>
              <w:left w:val="nil"/>
              <w:bottom w:val="single" w:sz="4" w:space="0" w:color="auto"/>
              <w:right w:val="single" w:sz="4" w:space="0" w:color="auto"/>
            </w:tcBorders>
            <w:shd w:val="clear" w:color="auto" w:fill="auto"/>
            <w:vAlign w:val="center"/>
            <w:hideMark/>
          </w:tcPr>
          <w:p w14:paraId="2CD060A3" w14:textId="77777777" w:rsidR="00CD647B" w:rsidRPr="00307028" w:rsidRDefault="00CD647B" w:rsidP="00912269">
            <w:pPr>
              <w:ind w:firstLineChars="100" w:firstLine="180"/>
              <w:jc w:val="right"/>
              <w:rPr>
                <w:rFonts w:eastAsia="Times New Roman"/>
                <w:i/>
                <w:iCs/>
                <w:color w:val="000000"/>
                <w:sz w:val="18"/>
                <w:szCs w:val="18"/>
                <w:lang w:eastAsia="lv-LV"/>
              </w:rPr>
            </w:pPr>
            <w:r w:rsidRPr="00307028">
              <w:rPr>
                <w:rFonts w:eastAsia="Calibri"/>
                <w:i/>
                <w:iCs/>
                <w:sz w:val="18"/>
                <w:szCs w:val="18"/>
                <w:lang w:eastAsia="lv-LV"/>
              </w:rPr>
              <w:t>49 022</w:t>
            </w:r>
          </w:p>
        </w:tc>
      </w:tr>
    </w:tbl>
    <w:p w14:paraId="08DFC95F"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Izdevumu pārskatīšanas ietvaros tiek izvērtēts finansējums </w:t>
      </w:r>
      <w:bookmarkStart w:id="108" w:name="_Hlk141373717"/>
      <w:r w:rsidRPr="00307028">
        <w:rPr>
          <w:rFonts w:eastAsia="Calibri"/>
          <w:lang w:eastAsia="en-US"/>
        </w:rPr>
        <w:t xml:space="preserve">2024. gadam 5 290 358 </w:t>
      </w:r>
      <w:r w:rsidRPr="00307028">
        <w:rPr>
          <w:rFonts w:eastAsia="Calibri"/>
          <w:i/>
          <w:iCs/>
          <w:lang w:eastAsia="en-US"/>
        </w:rPr>
        <w:t>euro</w:t>
      </w:r>
      <w:r w:rsidRPr="00307028">
        <w:rPr>
          <w:rFonts w:eastAsia="Calibri"/>
          <w:lang w:eastAsia="en-US"/>
        </w:rPr>
        <w:t xml:space="preserve"> apmērā, 2025. gadam un turpmāk ik gadu 5 220 919 </w:t>
      </w:r>
      <w:r w:rsidRPr="00307028">
        <w:rPr>
          <w:rFonts w:eastAsia="Calibri"/>
          <w:i/>
          <w:iCs/>
          <w:lang w:eastAsia="en-US"/>
        </w:rPr>
        <w:t>euro</w:t>
      </w:r>
      <w:bookmarkEnd w:id="108"/>
      <w:r w:rsidRPr="00307028">
        <w:rPr>
          <w:rFonts w:eastAsia="Calibri"/>
          <w:lang w:eastAsia="en-US"/>
        </w:rPr>
        <w:t xml:space="preserve"> apmērā, kas veidojas no PP apakšpasākumiem:</w:t>
      </w:r>
    </w:p>
    <w:p w14:paraId="0C3CF55E" w14:textId="77777777" w:rsidR="00CD647B" w:rsidRPr="00307028" w:rsidRDefault="00CD647B" w:rsidP="00070D5F">
      <w:pPr>
        <w:numPr>
          <w:ilvl w:val="0"/>
          <w:numId w:val="44"/>
        </w:numPr>
        <w:spacing w:before="120" w:after="120" w:line="259" w:lineRule="auto"/>
        <w:ind w:left="924" w:hanging="357"/>
        <w:jc w:val="both"/>
        <w:rPr>
          <w:rFonts w:eastAsia="Calibri"/>
          <w:lang w:eastAsia="en-US"/>
        </w:rPr>
      </w:pPr>
      <w:r w:rsidRPr="00307028">
        <w:rPr>
          <w:rFonts w:eastAsia="Calibri"/>
          <w:lang w:eastAsia="en-US"/>
        </w:rPr>
        <w:t xml:space="preserve">“Nodrošināta ārpusģimenes aprūpes atbalsta centru sniegto pakalpojumu pilnveide un paplašināšana, kā arī stiprinātas aizbildņu prasmes un zināšanas bērnu aprūpē”, tā ietvaros pārskatot finansējumu, kas tika plānots bērnu ilgākai uzturēšanai ārpusģimenes aprūpē, – 2024. gadam 502 656 </w:t>
      </w:r>
      <w:r w:rsidRPr="00307028">
        <w:rPr>
          <w:rFonts w:eastAsia="Calibri"/>
          <w:i/>
          <w:iCs/>
          <w:lang w:eastAsia="en-US"/>
        </w:rPr>
        <w:t>euro</w:t>
      </w:r>
      <w:r w:rsidRPr="00307028">
        <w:rPr>
          <w:rFonts w:eastAsia="Calibri"/>
          <w:lang w:eastAsia="en-US"/>
        </w:rPr>
        <w:t xml:space="preserve"> un 2025. gadam un turpmāk ik gadu 488 256 </w:t>
      </w:r>
      <w:r w:rsidRPr="00307028">
        <w:rPr>
          <w:rFonts w:eastAsia="Calibri"/>
          <w:i/>
          <w:iCs/>
          <w:lang w:eastAsia="en-US"/>
        </w:rPr>
        <w:t>euro</w:t>
      </w:r>
      <w:r w:rsidRPr="00307028">
        <w:rPr>
          <w:rFonts w:eastAsia="Calibri"/>
          <w:lang w:eastAsia="en-US"/>
        </w:rPr>
        <w:t>;</w:t>
      </w:r>
    </w:p>
    <w:p w14:paraId="199DBEF0" w14:textId="77777777" w:rsidR="00CD647B" w:rsidRPr="00307028" w:rsidRDefault="00CD647B" w:rsidP="00070D5F">
      <w:pPr>
        <w:numPr>
          <w:ilvl w:val="0"/>
          <w:numId w:val="44"/>
        </w:numPr>
        <w:spacing w:before="120" w:after="120" w:line="259" w:lineRule="auto"/>
        <w:ind w:left="924" w:hanging="357"/>
        <w:jc w:val="both"/>
        <w:rPr>
          <w:rFonts w:eastAsia="Calibri"/>
          <w:lang w:eastAsia="en-US"/>
        </w:rPr>
      </w:pPr>
      <w:r w:rsidRPr="00307028">
        <w:rPr>
          <w:rFonts w:eastAsia="Calibri"/>
          <w:lang w:eastAsia="en-US"/>
        </w:rPr>
        <w:t xml:space="preserve"> “Nodrošināta atbalsta turpināšana par bērnu ilgāku uzturēšanos ārpusģimenes aprūpē, ja jaunietis izteicis tādu vēlmi, līdz 21 gada vecumam vai 24 gadu vecumam, ja jaunietis mācās” – 2024. gadam 4 738 680 </w:t>
      </w:r>
      <w:r w:rsidRPr="00307028">
        <w:rPr>
          <w:rFonts w:eastAsia="Calibri"/>
          <w:i/>
          <w:iCs/>
          <w:lang w:eastAsia="en-US"/>
        </w:rPr>
        <w:t>euro</w:t>
      </w:r>
      <w:r w:rsidRPr="00307028">
        <w:rPr>
          <w:rFonts w:eastAsia="Calibri"/>
          <w:lang w:eastAsia="en-US"/>
        </w:rPr>
        <w:t xml:space="preserve"> un 2025. gadam un turpmāk ik gadu 4 683 641 </w:t>
      </w:r>
      <w:r w:rsidRPr="00307028">
        <w:rPr>
          <w:rFonts w:eastAsia="Calibri"/>
          <w:i/>
          <w:iCs/>
          <w:lang w:eastAsia="en-US"/>
        </w:rPr>
        <w:t>euro;</w:t>
      </w:r>
    </w:p>
    <w:p w14:paraId="53B2C1F9" w14:textId="77777777" w:rsidR="00CD647B" w:rsidRPr="00307028" w:rsidRDefault="00CD647B" w:rsidP="00070D5F">
      <w:pPr>
        <w:numPr>
          <w:ilvl w:val="0"/>
          <w:numId w:val="44"/>
        </w:numPr>
        <w:spacing w:before="120" w:after="120" w:line="259" w:lineRule="auto"/>
        <w:ind w:left="924" w:hanging="357"/>
        <w:jc w:val="both"/>
        <w:rPr>
          <w:rFonts w:eastAsia="Calibri"/>
          <w:lang w:eastAsia="en-US"/>
        </w:rPr>
      </w:pPr>
      <w:r w:rsidRPr="00307028">
        <w:rPr>
          <w:rFonts w:eastAsia="Calibri"/>
          <w:lang w:eastAsia="en-US"/>
        </w:rPr>
        <w:lastRenderedPageBreak/>
        <w:t xml:space="preserve">“Transferta pārskaitījums uz sociālās apdrošināšanas speciālo budžetu, nodrošinot sociālās apdrošināšanas iemaksas par personām, kuras saņem atlīdzību par audžuģimenes pienākumu pildīšanu (2024. un 2025. gadā neradot ietekmi uz speciālā budžeta izdevumiem)” – 2024. gadam un turpmāk ik gadu 49 022 </w:t>
      </w:r>
      <w:r w:rsidRPr="00307028">
        <w:rPr>
          <w:rFonts w:eastAsia="Calibri"/>
          <w:i/>
          <w:iCs/>
          <w:lang w:eastAsia="en-US"/>
        </w:rPr>
        <w:t>euro</w:t>
      </w:r>
      <w:r w:rsidRPr="00307028">
        <w:rPr>
          <w:rFonts w:eastAsia="Calibri"/>
          <w:lang w:eastAsia="en-US"/>
        </w:rPr>
        <w:t>.</w:t>
      </w:r>
    </w:p>
    <w:p w14:paraId="0BC83D8F" w14:textId="77777777" w:rsidR="00CD647B" w:rsidRPr="00307028" w:rsidRDefault="00CD647B" w:rsidP="00CD647B">
      <w:pPr>
        <w:spacing w:before="120" w:after="120" w:line="259" w:lineRule="auto"/>
        <w:ind w:firstLine="720"/>
        <w:jc w:val="both"/>
        <w:rPr>
          <w:rFonts w:eastAsia="Times New Roman"/>
          <w:b/>
          <w:bCs/>
          <w:szCs w:val="22"/>
          <w:lang w:eastAsia="en-US"/>
        </w:rPr>
      </w:pPr>
      <w:r w:rsidRPr="00307028">
        <w:rPr>
          <w:rFonts w:eastAsia="Times New Roman"/>
          <w:b/>
          <w:bCs/>
          <w:szCs w:val="22"/>
          <w:lang w:eastAsia="en-US"/>
        </w:rPr>
        <w:t xml:space="preserve">Ņemot vērā pieejamos resursus no </w:t>
      </w:r>
      <w:r w:rsidRPr="00307028">
        <w:rPr>
          <w:rFonts w:eastAsia="Calibri"/>
          <w:b/>
          <w:bCs/>
          <w:lang w:eastAsia="en-US"/>
        </w:rPr>
        <w:t xml:space="preserve">2023. – 2025. gada PP “Ārpusģimenes aprūpes atbalsta pakalpojumu pilnveide, tai skaitā bērniem īpašās situācijās” </w:t>
      </w:r>
      <w:r w:rsidRPr="00307028">
        <w:rPr>
          <w:rFonts w:eastAsia="Times New Roman"/>
          <w:b/>
          <w:bCs/>
          <w:szCs w:val="22"/>
          <w:lang w:eastAsia="en-US"/>
        </w:rPr>
        <w:t xml:space="preserve">2024. gadam 5 290 358 </w:t>
      </w:r>
      <w:r w:rsidRPr="00307028">
        <w:rPr>
          <w:rFonts w:eastAsia="Times New Roman"/>
          <w:b/>
          <w:bCs/>
          <w:i/>
          <w:iCs/>
          <w:szCs w:val="22"/>
          <w:lang w:eastAsia="en-US"/>
        </w:rPr>
        <w:t>euro</w:t>
      </w:r>
      <w:r w:rsidRPr="00307028">
        <w:rPr>
          <w:rFonts w:eastAsia="Times New Roman"/>
          <w:b/>
          <w:bCs/>
          <w:szCs w:val="22"/>
          <w:lang w:eastAsia="en-US"/>
        </w:rPr>
        <w:t xml:space="preserve"> apmērā, 2025. gadam un turpmāk ik gadu 5 220 919 </w:t>
      </w:r>
      <w:r w:rsidRPr="00307028">
        <w:rPr>
          <w:rFonts w:eastAsia="Times New Roman"/>
          <w:b/>
          <w:bCs/>
          <w:i/>
          <w:iCs/>
          <w:szCs w:val="22"/>
          <w:lang w:eastAsia="en-US"/>
        </w:rPr>
        <w:t>euro</w:t>
      </w:r>
      <w:r w:rsidRPr="00307028">
        <w:rPr>
          <w:rFonts w:eastAsia="Times New Roman"/>
          <w:b/>
          <w:bCs/>
          <w:szCs w:val="22"/>
          <w:lang w:eastAsia="en-US"/>
        </w:rPr>
        <w:t>, LM iespējams novirzīt finansējumu citiem būtiskiem labklājības nozares pasākumiem, tai skaitā:</w:t>
      </w:r>
    </w:p>
    <w:p w14:paraId="1BEE5119" w14:textId="77777777" w:rsidR="00CD647B" w:rsidRPr="00307028" w:rsidRDefault="00CD647B" w:rsidP="00070D5F">
      <w:pPr>
        <w:numPr>
          <w:ilvl w:val="0"/>
          <w:numId w:val="37"/>
        </w:numPr>
        <w:spacing w:before="120" w:after="120" w:line="259" w:lineRule="auto"/>
        <w:ind w:left="1134" w:hanging="283"/>
        <w:contextualSpacing/>
        <w:jc w:val="both"/>
        <w:rPr>
          <w:rFonts w:eastAsia="Calibri"/>
          <w:b/>
          <w:lang w:eastAsia="en-US"/>
        </w:rPr>
      </w:pPr>
      <w:r w:rsidRPr="00307028">
        <w:rPr>
          <w:rFonts w:eastAsia="Calibri"/>
          <w:b/>
          <w:lang w:eastAsia="en-US"/>
        </w:rPr>
        <w:t>Nodrošināts bāreņu un bez vecāku gādības palikušo bērnu atbalsts patstāvīgas dzīves uzsākšanai pēc pilngadības sasniegšanas</w:t>
      </w:r>
    </w:p>
    <w:p w14:paraId="20A9DDC3" w14:textId="405EA0D9"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PP “Ārpusģimenes aprūpes atbalsta pakalpojumu pilnveide, tai skaitā bērniem īpašās situācijās” </w:t>
      </w:r>
      <w:r w:rsidR="00925A15" w:rsidRPr="00307028">
        <w:rPr>
          <w:rFonts w:eastAsia="Calibri"/>
          <w:lang w:eastAsia="en-US"/>
        </w:rPr>
        <w:t xml:space="preserve">sākot ar 2024. gadu </w:t>
      </w:r>
      <w:r w:rsidRPr="00307028">
        <w:rPr>
          <w:rFonts w:eastAsia="Calibri"/>
          <w:lang w:eastAsia="en-US"/>
        </w:rPr>
        <w:t>paredzēja</w:t>
      </w:r>
      <w:r w:rsidR="00925A15" w:rsidRPr="00307028">
        <w:rPr>
          <w:rFonts w:eastAsia="Calibri"/>
          <w:lang w:eastAsia="en-US"/>
        </w:rPr>
        <w:t xml:space="preserve"> </w:t>
      </w:r>
      <w:r w:rsidRPr="00307028">
        <w:rPr>
          <w:rFonts w:eastAsia="Calibri"/>
          <w:lang w:eastAsia="en-US"/>
        </w:rPr>
        <w:t xml:space="preserve">galvenokārt atbalstu pabalsta veidā bērna iepriekšējam aprūpētājam, ja ārpusģimenes aprūpē esošais bērns izteiks vēlmi turpināt atrasties pie aizbildņa vai audžuģimenes. </w:t>
      </w:r>
    </w:p>
    <w:p w14:paraId="2FAD45BA"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Neraugoties uz formālu pilngadības sasniegšanu, jaunieši pēc ārpusģimenes aprūpes nereti nav gatavi uzsākt patstāvīgu dzīvi, jo viņiem nav pietiekamu prasmju un zināšanu, lai nodrošinātu pašaprūpi, kā arī kritiskas izpratnes par sabiedrībā notiekošo, lai varētu patstāvīgi un pilnvērtīgi tajā iekļauties. Bieži kā šo procesu bremzējoši faktori pievienojas arī nepietiekams emocionālais un intelektuālais briedums, kā arī iespējamas bērnības traumatiskās pieredzes un nepilnīgi nodrošināti apstākļi personības attīstībai.</w:t>
      </w:r>
    </w:p>
    <w:p w14:paraId="2558B9C7" w14:textId="24F75F42"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Lai jaunieši pēc ārpusģimenes aprūpes, sasniedzot pilngadību, justos drošāk un būtu pārliecinātāki par savu nākotni, un, dzīvojot patstāvīgu dzīvi, spētu noteikt prioritātes un pieņemt situācijām atbilstošus lēmumus, tiek precizēti nosacījumi un gadījumi, kādos pēc ārpusģimenes aprūpes esošam bērnam pēc pilngadības sasniegšanas ir turpināma uzturēšanās aprūpes iestādē, pie aizbildņa vai audžuģimenē, vai, uzsākot patstāvīgu dzīvi, tiek nodrošināts</w:t>
      </w:r>
      <w:r w:rsidR="00F240E3" w:rsidRPr="00307028">
        <w:rPr>
          <w:rFonts w:eastAsia="Calibri"/>
          <w:lang w:eastAsia="en-US"/>
        </w:rPr>
        <w:t xml:space="preserve"> </w:t>
      </w:r>
      <w:r w:rsidRPr="00307028">
        <w:rPr>
          <w:rFonts w:eastAsia="Calibri"/>
          <w:lang w:eastAsia="en-US"/>
        </w:rPr>
        <w:t>nepieciešamais atbalsta kopums iespējami saudzīgas pārejas uz neatkarīgu dzīvi nodrošināšanai.</w:t>
      </w:r>
    </w:p>
    <w:p w14:paraId="57DBCC87"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Starptautisku organizāciju (ANO, OECD) un vairāku valstu zinātniski pētījumi, kā arī daudzu valstu pieredze apliecina, ka jauniešiem (bez vecāku gādības palikušam bērnam vai bērenim) īpaši svarīga ir saudzīga un atbalstoša pāreja no ārpusģimenes atbalsta sistēmas (dzīve pie aizbildņa, audžuģimenē, aprūpes institūcijā) uz patstāvīgu dzīvi.</w:t>
      </w:r>
    </w:p>
    <w:p w14:paraId="26422A97" w14:textId="1988A4F0"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Pētījumu dati liecina, ka strauja pāreja un atbalsta neesamība laikā pirms pilngadības iestāšanās un uzreiz pēc </w:t>
      </w:r>
      <w:r w:rsidR="00925A15" w:rsidRPr="00307028">
        <w:rPr>
          <w:rFonts w:eastAsia="Calibri"/>
          <w:lang w:eastAsia="en-US"/>
        </w:rPr>
        <w:t xml:space="preserve">tās </w:t>
      </w:r>
      <w:r w:rsidRPr="00307028">
        <w:rPr>
          <w:rFonts w:eastAsia="Calibri"/>
          <w:lang w:eastAsia="en-US"/>
        </w:rPr>
        <w:t>ir būtiski riska faktori un rada mentālās veselības problēmas, veicina dažādu atkarību attīstību un ievērojami palielina iespējamus likumpārkāpumu riskus nākotnē.</w:t>
      </w:r>
    </w:p>
    <w:p w14:paraId="5368AAA3" w14:textId="53B3059D"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Turklāt statiski pierādīts, ka šie riski ir daudzkārt lielāki </w:t>
      </w:r>
      <w:r w:rsidR="00925A15" w:rsidRPr="00307028">
        <w:rPr>
          <w:rFonts w:eastAsia="Calibri"/>
          <w:lang w:eastAsia="en-US"/>
        </w:rPr>
        <w:t>ne</w:t>
      </w:r>
      <w:r w:rsidRPr="00307028">
        <w:rPr>
          <w:rFonts w:eastAsia="Calibri"/>
          <w:lang w:eastAsia="en-US"/>
        </w:rPr>
        <w:t>kā bērniem, kuriem pēc pilngadīgas sasniegšanas paliek droša vide ar atbalstu no pieaugušajiem. Bez šāda atbalsta arī jauniešu palikšana izglītības sistēmā un motivācija turpināt iegūt izglītību ir ievērojami apdraudēta, tād</w:t>
      </w:r>
      <w:r w:rsidR="00925A15" w:rsidRPr="00307028">
        <w:rPr>
          <w:rFonts w:eastAsia="Calibri"/>
          <w:lang w:eastAsia="en-US"/>
        </w:rPr>
        <w:t>ē</w:t>
      </w:r>
      <w:r w:rsidRPr="00307028">
        <w:rPr>
          <w:rFonts w:eastAsia="Calibri"/>
          <w:lang w:eastAsia="en-US"/>
        </w:rPr>
        <w:t>jādi ievērojami palielinot nabadzības risku jaunietim nākotnē. Lai visus iepriekšminētos riskus mazinātu, tiek precizēti nosacījumi, kādos gadījumos ārpusģimenes aprūpē esošam bērnam pēc pilngadības sasniegšanas ir turpināma uzturēšanās aprūpes iestādē, pie aizbildņa vai audžuģimenē, kā arī veidoti nosacījumi saudzīgai, pakāpeniskai pārejai uz patstāvīgu dzīvi, lai jaunietis iespējami veiksmīgi iekļautos sabiedrībā un iespējami ātri iegūtu drošības sajūtu, dzīvojot patstāvīgi.</w:t>
      </w:r>
    </w:p>
    <w:p w14:paraId="71670980"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Pilngadību sasniegušie bērni pēc ārpusģimenes aprūpes ir nevienlīdzīgā situācijā, jo viņiem netiek dota izvēles iespēja turpināt uzturēties ģimenes videi pietuvinātajā drošajā vidē, </w:t>
      </w:r>
      <w:r w:rsidRPr="00307028">
        <w:rPr>
          <w:rFonts w:eastAsia="Calibri"/>
          <w:lang w:eastAsia="en-US"/>
        </w:rPr>
        <w:lastRenderedPageBreak/>
        <w:t>lai veiksmīgāk realizētu pāreju uz pieaugušā statusu, kas ietver vismaz viena uzticama pieaugušā pieejamību, izglītības iegūšanu, atbalstu uzsākot profesionālo darbību, sasniedzot briedumu un veidojot ģimenes dzīvi. Separācija (vecāku mājas atstāšana — dzīves sākums nošķirti no vecākiem) bērniem pēc ārpusģimenes aprūpes beigšanās notiek uzreiz, sasniedzot pilngadību, neatkarīgi no viņu vēlmes, finansiālajām prasmēm, brieduma, spējām, veselības stāvokļa vai izvērtējuma par sagatavotību patstāvīgai dzīvei.</w:t>
      </w:r>
    </w:p>
    <w:p w14:paraId="18E46EFC"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Ņemot vērā, ka bērna situācijas ir dažādas un jauniešu vajadzības katrā konkrētā gadījumā var atšķirties, LM, iesaistot nevalstisko sektoru, sociālo dienestu pārstāvjus, kā arī pašus jauniešus, dažādu vecumu fokusgrupās veica aptaujas un organizēja darba grupas, kurās tika diskutēts par ārpusģimenes aprūpē esošo bērnu vajadzībām pēc pilngadības sasniegšanas. Kā galvenie atbalsta pasākumi, kas būtu svarīgi pašiem bērniem pēc pilngadības sasniegšanas, tika minēti emocionāls, finansiāls un praktisks atbalsts.</w:t>
      </w:r>
    </w:p>
    <w:p w14:paraId="0E827A37"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Pamatojoties uz iepriekš minēto, kopsakarā ar fokusgrupās noskaidroto LM secina, ka ārpusģimenes aprūpē esošo bērnu izteiktāko vajadzību apmierināšanai, lai uzsāktu patstāvīgu dzīvi, noteicošais nav palikt savā līdzšinējā dzīvesvietā, bet būt pārliecinātam, ka viņam tiks nodrošināta dzīvesvieta un atbalsta pasākumi, lai saņemtu atbalsta personas (mentora) palīdzību un zinātu, ka nepieciešamības gadījumā tiks uzklausīti un saņems atbildes uz sev svarīgiem jautājumiem.</w:t>
      </w:r>
    </w:p>
    <w:p w14:paraId="3E973A17"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Saskaņā ar Bērnu tiesību aizsardzības likuma 43. panta pirmo daļu, izbeidzoties aizbildnībai, beidzoties bērna aprūpei audžuģimenē vai bērnu aprūpes iestādē, pašvaldība atbilstoši likumam “Par palīdzību dzīvokļa jautājumu risināšanā” nodrošina bez vecāku gādības palikušu bērnu – pēc tam, kad bērns sasniedzis pilngadību un beigusies viņa ārpusģimenes aprūpe, ar dzīvojamo platību, ievērojot likumā noteikto dzīvojamo telpu piedāvāšanas secību un kārtību.</w:t>
      </w:r>
    </w:p>
    <w:p w14:paraId="4A9C6157"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Bērnam pēc 18 gadu vecuma sasniegšanas, uzsākot patstāvīgu dzīvi, ir pieejamas sociālās garantijas, dažādi atbalsta pasākumi un saskaņā ar MK 2005. gada 15. novembra noteikumiem Nr. 857 “Noteikumi par sociālajām garantijām bārenim un bez vecāku gādības palikušajam bērnam, kurš ir ārpusģimenes aprūpē, kā arī pēc ārpusģimenes aprūpes beigšanās”, pienākums tās nodrošināt ir pašvaldībai. Iepriekš minēto MK noteikumu 32. punkts nosaka, ka pašvaldība, kura pieņēmusi lēmumu par bērna ārpusģimenes aprūpi, sniedzot psihosociālo un materiālo atbalstu, veic nepieciešamos pasākumus pilngadību sasniegušā bērna integrēšanai sabiedrībā. Proti, pašvaldībām jāizmaksā vienreizējie pabalsti patstāvīgas dzīves uzsākšanai un sadzīves priekšmetu un mīkstā inventāra iegādei, jānodrošina ar dzīvojamo platību vai mājokļa pabalstu. Ja jaunietis pēc pilngadības sasniegšanas turpina mācības, tad viņam pašvaldība izmaksā pabalstu ikmēneša izdevumiem. Savukārt atbilstoši Sociālo pakalpojumu un sociālās palīdzības likuma 12. panta sestajai daļai pašvaldības sociālais dienests pēc tam, kad saņemta informācija par bāreņa vai bez vecāku gādības palikuša bērna pilngadību un ārpusģimenes aprūpes beigšanos, izvērtē bērna vajadzības un resursus un tam pēc patstāvīgas dzīves uzsākšanas sniedz nepieciešamos atbalsta pasākumus, kā arī vismaz divus gadus pēc patstāvīgas dzīves uzsākšanas novērtē personas sociālās situācijas izmaiņas. Tomēr ne visi bērni ir gatavi uzsākt patstāvīgu dzīvi uzreiz pēc pilngadības sasniegšanas. Nereti pašvaldība, kuras bāriņtiesa pieņēmusi lēmumu par ārpusģimenes aprūpi, nenodrošina jaunieti ar pašvaldības dzīvojamo platību, kā arī nesniedz konkrētā bērna vajadzībām atbilstošākos un nepieciešamākos atbalsta pasākumus. Tāpat pašvaldības atbildībā ir nodrošināt bērna tiesības iegūt vispārējo vidējo izglītību un sniegt bērniem palīdzību arodapmācībā. </w:t>
      </w:r>
    </w:p>
    <w:p w14:paraId="6C4F3067" w14:textId="32334A6C"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lastRenderedPageBreak/>
        <w:t>LM secina, ka bērnam, ne aprūpētājam, piemērotākais un mērķētākais atbalsts ir tieši viņa vajadzībām veidots pakalpojumu klāsts, kas būtu jānodrošina pašvaldībai. Lai maksimāli palīdzētu jauniešiem integrēties sabiedrībā un uzsākt patstāvīgu dzīvi, izvērtējot bērna labākās intereses un nepieciešamību dažādu atbalsta pakalpojumu nodrošināšanā, LM nonākusi pie secinājuma, ka finansējumu ir nepieciešams mērķtiecīgi novirzīt bērnam piemērotākā emocionālā, praktiskā un finansiālā atbalsta nodrošināšanai. Saskaņā ar Sociālo pakalpojumu un sociālās palīdzības likuma 12. panta septītajā daļā noteikto (nākotnes redakcijā, kas stājas spēkā 2024.</w:t>
      </w:r>
      <w:r w:rsidR="00912269" w:rsidRPr="00307028">
        <w:rPr>
          <w:rFonts w:eastAsia="Calibri"/>
          <w:lang w:eastAsia="en-US"/>
        </w:rPr>
        <w:t xml:space="preserve"> gada 1. janvārī</w:t>
      </w:r>
      <w:r w:rsidRPr="00307028">
        <w:rPr>
          <w:rFonts w:eastAsia="Calibri"/>
          <w:lang w:eastAsia="en-US"/>
        </w:rPr>
        <w:t xml:space="preserve">), lai jaunietis turpinātu palikt pie iepriekšējā aprūpētāja, ir jābūt abpusējai piekrišanai. Finansiālu atbalstu par bērna palikšanu aprūpētājs varēs saņemt no pašvaldības mājokļa pabalsta veidā, noslēdzot īres līgumu ar jaunieti. Bez tam jaunietim izmaksājamais ikmēneša atbalsts 100 </w:t>
      </w:r>
      <w:r w:rsidRPr="00307028">
        <w:rPr>
          <w:rFonts w:eastAsia="Calibri"/>
          <w:i/>
          <w:iCs/>
          <w:lang w:eastAsia="en-US"/>
        </w:rPr>
        <w:t>euro</w:t>
      </w:r>
      <w:r w:rsidRPr="00307028">
        <w:rPr>
          <w:rFonts w:eastAsia="Calibri"/>
          <w:lang w:eastAsia="en-US"/>
        </w:rPr>
        <w:t xml:space="preserve"> apmērā plānots, tai skaitā finanšu pratības apguvei, kuru, kopā ar iepriekšējo aprūpētāju vienojoties, var izmantot pārtikas, saimniecības preču un citu mājsaimniecības lietu iegādei. Lai maksimāli atbalstītu jaunieti, viņa integrēšanos sabiedrībā, sociālo prasmju un iemaņu uzlabošanu, visiem mērķgrupas (līdz 21 gada vecumam vai līdz 24 gadu vecumam</w:t>
      </w:r>
      <w:r w:rsidR="00FF13D6" w:rsidRPr="00307028">
        <w:rPr>
          <w:rFonts w:eastAsia="Calibri"/>
          <w:lang w:eastAsia="en-US"/>
        </w:rPr>
        <w:t>,</w:t>
      </w:r>
      <w:r w:rsidRPr="00307028">
        <w:rPr>
          <w:rFonts w:eastAsia="Calibri"/>
          <w:lang w:eastAsia="en-US"/>
        </w:rPr>
        <w:t xml:space="preserve"> ja mācās) jauniešiem tiks nodrošināts mentors, kā arī atbalsta grupas prasmju un iemaņu apguvei patstāvīgas dzīves uzsākšanai. Lai </w:t>
      </w:r>
      <w:r w:rsidR="00FF13D6" w:rsidRPr="00307028">
        <w:rPr>
          <w:rFonts w:eastAsia="Calibri"/>
          <w:lang w:eastAsia="en-US"/>
        </w:rPr>
        <w:t xml:space="preserve">jaunieši </w:t>
      </w:r>
      <w:r w:rsidRPr="00307028">
        <w:rPr>
          <w:rFonts w:eastAsia="Calibri"/>
          <w:lang w:eastAsia="en-US"/>
        </w:rPr>
        <w:t>iespējami veiksmīgi</w:t>
      </w:r>
      <w:r w:rsidR="00FF13D6" w:rsidRPr="00307028">
        <w:rPr>
          <w:rFonts w:eastAsia="Calibri"/>
          <w:lang w:eastAsia="en-US"/>
        </w:rPr>
        <w:t xml:space="preserve"> </w:t>
      </w:r>
      <w:r w:rsidRPr="00307028">
        <w:rPr>
          <w:rFonts w:eastAsia="Calibri"/>
          <w:lang w:eastAsia="en-US"/>
        </w:rPr>
        <w:t xml:space="preserve">apgūtu finanšu pratību, tai skaitā būtu iespēja segt dažādus ikdienas izdevumus, </w:t>
      </w:r>
      <w:r w:rsidR="00FF13D6" w:rsidRPr="00307028">
        <w:rPr>
          <w:rFonts w:eastAsia="Calibri"/>
          <w:lang w:eastAsia="en-US"/>
        </w:rPr>
        <w:t xml:space="preserve">viņiem </w:t>
      </w:r>
      <w:r w:rsidRPr="00307028">
        <w:rPr>
          <w:rFonts w:eastAsia="Calibri"/>
          <w:lang w:eastAsia="en-US"/>
        </w:rPr>
        <w:t xml:space="preserve">tiks piešķirts finansiāls ikmēneša atbalsts. Plānotas arī mentoru mācības, lai nodrošinātu, ka visi jaunieši, kam tas ir nepieciešams, varētu saņemt mentora atbalstu. </w:t>
      </w:r>
    </w:p>
    <w:p w14:paraId="3500CB8A"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Lai palīdzētu ārpusģimenes aprūpē esošiem bērniem uzsākt patstāvīgu dzīvi pēc pilngadības sasniegšanas, no 2024. gada 1. janvāra valsts finansēs pašvaldībai bērna atbalsta pakalpojumu (mentors sociālo prasmju un iemaņu uzlabošanai, atbalsta grupas prasmju un iemaņu apguvei patstāvīgas dzīves uzsākšanai, finansiāls atbalsts jaunietim, kurš turpina uzturēšanos ārpusģimenes aprūpē pēc pilngadības sasniegšanas, 100 </w:t>
      </w:r>
      <w:r w:rsidRPr="00307028">
        <w:rPr>
          <w:rFonts w:eastAsia="Calibri"/>
          <w:i/>
          <w:iCs/>
          <w:lang w:eastAsia="en-US"/>
        </w:rPr>
        <w:t>euro</w:t>
      </w:r>
      <w:r w:rsidRPr="00307028">
        <w:rPr>
          <w:rFonts w:eastAsia="Calibri"/>
          <w:lang w:eastAsia="en-US"/>
        </w:rPr>
        <w:t xml:space="preserve"> mēnesī, kā arī mentoru apmācības).</w:t>
      </w:r>
    </w:p>
    <w:p w14:paraId="7A8D4B2A" w14:textId="67A0E5F6"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Līdz ar to LM ir izvērtējusi un secina, ka 2023. – 2025. gada PP </w:t>
      </w:r>
      <w:bookmarkStart w:id="109" w:name="_Hlk141440567"/>
      <w:r w:rsidRPr="00307028">
        <w:rPr>
          <w:rFonts w:eastAsia="Calibri"/>
          <w:lang w:eastAsia="en-US"/>
        </w:rPr>
        <w:t xml:space="preserve">“Ārpusģimenes aprūpes atbalsta pakalpojumu pilnveide, tai skaitā bērniem īpašās situācijās” </w:t>
      </w:r>
      <w:bookmarkEnd w:id="109"/>
      <w:r w:rsidRPr="00307028">
        <w:rPr>
          <w:rFonts w:eastAsia="Calibri"/>
          <w:lang w:eastAsia="en-US"/>
        </w:rPr>
        <w:t>ietvaros mērķētāks un piemērotāks atbalsts ārpusģimenes aprūpē esošo bērnu vajadzību apmierināšanai, lai uzsāktu patstāvīgu dzīvi un maksimāli palīdzētu jauniešiem integrēties sabiedrībā, ir tieši viņu vajadzību izprašana un sadzīves organizēšana, kuru sākot ar 2024. gadu plānots īstenot PP “Ārpusģimenes aprūpes atbalsta pakalpojumu pilnveide, tai skaitā bērniem īpašās situācijās” ietvaros kā jaunu apakšpasākumu “</w:t>
      </w:r>
      <w:bookmarkStart w:id="110" w:name="_Hlk141281552"/>
      <w:r w:rsidRPr="00307028">
        <w:rPr>
          <w:rFonts w:eastAsia="Calibri"/>
          <w:lang w:eastAsia="en-US"/>
        </w:rPr>
        <w:t>Nodrošināts bāreņu un bez vecāku gādības palikušo bērnu atbalsts patstāvīgas dzīves uzsākšanai pēc pilngadības sasniegšanas</w:t>
      </w:r>
      <w:bookmarkEnd w:id="110"/>
      <w:r w:rsidRPr="00307028">
        <w:rPr>
          <w:rFonts w:eastAsia="Calibri"/>
          <w:lang w:eastAsia="en-US"/>
        </w:rPr>
        <w:t xml:space="preserve">”. </w:t>
      </w:r>
    </w:p>
    <w:p w14:paraId="198988E4"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b/>
          <w:bCs/>
          <w:lang w:eastAsia="en-US"/>
        </w:rPr>
        <w:t>Minētā apakšpasākuma īstenošanai</w:t>
      </w:r>
      <w:r w:rsidRPr="00307028">
        <w:rPr>
          <w:rFonts w:eastAsia="Calibri"/>
          <w:lang w:eastAsia="en-US"/>
        </w:rPr>
        <w:t xml:space="preserve"> </w:t>
      </w:r>
      <w:r w:rsidRPr="00307028">
        <w:rPr>
          <w:rFonts w:eastAsia="Calibri"/>
          <w:b/>
          <w:bCs/>
          <w:lang w:eastAsia="en-US"/>
        </w:rPr>
        <w:t xml:space="preserve">nepieciešams finansējums 2024. gadam 5 188 530 </w:t>
      </w:r>
      <w:r w:rsidRPr="00307028">
        <w:rPr>
          <w:rFonts w:eastAsia="Calibri"/>
          <w:b/>
          <w:bCs/>
          <w:i/>
          <w:iCs/>
          <w:lang w:eastAsia="en-US"/>
        </w:rPr>
        <w:t>euro</w:t>
      </w:r>
      <w:r w:rsidRPr="00307028">
        <w:rPr>
          <w:rFonts w:eastAsia="Calibri"/>
          <w:b/>
          <w:bCs/>
          <w:lang w:eastAsia="en-US"/>
        </w:rPr>
        <w:t xml:space="preserve"> apmērā (tajā skaitā IT sistēmas pilnveidošanai 145 211 </w:t>
      </w:r>
      <w:r w:rsidRPr="00307028">
        <w:rPr>
          <w:rFonts w:eastAsia="Calibri"/>
          <w:b/>
          <w:bCs/>
          <w:i/>
          <w:iCs/>
          <w:lang w:eastAsia="en-US"/>
        </w:rPr>
        <w:t>euro</w:t>
      </w:r>
      <w:r w:rsidRPr="00307028">
        <w:rPr>
          <w:rFonts w:eastAsia="Calibri"/>
          <w:b/>
          <w:bCs/>
          <w:lang w:eastAsia="en-US"/>
        </w:rPr>
        <w:t xml:space="preserve">) un 2025. gadam un turpmāk ik gadu 5 048 974 </w:t>
      </w:r>
      <w:r w:rsidRPr="00307028">
        <w:rPr>
          <w:rFonts w:eastAsia="Calibri"/>
          <w:b/>
          <w:bCs/>
          <w:i/>
          <w:iCs/>
          <w:lang w:eastAsia="en-US"/>
        </w:rPr>
        <w:t>euro</w:t>
      </w:r>
      <w:r w:rsidRPr="00307028">
        <w:rPr>
          <w:rFonts w:eastAsia="Calibri"/>
          <w:b/>
          <w:bCs/>
          <w:lang w:eastAsia="en-US"/>
        </w:rPr>
        <w:t xml:space="preserve"> apmērā</w:t>
      </w:r>
      <w:r w:rsidRPr="00307028">
        <w:rPr>
          <w:rFonts w:eastAsia="Calibri"/>
          <w:lang w:eastAsia="en-US"/>
        </w:rPr>
        <w:t xml:space="preserve">. </w:t>
      </w:r>
      <w:bookmarkStart w:id="111" w:name="_Hlk141282561"/>
      <w:r w:rsidRPr="00307028">
        <w:rPr>
          <w:rFonts w:eastAsia="Calibri"/>
          <w:lang w:eastAsia="en-US"/>
        </w:rPr>
        <w:t>Nepieciešamais finansējums tiks novirzīts no LM 2023. – 2025. gada PP “Ārpusģimenes aprūpes atbalsta pakalpojumu pilnveide, tai skaitā bērniem īpašās situācijās”</w:t>
      </w:r>
      <w:bookmarkEnd w:id="111"/>
      <w:r w:rsidRPr="00307028">
        <w:rPr>
          <w:rFonts w:eastAsia="Calibri"/>
          <w:lang w:eastAsia="en-US"/>
        </w:rPr>
        <w:t xml:space="preserve"> plānotā finansējuma, tai skaitā:</w:t>
      </w:r>
    </w:p>
    <w:p w14:paraId="4C554568" w14:textId="46209C14" w:rsidR="00CD647B" w:rsidRPr="00307028" w:rsidRDefault="00CD647B" w:rsidP="00070D5F">
      <w:pPr>
        <w:numPr>
          <w:ilvl w:val="0"/>
          <w:numId w:val="45"/>
        </w:numPr>
        <w:spacing w:before="120" w:after="120" w:line="259" w:lineRule="auto"/>
        <w:ind w:left="1134" w:hanging="425"/>
        <w:jc w:val="both"/>
        <w:rPr>
          <w:rFonts w:eastAsia="Calibri"/>
          <w:lang w:eastAsia="en-US"/>
        </w:rPr>
      </w:pPr>
      <w:r w:rsidRPr="00307028">
        <w:rPr>
          <w:rFonts w:eastAsia="Calibri"/>
          <w:lang w:eastAsia="en-US"/>
        </w:rPr>
        <w:t>apakšpasākuma “Nodrošināta atbalsta turpināšana par bērnu ilgāku uzturēšanos ārpusģimenes aprūpē, ja jaunietis izteicis tādu vēlmi, līdz 21 gada vecumam vai 24</w:t>
      </w:r>
      <w:r w:rsidR="00FD34B0">
        <w:rPr>
          <w:rFonts w:eastAsia="Calibri"/>
          <w:lang w:eastAsia="en-US"/>
        </w:rPr>
        <w:t> </w:t>
      </w:r>
      <w:r w:rsidRPr="00307028">
        <w:rPr>
          <w:rFonts w:eastAsia="Calibri"/>
          <w:lang w:eastAsia="en-US"/>
        </w:rPr>
        <w:t xml:space="preserve">gadu vecumam, ja jaunietis mācās” – 2024. gadam 4 738 680 </w:t>
      </w:r>
      <w:r w:rsidRPr="00307028">
        <w:rPr>
          <w:rFonts w:eastAsia="Calibri"/>
          <w:i/>
          <w:iCs/>
          <w:lang w:eastAsia="en-US"/>
        </w:rPr>
        <w:t>euro</w:t>
      </w:r>
      <w:r w:rsidRPr="00307028">
        <w:rPr>
          <w:rFonts w:eastAsia="Calibri"/>
          <w:lang w:eastAsia="en-US"/>
        </w:rPr>
        <w:t xml:space="preserve"> apmērā un 2025. gadam un turpmāk ik gadu 4 683 641 </w:t>
      </w:r>
      <w:r w:rsidRPr="00307028">
        <w:rPr>
          <w:rFonts w:eastAsia="Calibri"/>
          <w:i/>
          <w:iCs/>
          <w:lang w:eastAsia="en-US"/>
        </w:rPr>
        <w:t>euro</w:t>
      </w:r>
      <w:r w:rsidRPr="00307028">
        <w:rPr>
          <w:rFonts w:eastAsia="Calibri"/>
          <w:lang w:eastAsia="en-US"/>
        </w:rPr>
        <w:t xml:space="preserve"> apmērā; </w:t>
      </w:r>
    </w:p>
    <w:p w14:paraId="7E54718E" w14:textId="77777777" w:rsidR="00CD647B" w:rsidRPr="00307028" w:rsidRDefault="00CD647B" w:rsidP="00070D5F">
      <w:pPr>
        <w:numPr>
          <w:ilvl w:val="0"/>
          <w:numId w:val="45"/>
        </w:numPr>
        <w:spacing w:before="120" w:after="120" w:line="259" w:lineRule="auto"/>
        <w:ind w:left="1134" w:hanging="425"/>
        <w:jc w:val="both"/>
        <w:rPr>
          <w:rFonts w:eastAsia="Calibri"/>
          <w:lang w:eastAsia="en-US"/>
        </w:rPr>
      </w:pPr>
      <w:r w:rsidRPr="00307028">
        <w:rPr>
          <w:rFonts w:eastAsia="Calibri"/>
          <w:lang w:eastAsia="en-US"/>
        </w:rPr>
        <w:t xml:space="preserve">apakšpasākuma “Transferta pārskaitījums uz sociālās apdrošināšanas speciālo budžetu, nodrošinot sociālās apdrošināšanas iemaksas par personām, kuras saņem atlīdzību par audžuģimenes pienākumu pildīšanu” – 2024. gadam un turpmāk ik </w:t>
      </w:r>
      <w:r w:rsidRPr="00307028">
        <w:rPr>
          <w:rFonts w:eastAsia="Calibri"/>
          <w:lang w:eastAsia="en-US"/>
        </w:rPr>
        <w:lastRenderedPageBreak/>
        <w:t xml:space="preserve">gadu 49 022 </w:t>
      </w:r>
      <w:r w:rsidRPr="00307028">
        <w:rPr>
          <w:rFonts w:eastAsia="Calibri"/>
          <w:i/>
          <w:iCs/>
          <w:lang w:eastAsia="en-US"/>
        </w:rPr>
        <w:t>euro</w:t>
      </w:r>
      <w:r w:rsidRPr="00307028">
        <w:rPr>
          <w:rFonts w:eastAsia="Calibri"/>
          <w:lang w:eastAsia="en-US"/>
        </w:rPr>
        <w:t xml:space="preserve"> apmērā, vienlaikus samazinot ieņēmumus valsts speciālajā budžetā saņemtajiem transfertiem no valsts pamatbudžeta;</w:t>
      </w:r>
    </w:p>
    <w:p w14:paraId="08955F6F" w14:textId="77777777" w:rsidR="00CD647B" w:rsidRPr="00307028" w:rsidRDefault="00CD647B" w:rsidP="00070D5F">
      <w:pPr>
        <w:numPr>
          <w:ilvl w:val="0"/>
          <w:numId w:val="45"/>
        </w:numPr>
        <w:spacing w:before="120" w:after="120" w:line="259" w:lineRule="auto"/>
        <w:ind w:left="1134" w:hanging="425"/>
        <w:jc w:val="both"/>
        <w:rPr>
          <w:rFonts w:eastAsia="Calibri"/>
          <w:lang w:eastAsia="en-US"/>
        </w:rPr>
      </w:pPr>
      <w:r w:rsidRPr="00307028">
        <w:rPr>
          <w:rFonts w:eastAsia="Calibri"/>
          <w:lang w:eastAsia="en-US"/>
        </w:rPr>
        <w:t xml:space="preserve">apakšpasākuma </w:t>
      </w:r>
      <w:bookmarkStart w:id="112" w:name="_Hlk141280836"/>
      <w:r w:rsidRPr="00307028">
        <w:rPr>
          <w:rFonts w:eastAsia="Calibri"/>
          <w:lang w:eastAsia="en-US"/>
        </w:rPr>
        <w:t>“Nodrošināta ārpusģimenes aprūpes atbalsta centru sniegto pakalpojumu pilnveide un paplašināšana, kā arī stiprinātas aizbildņu prasmes un zināšanas bērnu aprūpē”</w:t>
      </w:r>
      <w:bookmarkEnd w:id="112"/>
      <w:r w:rsidRPr="00307028">
        <w:rPr>
          <w:rFonts w:eastAsia="Calibri"/>
          <w:lang w:eastAsia="en-US"/>
        </w:rPr>
        <w:t xml:space="preserve"> – 2024. gadam 400 828 </w:t>
      </w:r>
      <w:r w:rsidRPr="00307028">
        <w:rPr>
          <w:rFonts w:eastAsia="Calibri"/>
          <w:i/>
          <w:iCs/>
          <w:lang w:eastAsia="en-US"/>
        </w:rPr>
        <w:t>euro</w:t>
      </w:r>
      <w:r w:rsidRPr="00307028">
        <w:rPr>
          <w:rFonts w:eastAsia="Calibri"/>
          <w:lang w:eastAsia="en-US"/>
        </w:rPr>
        <w:t xml:space="preserve"> apmērā un 2025. gadā un turpmāk ik gadu 316 311 </w:t>
      </w:r>
      <w:r w:rsidRPr="00307028">
        <w:rPr>
          <w:rFonts w:eastAsia="Calibri"/>
          <w:i/>
          <w:iCs/>
          <w:lang w:eastAsia="en-US"/>
        </w:rPr>
        <w:t>euro</w:t>
      </w:r>
      <w:r w:rsidRPr="00307028">
        <w:rPr>
          <w:rFonts w:eastAsia="Calibri"/>
          <w:lang w:eastAsia="en-US"/>
        </w:rPr>
        <w:t xml:space="preserve"> apmērā. </w:t>
      </w:r>
    </w:p>
    <w:p w14:paraId="657AC8C3" w14:textId="77777777" w:rsidR="00CD647B" w:rsidRPr="00307028" w:rsidRDefault="00CD647B" w:rsidP="00070D5F">
      <w:pPr>
        <w:numPr>
          <w:ilvl w:val="0"/>
          <w:numId w:val="37"/>
        </w:numPr>
        <w:spacing w:before="120" w:after="120" w:line="259" w:lineRule="auto"/>
        <w:ind w:left="1134" w:hanging="425"/>
        <w:jc w:val="both"/>
        <w:rPr>
          <w:rFonts w:eastAsia="Calibri"/>
          <w:b/>
          <w:bCs/>
          <w:lang w:eastAsia="en-US"/>
        </w:rPr>
      </w:pPr>
      <w:bookmarkStart w:id="113" w:name="_Hlk141282722"/>
      <w:r w:rsidRPr="00307028">
        <w:rPr>
          <w:rFonts w:eastAsia="Calibri"/>
          <w:b/>
          <w:bCs/>
          <w:lang w:eastAsia="en-US"/>
        </w:rPr>
        <w:t>Papildu funkciju izpildes nodrošināšana saistībā ar regresa piedziņas procesa organizēšanu (vardarbībā cietušu bērnu sociālās rehabilitācijas pakalpojumu izdevumu piedziņa no vainīgajām personām).</w:t>
      </w:r>
      <w:bookmarkEnd w:id="113"/>
    </w:p>
    <w:p w14:paraId="3274DDD2"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2023. gada 20. aprīlī pieņemts likums “Grozījumi Bērnu tiesību aizsardzības likumā” (spēkā stājās 2023. gada 16. maijā). Atbilstoši minētajam likumam Bērnu tiesību aizsardzības likuma 52. pants papildināts ar 1.</w:t>
      </w:r>
      <w:r w:rsidRPr="00307028">
        <w:rPr>
          <w:rFonts w:eastAsia="Calibri"/>
          <w:vertAlign w:val="superscript"/>
          <w:lang w:eastAsia="en-US"/>
        </w:rPr>
        <w:t>1</w:t>
      </w:r>
      <w:r w:rsidRPr="00307028">
        <w:rPr>
          <w:rFonts w:eastAsia="Calibri"/>
          <w:lang w:eastAsia="en-US"/>
        </w:rPr>
        <w:t>, 1.</w:t>
      </w:r>
      <w:r w:rsidRPr="00307028">
        <w:rPr>
          <w:rFonts w:eastAsia="Calibri"/>
          <w:vertAlign w:val="superscript"/>
          <w:lang w:eastAsia="en-US"/>
        </w:rPr>
        <w:t>2</w:t>
      </w:r>
      <w:r w:rsidRPr="00307028">
        <w:rPr>
          <w:rFonts w:eastAsia="Calibri"/>
          <w:lang w:eastAsia="en-US"/>
        </w:rPr>
        <w:t xml:space="preserve"> un 1.</w:t>
      </w:r>
      <w:r w:rsidRPr="00307028">
        <w:rPr>
          <w:rFonts w:eastAsia="Calibri"/>
          <w:vertAlign w:val="superscript"/>
          <w:lang w:eastAsia="en-US"/>
        </w:rPr>
        <w:t>3</w:t>
      </w:r>
      <w:r w:rsidRPr="00307028">
        <w:rPr>
          <w:rFonts w:eastAsia="Calibri"/>
          <w:lang w:eastAsia="en-US"/>
        </w:rPr>
        <w:t xml:space="preserve"> daļu, paredzot, ka pienākums atmaksāt valstij izdevumus par cietušajam bērnam sniegto sociālās rehabilitācijas pakalpojumu ir personai, kuras izdarītā noziedzīgā nodarījuma dēļ bērns ir cietis (noteiktais pienākums atmaksāt valstij izdevumus par cietušajam bērnam sniegto sociālās rehabilitācijas pakalpojumu nav attiecināms uz personu, kura ir atzīta par vainīgu ar spēkā stājušos nolēmumu par Krimināllikuma 174. pantā minēto noziedzīgo nodarījumu, ja personas izdarītā noziedzīgā nodarījuma dēļ ir cietis šīs personas bērns un ja uz šā nolēmuma spēkā stāšanās brīdi personai nav pārtrauktas vai atņemtas aizgādības tiesības pār cietušo bērnu vai tās ir atjaunotas). Izdevumi par cietušajam bērnam sniegto sociālās rehabilitācijas pakalpojumu atgūstami Administratīvā procesa likumā noteiktajā kārtībā. MK nosaka izdevumu atmaksas kārtību un apmēru, kā arī personas datu apstrādes apjomu un kārtību, kas nepieciešama izdevumu atgūšanai, un institūciju, kura ir kompetenta izdevumus atgūt.</w:t>
      </w:r>
    </w:p>
    <w:p w14:paraId="486E9A3B"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Saskaņā ar likumu “Grozījumi Bērnu tiesību aizsardzības likumā” grozījums par Bērnu tiesību aizsardzības likuma 52. panta papildināšanu ar 1.</w:t>
      </w:r>
      <w:r w:rsidRPr="00307028">
        <w:rPr>
          <w:rFonts w:eastAsia="Calibri"/>
          <w:vertAlign w:val="superscript"/>
          <w:lang w:eastAsia="en-US"/>
        </w:rPr>
        <w:t>1</w:t>
      </w:r>
      <w:r w:rsidRPr="00307028">
        <w:rPr>
          <w:rFonts w:eastAsia="Calibri"/>
          <w:lang w:eastAsia="en-US"/>
        </w:rPr>
        <w:t>, 1.</w:t>
      </w:r>
      <w:r w:rsidRPr="00307028">
        <w:rPr>
          <w:rFonts w:eastAsia="Calibri"/>
          <w:vertAlign w:val="superscript"/>
          <w:lang w:eastAsia="en-US"/>
        </w:rPr>
        <w:t>2</w:t>
      </w:r>
      <w:r w:rsidRPr="00307028">
        <w:rPr>
          <w:rFonts w:eastAsia="Calibri"/>
          <w:lang w:eastAsia="en-US"/>
        </w:rPr>
        <w:t xml:space="preserve"> un 1.</w:t>
      </w:r>
      <w:r w:rsidRPr="00307028">
        <w:rPr>
          <w:rFonts w:eastAsia="Calibri"/>
          <w:vertAlign w:val="superscript"/>
          <w:lang w:eastAsia="en-US"/>
        </w:rPr>
        <w:t>3</w:t>
      </w:r>
      <w:r w:rsidRPr="00307028">
        <w:rPr>
          <w:rFonts w:eastAsia="Calibri"/>
          <w:lang w:eastAsia="en-US"/>
        </w:rPr>
        <w:t xml:space="preserve"> daļu stājas spēkā 2024. gada 1. jūlijā.</w:t>
      </w:r>
    </w:p>
    <w:p w14:paraId="561F9436"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Saskaņā ar minētajiem grozījumiem tiks nodrošināts, ka izdevumi, ko valsts ik gadu izlieto bērnu, kas cietuši no vardarbības vai nolaidības, sociālai rehabilitācijai, tiek piedzīti no vainīgajām personām. Šādi tiek novērsts, ka vainīgās personas rīcības dēļ valstij tiek nodarīti zaudējumi, kas izriet no neatļautas darbības (vainīgās personas izdarīts noziedzīgs nodarījums pret cietušo bērnu).</w:t>
      </w:r>
    </w:p>
    <w:p w14:paraId="1485C019" w14:textId="20C1E5A7" w:rsidR="00CD647B" w:rsidRPr="00307028" w:rsidRDefault="00CD647B" w:rsidP="00CD647B">
      <w:pPr>
        <w:spacing w:before="120" w:after="120" w:line="259" w:lineRule="auto"/>
        <w:ind w:firstLine="720"/>
        <w:jc w:val="both"/>
        <w:rPr>
          <w:rFonts w:eastAsia="Calibri"/>
          <w:lang w:eastAsia="en-US"/>
        </w:rPr>
      </w:pPr>
      <w:bookmarkStart w:id="114" w:name="_Hlk141282769"/>
      <w:r w:rsidRPr="00307028">
        <w:rPr>
          <w:rFonts w:eastAsia="Calibri"/>
          <w:lang w:eastAsia="en-US"/>
        </w:rPr>
        <w:t xml:space="preserve">Ņemot vērā minēto, LM </w:t>
      </w:r>
      <w:r w:rsidRPr="00307028">
        <w:rPr>
          <w:rFonts w:eastAsia="Calibri"/>
          <w:b/>
          <w:bCs/>
          <w:lang w:eastAsia="en-US"/>
        </w:rPr>
        <w:t xml:space="preserve">pasākuma īstenošanai nepieciešams finansējums 2024. gadam 58 842 </w:t>
      </w:r>
      <w:r w:rsidRPr="00307028">
        <w:rPr>
          <w:rFonts w:eastAsia="Calibri"/>
          <w:b/>
          <w:bCs/>
          <w:i/>
          <w:iCs/>
          <w:lang w:eastAsia="en-US"/>
        </w:rPr>
        <w:t>euro</w:t>
      </w:r>
      <w:r w:rsidRPr="00307028">
        <w:rPr>
          <w:rFonts w:eastAsia="Calibri"/>
          <w:b/>
          <w:bCs/>
          <w:lang w:eastAsia="en-US"/>
        </w:rPr>
        <w:t xml:space="preserve"> apmērā, 2025. gadam un turpmāk ik gadu 128 959 </w:t>
      </w:r>
      <w:r w:rsidRPr="00307028">
        <w:rPr>
          <w:rFonts w:eastAsia="Calibri"/>
          <w:b/>
          <w:bCs/>
          <w:i/>
          <w:iCs/>
          <w:lang w:eastAsia="en-US"/>
        </w:rPr>
        <w:t>euro</w:t>
      </w:r>
      <w:r w:rsidRPr="00307028">
        <w:rPr>
          <w:rFonts w:eastAsia="Calibri"/>
          <w:b/>
          <w:bCs/>
          <w:lang w:eastAsia="en-US"/>
        </w:rPr>
        <w:t xml:space="preserve"> apmērā</w:t>
      </w:r>
      <w:r w:rsidRPr="00307028">
        <w:rPr>
          <w:rFonts w:eastAsia="Calibri"/>
          <w:lang w:eastAsia="en-US"/>
        </w:rPr>
        <w:t>, lai ar 2024. gada 1. jūliju izveidotu</w:t>
      </w:r>
      <w:r w:rsidRPr="00307028">
        <w:rPr>
          <w:rFonts w:eastAsia="Times New Roman"/>
          <w:szCs w:val="22"/>
          <w:lang w:eastAsia="en-US"/>
        </w:rPr>
        <w:t xml:space="preserve"> </w:t>
      </w:r>
      <w:r w:rsidRPr="00307028">
        <w:rPr>
          <w:rFonts w:eastAsia="Calibri"/>
          <w:lang w:eastAsia="en-US"/>
        </w:rPr>
        <w:t xml:space="preserve">trīs papildu pastāvīgas amata vietas. Amata vietas tiks nodrošinātas nozarei kopējo amata vietu ietvaros, samazinot VSAA trīs ilgstoši vakantās amata vietas LM speciālā budžeta apakšprogrammā 04.05.00 “Valsts sociālās apdrošināšanas aģentūras speciālais budžets” (nepārdalot finansējumu, bet to novirzot VSAA nodarbināto atlīdzības </w:t>
      </w:r>
      <w:r w:rsidR="00C57D12" w:rsidRPr="00307028">
        <w:rPr>
          <w:rFonts w:eastAsia="Calibri"/>
          <w:lang w:eastAsia="en-US"/>
        </w:rPr>
        <w:t>nodrošināšanai</w:t>
      </w:r>
      <w:r w:rsidRPr="00307028">
        <w:rPr>
          <w:rFonts w:eastAsia="Calibri"/>
          <w:lang w:eastAsia="en-US"/>
        </w:rPr>
        <w:t>).</w:t>
      </w:r>
    </w:p>
    <w:p w14:paraId="6A2748CF"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Nepieciešamais finansējums tiks pārdalīts no LM 2023. – 2025. gada PP “Ārpusģimenes aprūpes atbalsta pakalpojumu pilnveide, tai skaitā bērniem īpašās situācijās”</w:t>
      </w:r>
      <w:r w:rsidRPr="00307028">
        <w:rPr>
          <w:rFonts w:eastAsia="Times New Roman"/>
          <w:szCs w:val="22"/>
          <w:lang w:eastAsia="en-US"/>
        </w:rPr>
        <w:t xml:space="preserve"> </w:t>
      </w:r>
      <w:r w:rsidRPr="00307028">
        <w:rPr>
          <w:rFonts w:eastAsia="Calibri"/>
          <w:lang w:eastAsia="en-US"/>
        </w:rPr>
        <w:t xml:space="preserve">apakšpasākumam “Nodrošināta ārpusģimenes aprūpes atbalsta centru sniegto pakalpojumu pilnveide un paplašināšana, kā arī stiprinātas aizbildņu prasmes un zināšanas bērnu aprūpē” plānotā finansējuma 2024. gadam 58 842 </w:t>
      </w:r>
      <w:r w:rsidRPr="00307028">
        <w:rPr>
          <w:rFonts w:eastAsia="Calibri"/>
          <w:i/>
          <w:iCs/>
          <w:lang w:eastAsia="en-US"/>
        </w:rPr>
        <w:t>euro</w:t>
      </w:r>
      <w:r w:rsidRPr="00307028">
        <w:rPr>
          <w:rFonts w:eastAsia="Calibri"/>
          <w:lang w:eastAsia="en-US"/>
        </w:rPr>
        <w:t xml:space="preserve"> apmērā un 2025. gadam un turpmāk ik gadu 128 959 </w:t>
      </w:r>
      <w:r w:rsidRPr="00307028">
        <w:rPr>
          <w:rFonts w:eastAsia="Calibri"/>
          <w:i/>
          <w:iCs/>
          <w:lang w:eastAsia="en-US"/>
        </w:rPr>
        <w:t>euro</w:t>
      </w:r>
      <w:r w:rsidRPr="00307028">
        <w:rPr>
          <w:rFonts w:eastAsia="Calibri"/>
          <w:lang w:eastAsia="en-US"/>
        </w:rPr>
        <w:t xml:space="preserve"> apmērā. </w:t>
      </w:r>
      <w:bookmarkEnd w:id="114"/>
    </w:p>
    <w:p w14:paraId="00212337" w14:textId="77777777" w:rsidR="00CD647B" w:rsidRPr="00307028" w:rsidRDefault="00CD647B" w:rsidP="00070D5F">
      <w:pPr>
        <w:numPr>
          <w:ilvl w:val="0"/>
          <w:numId w:val="37"/>
        </w:numPr>
        <w:spacing w:before="120" w:after="120" w:line="259" w:lineRule="auto"/>
        <w:ind w:left="1134" w:hanging="425"/>
        <w:contextualSpacing/>
        <w:jc w:val="both"/>
        <w:rPr>
          <w:rFonts w:eastAsia="Calibri"/>
          <w:b/>
          <w:bCs/>
          <w:lang w:eastAsia="en-US"/>
        </w:rPr>
      </w:pPr>
      <w:r w:rsidRPr="00307028">
        <w:rPr>
          <w:rFonts w:eastAsia="Calibri"/>
          <w:b/>
          <w:bCs/>
          <w:lang w:eastAsia="en-US"/>
        </w:rPr>
        <w:lastRenderedPageBreak/>
        <w:t>LM kapacitātes stiprināšana, kas saistīta ar vardarbības prevencijas nodrošināšanu</w:t>
      </w:r>
    </w:p>
    <w:p w14:paraId="1250ABAE" w14:textId="3D69560B"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Balstoties uz Ministru prezidenta 2023. gada 26. maijā sasauktās Noziedzības novēršanas padomes sēdes, kurā tika apspriesti vardarbības ģimenē un vardarbības pret sievieti jautājumi, lēmumu, LM ir noteikta par vadošo institūciju “Vardarbības pret sievietēm un vardarbības ģimenē novēršanas plāna 2024. – 2029. gadam” (turpmāk – Plāns) sagatavošanā </w:t>
      </w:r>
      <w:r w:rsidR="00FF13D6" w:rsidRPr="00307028">
        <w:rPr>
          <w:rFonts w:eastAsia="Calibri"/>
          <w:lang w:eastAsia="en-US"/>
        </w:rPr>
        <w:t>(</w:t>
      </w:r>
      <w:r w:rsidRPr="00307028">
        <w:rPr>
          <w:rFonts w:eastAsia="Calibri"/>
          <w:lang w:eastAsia="en-US"/>
        </w:rPr>
        <w:t>tas saistās ar sagatavošanas koordinēšanu, darba grupu vadīšanu, reģionālo pasākumu ar dažādiem lokāliem vardarbības mazināšanā iesaistītajiem specialistiem organizēšanu, sadarbības procesu starp nozarēm stiprināšanu, Plāna īstenošanas pārraudzību, kā arī turpmāku vardarbības mazināšanas politikas plānošanu un daļēju pasākumu koordinēšanu vardarbības mazināšanas jomā (tajā skaitā satarpnozaru aktivitātēm, piemēram, ziņošana par vardarbības gadījumiem, kur iesaistīta policija, sociālie dienesti, bāriņtiesas)</w:t>
      </w:r>
      <w:r w:rsidR="00FF13D6" w:rsidRPr="00307028">
        <w:rPr>
          <w:rFonts w:eastAsia="Calibri"/>
          <w:lang w:eastAsia="en-US"/>
        </w:rPr>
        <w:t>)</w:t>
      </w:r>
      <w:r w:rsidRPr="00307028">
        <w:rPr>
          <w:rFonts w:eastAsia="Calibri"/>
          <w:lang w:eastAsia="en-US"/>
        </w:rPr>
        <w:t>.</w:t>
      </w:r>
    </w:p>
    <w:p w14:paraId="3BD6FC9E"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Plāna īstenošana nozīmē koordinētas un sinhronas vairāku jomu sadarbības nodrošināšanu, kas savukārt nozīmē mērķtiecīgu, pastāvīgu darbu ar jomu pārstāvjiem un citiem iesaistītajiem, pasākumu plānošanu un īstenošanas koordinēšanu, pārstāvību starptautiskās institūcijās un pasākumos. Eksperta lomas stiprināšanu, datu un pētījumu pārzināšanu (arī pētījumu organizēšanu atsevišķos jautājumos), situācijas pārredzēšanu un attiecīgu visu ieinteresēto pušu informēšanu par aktuālo. </w:t>
      </w:r>
    </w:p>
    <w:p w14:paraId="41A60967"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 xml:space="preserve">Ņemot vērā minēto, ka vardarbības plāna koordinēšana un prevences pasākumu starpnozaru koordinēšana LM noteikta kā jauna funkcija, kā arī, izvērtējot, ka LM ietvaros nav kapacitātes jaunas funkcijas nodrošināšanai, vardarbības prevencijas nodrošināšanas – vardarbības pret sievietēm un vardarbības ģimenē novēršanas plāna 2024. – 2029. gadam izstrādes nodrošināšanas un īstenošanas koordinēšanas funkcijas nodrošināšanai, no 2024. gada 1. janvāra paredzēts izveidot vienu papildu pastāvīgu vecākā eksperta amata vietu. </w:t>
      </w:r>
    </w:p>
    <w:p w14:paraId="19C395D4" w14:textId="03DF3E73" w:rsidR="00CD647B" w:rsidRPr="00307028" w:rsidRDefault="00CD647B" w:rsidP="00CD647B">
      <w:pPr>
        <w:spacing w:before="120" w:after="120" w:line="259" w:lineRule="auto"/>
        <w:ind w:firstLine="720"/>
        <w:jc w:val="both"/>
        <w:rPr>
          <w:rFonts w:eastAsia="Calibri"/>
          <w:lang w:eastAsia="en-US"/>
        </w:rPr>
      </w:pPr>
      <w:r w:rsidRPr="00307028">
        <w:rPr>
          <w:rFonts w:eastAsia="Calibri"/>
          <w:b/>
          <w:bCs/>
          <w:lang w:eastAsia="en-US"/>
        </w:rPr>
        <w:t xml:space="preserve">LM vienas jaunas amata vietu izveidošanai nepieciešams finansējums 2024. gadā 42 986 </w:t>
      </w:r>
      <w:r w:rsidRPr="00307028">
        <w:rPr>
          <w:rFonts w:eastAsia="Calibri"/>
          <w:b/>
          <w:bCs/>
          <w:i/>
          <w:iCs/>
          <w:lang w:eastAsia="en-US"/>
        </w:rPr>
        <w:t>euro</w:t>
      </w:r>
      <w:r w:rsidRPr="00307028">
        <w:rPr>
          <w:rFonts w:eastAsia="Calibri"/>
          <w:b/>
          <w:bCs/>
          <w:lang w:eastAsia="en-US"/>
        </w:rPr>
        <w:t xml:space="preserve"> apmērā. </w:t>
      </w:r>
      <w:r w:rsidRPr="00307028">
        <w:rPr>
          <w:rFonts w:eastAsia="Calibri"/>
          <w:lang w:eastAsia="en-US"/>
        </w:rPr>
        <w:t>Amata vieta tiks nodrošināta nozarei kopējo amata vietu ietvaros, samazinot VSAA viena ilgstoši vakanto amata vietu</w:t>
      </w:r>
      <w:r w:rsidRPr="00307028">
        <w:rPr>
          <w:rFonts w:eastAsia="Times New Roman"/>
          <w:szCs w:val="22"/>
          <w:lang w:eastAsia="en-US"/>
        </w:rPr>
        <w:t xml:space="preserve"> </w:t>
      </w:r>
      <w:r w:rsidRPr="00307028">
        <w:rPr>
          <w:rFonts w:eastAsia="Calibri"/>
          <w:lang w:eastAsia="en-US"/>
        </w:rPr>
        <w:t xml:space="preserve">LM speciālā budžeta apakšprogrammā 04.05.00 “Valsts sociālās apdrošināšanas aģentūras speciālais budžets” (nepārdalot finansējumu, bet to novirzot VSAA nodarbināto atlīdzības </w:t>
      </w:r>
      <w:r w:rsidR="00C57D12" w:rsidRPr="00307028">
        <w:rPr>
          <w:rFonts w:eastAsia="Calibri"/>
          <w:lang w:eastAsia="en-US"/>
        </w:rPr>
        <w:t>nodrošināšanai</w:t>
      </w:r>
      <w:r w:rsidRPr="00307028">
        <w:rPr>
          <w:rFonts w:eastAsia="Calibri"/>
          <w:lang w:eastAsia="en-US"/>
        </w:rPr>
        <w:t>).</w:t>
      </w:r>
    </w:p>
    <w:p w14:paraId="7F579E95" w14:textId="77777777" w:rsidR="00CD647B" w:rsidRPr="00307028" w:rsidRDefault="00CD647B" w:rsidP="00CD647B">
      <w:pPr>
        <w:spacing w:before="120" w:after="120" w:line="259" w:lineRule="auto"/>
        <w:ind w:firstLine="720"/>
        <w:jc w:val="both"/>
        <w:rPr>
          <w:rFonts w:eastAsia="Calibri"/>
          <w:lang w:eastAsia="en-US"/>
        </w:rPr>
      </w:pPr>
      <w:r w:rsidRPr="00307028">
        <w:rPr>
          <w:rFonts w:eastAsia="Calibri"/>
          <w:lang w:eastAsia="en-US"/>
        </w:rPr>
        <w:t>Nepieciešamais finansējums tiks pārdalīts no LM 2023. – 2025. gada PP “Ārpusģimenes aprūpes atbalsta pakalpojumu pilnveide, tai skaitā bērniem īpašās situācijās”</w:t>
      </w:r>
      <w:r w:rsidRPr="00307028">
        <w:rPr>
          <w:rFonts w:eastAsia="Times New Roman"/>
          <w:szCs w:val="22"/>
          <w:lang w:eastAsia="en-US"/>
        </w:rPr>
        <w:t xml:space="preserve"> </w:t>
      </w:r>
      <w:r w:rsidRPr="00307028">
        <w:rPr>
          <w:rFonts w:eastAsia="Calibri"/>
          <w:lang w:eastAsia="en-US"/>
        </w:rPr>
        <w:t xml:space="preserve">apakšpasākumam “Nodrošināta ārpusģimenes aprūpes atbalsta centru sniegto pakalpojumu pilnveide un paplašināšana, kā arī stiprinātas aizbildņu prasmes un zināšanas bērnu aprūpē” plānotā finansējuma 2024. gadam un turpmāk ik gadu 42 986 </w:t>
      </w:r>
      <w:r w:rsidRPr="00307028">
        <w:rPr>
          <w:rFonts w:eastAsia="Calibri"/>
          <w:i/>
          <w:iCs/>
          <w:lang w:eastAsia="en-US"/>
        </w:rPr>
        <w:t>euro</w:t>
      </w:r>
      <w:r w:rsidRPr="00307028">
        <w:rPr>
          <w:rFonts w:eastAsia="Calibri"/>
          <w:lang w:eastAsia="en-US"/>
        </w:rPr>
        <w:t xml:space="preserve"> apmērā. </w:t>
      </w:r>
    </w:p>
    <w:p w14:paraId="5F6BBFA6" w14:textId="2D642A36"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 xml:space="preserve">SIF – </w:t>
      </w:r>
      <w:r w:rsidR="0013701A" w:rsidRPr="00307028">
        <w:rPr>
          <w:rFonts w:eastAsia="Times New Roman"/>
          <w:b/>
          <w:bCs/>
          <w:lang w:eastAsia="en-US"/>
        </w:rPr>
        <w:t xml:space="preserve">Latvijas Goda ģimenes programmas tvēruma un “3+ Ģimenes karte” apliecības pilnveide </w:t>
      </w:r>
    </w:p>
    <w:p w14:paraId="43A43785" w14:textId="3E4977B9"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Likuma “Par vidēja termiņa budžeta ietvaru 2020., 2021. un 2022. gadam” un likuma “Par valsts budžetu 2020. gadam” sagatavošanas laikā saskaņā ar MK 2019. gada 17. septembra sēdes protokola Nr.</w:t>
      </w:r>
      <w:r w:rsidR="00FF13D6" w:rsidRPr="00307028">
        <w:rPr>
          <w:rFonts w:eastAsia="Times New Roman"/>
          <w:lang w:eastAsia="en-US"/>
        </w:rPr>
        <w:t xml:space="preserve"> </w:t>
      </w:r>
      <w:r w:rsidRPr="00307028">
        <w:rPr>
          <w:rFonts w:eastAsia="Times New Roman"/>
          <w:lang w:eastAsia="en-US"/>
        </w:rPr>
        <w:t>42 34.</w:t>
      </w:r>
      <w:r w:rsidR="00FF13D6" w:rsidRPr="00307028">
        <w:rPr>
          <w:rFonts w:eastAsia="Times New Roman"/>
          <w:lang w:eastAsia="en-US"/>
        </w:rPr>
        <w:t xml:space="preserve"> </w:t>
      </w:r>
      <w:r w:rsidRPr="00307028">
        <w:rPr>
          <w:rFonts w:eastAsia="Times New Roman"/>
          <w:lang w:eastAsia="en-US"/>
        </w:rPr>
        <w:t xml:space="preserve">§ 2. punktu SIF tika atbalstīta papildu finansējuma piešķiršana 2020. gadam un turpmāk ik gadu 0,1 milj. </w:t>
      </w:r>
      <w:r w:rsidRPr="00307028">
        <w:rPr>
          <w:rFonts w:eastAsia="Times New Roman"/>
          <w:i/>
          <w:lang w:eastAsia="en-US"/>
        </w:rPr>
        <w:t>euro</w:t>
      </w:r>
      <w:r w:rsidRPr="00307028">
        <w:rPr>
          <w:rFonts w:eastAsia="Times New Roman"/>
          <w:lang w:eastAsia="en-US"/>
        </w:rPr>
        <w:t xml:space="preserve"> apmērā SIF PP 08_01_P “Latvijas Goda ģimenes programmas tvēruma un “3+ Ģimenes karte” apliecības pilnveide” nodrošināšanai. </w:t>
      </w:r>
    </w:p>
    <w:p w14:paraId="0DF2B898" w14:textId="70634DF2"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 xml:space="preserve">PP ietvaros tika paredzēts finansējums “3+ Ģimenes karte” mobilās </w:t>
      </w:r>
      <w:r w:rsidR="003654B5" w:rsidRPr="00307028">
        <w:rPr>
          <w:rFonts w:eastAsia="Times New Roman"/>
          <w:lang w:eastAsia="en-US"/>
        </w:rPr>
        <w:t>lietotnes</w:t>
      </w:r>
      <w:r w:rsidRPr="00307028">
        <w:rPr>
          <w:rFonts w:eastAsia="Times New Roman"/>
          <w:lang w:eastAsia="en-US"/>
        </w:rPr>
        <w:t xml:space="preserve"> izveidei un uzturēšanai, informācijas sistēmas uzturēšanai, tehnisko risinājumu uzlabojumiem, </w:t>
      </w:r>
      <w:r w:rsidRPr="00307028">
        <w:rPr>
          <w:rFonts w:eastAsia="Times New Roman"/>
          <w:lang w:eastAsia="en-US"/>
        </w:rPr>
        <w:lastRenderedPageBreak/>
        <w:t xml:space="preserve">materiāltehniskajam nodrošinājumam, informatīvi izglītojošiem un publicitātes pasākumiem daudzbērnu ģimenēm un programmas dalībniekiem, apliecību “Goda ģimene” drukai, pasta </w:t>
      </w:r>
      <w:r w:rsidR="00FF13D6" w:rsidRPr="00307028">
        <w:rPr>
          <w:rFonts w:eastAsia="Times New Roman"/>
          <w:lang w:eastAsia="en-US"/>
        </w:rPr>
        <w:t xml:space="preserve">pakalpojumu </w:t>
      </w:r>
      <w:r w:rsidRPr="00307028">
        <w:rPr>
          <w:rFonts w:eastAsia="Times New Roman"/>
          <w:lang w:eastAsia="en-US"/>
        </w:rPr>
        <w:t>un citiem izdevumiem. Ņemot vērā, ka apliecības “Goda ģimene” digitālās versijas izstrādi plānots pabeigt 2023. gadā un turpmāk izdevumi būs nepieciešami tikai tās uzturēšanai, kā arī faktisko izdevumu izpildi 2022. gadā, veicinot efektīvu finanšu resursu pārvaldību</w:t>
      </w:r>
      <w:r w:rsidR="00FF13D6" w:rsidRPr="00307028">
        <w:rPr>
          <w:rFonts w:eastAsia="Times New Roman"/>
          <w:lang w:eastAsia="en-US"/>
        </w:rPr>
        <w:t>,</w:t>
      </w:r>
      <w:r w:rsidRPr="00307028">
        <w:rPr>
          <w:rFonts w:eastAsia="Times New Roman"/>
          <w:lang w:eastAsia="en-US"/>
        </w:rPr>
        <w:t xml:space="preserve"> finansējumu </w:t>
      </w:r>
      <w:r w:rsidRPr="00307028">
        <w:rPr>
          <w:rFonts w:eastAsia="Times New Roman"/>
          <w:b/>
          <w:bCs/>
          <w:lang w:eastAsia="en-US"/>
        </w:rPr>
        <w:t>30 000 </w:t>
      </w:r>
      <w:r w:rsidRPr="00307028">
        <w:rPr>
          <w:rFonts w:eastAsia="Times New Roman"/>
          <w:b/>
          <w:bCs/>
          <w:i/>
          <w:iCs/>
          <w:lang w:eastAsia="en-US"/>
        </w:rPr>
        <w:t>euro</w:t>
      </w:r>
      <w:r w:rsidRPr="00307028">
        <w:rPr>
          <w:rFonts w:eastAsia="Times New Roman"/>
          <w:lang w:eastAsia="en-US"/>
        </w:rPr>
        <w:t xml:space="preserve"> apmērā iespējams novirzīt citu, aktuālo pasākumu nodrošināšanai.</w:t>
      </w:r>
    </w:p>
    <w:p w14:paraId="33A05970"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VARAM – LVAF finansējums nacionālās nozīmes un vides projektiem</w:t>
      </w:r>
    </w:p>
    <w:p w14:paraId="2993FCB3" w14:textId="16558C74"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 xml:space="preserve">VARAM norāda, ka budžeta apakšprogrammā 21.02.00 “Vides aizsardzības projekti” PP “LVAF finansējums nacionālās nozīmes un vides projektiem” ietvaros finansējums paredzēts </w:t>
      </w:r>
      <w:r w:rsidR="00D85401" w:rsidRPr="00307028">
        <w:rPr>
          <w:rFonts w:eastAsia="Times New Roman"/>
          <w:lang w:eastAsia="en-US"/>
        </w:rPr>
        <w:t>LVAF</w:t>
      </w:r>
      <w:r w:rsidRPr="00307028">
        <w:rPr>
          <w:rFonts w:eastAsia="Times New Roman"/>
          <w:lang w:eastAsia="en-US"/>
        </w:rPr>
        <w:t xml:space="preserve"> apstiprinātiem projektiem, kas tiek piešķirts, balstoties uz </w:t>
      </w:r>
      <w:r w:rsidR="00D85401" w:rsidRPr="00307028">
        <w:rPr>
          <w:rFonts w:eastAsia="Times New Roman"/>
          <w:lang w:eastAsia="en-US"/>
        </w:rPr>
        <w:t>LVAF</w:t>
      </w:r>
      <w:r w:rsidRPr="00307028">
        <w:rPr>
          <w:rFonts w:eastAsia="Times New Roman"/>
          <w:lang w:eastAsia="en-US"/>
        </w:rPr>
        <w:t xml:space="preserve"> padomes lēmumiem. 2022. gadā salīdzinājumā ar citu gadu konkursa rezultātiem būtiski bija samazinājies projektu pieteikumu skaits un pieprasītais finansējums netika apgūts sākotnēji plānotajā apmērā</w:t>
      </w:r>
      <w:r w:rsidR="00FF13D6" w:rsidRPr="00307028">
        <w:rPr>
          <w:rFonts w:eastAsia="Times New Roman"/>
          <w:lang w:eastAsia="en-US"/>
        </w:rPr>
        <w:t>.</w:t>
      </w:r>
      <w:r w:rsidRPr="00307028">
        <w:rPr>
          <w:rFonts w:eastAsia="Times New Roman"/>
          <w:lang w:eastAsia="en-US"/>
        </w:rPr>
        <w:t xml:space="preserve"> </w:t>
      </w:r>
      <w:r w:rsidR="00FF13D6" w:rsidRPr="00307028">
        <w:rPr>
          <w:rFonts w:eastAsia="Times New Roman"/>
          <w:lang w:eastAsia="en-US"/>
        </w:rPr>
        <w:t>A</w:t>
      </w:r>
      <w:r w:rsidRPr="00307028">
        <w:rPr>
          <w:rFonts w:eastAsia="Times New Roman"/>
          <w:lang w:eastAsia="en-US"/>
        </w:rPr>
        <w:t xml:space="preserve">rī 2023. gadā ir konstatēts, ka par visu pieejamo PP finansējumu projektu konkursi nav izsludināti un VARAM ieskatā arī turpmākajos gados finansējums netiks apgūts pilnā apmērā. </w:t>
      </w:r>
    </w:p>
    <w:p w14:paraId="2D521ECB" w14:textId="2EA5C700"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 xml:space="preserve">Līdz ar to VARAM izsaka priekšlikumu finansējumu 77 842 </w:t>
      </w:r>
      <w:r w:rsidRPr="00307028">
        <w:rPr>
          <w:rFonts w:eastAsia="Times New Roman"/>
          <w:i/>
          <w:iCs/>
          <w:lang w:eastAsia="en-US"/>
        </w:rPr>
        <w:t>euro</w:t>
      </w:r>
      <w:r w:rsidRPr="00307028">
        <w:rPr>
          <w:rFonts w:eastAsia="Times New Roman"/>
          <w:lang w:eastAsia="en-US"/>
        </w:rPr>
        <w:t xml:space="preserve"> apmērā 2024. gadā un turpmāk ik gadu pārdalīt citam mērķim uz pamatbudžeta programmu 97.00.00 “Nozaru vadība un politikas plānošana”, lai nodrošinātu finansējumu 0,5 slodzes nozares padomniekam vides jautājumos, tai skaitā atlīdzības nodrošināšanai (55 090 </w:t>
      </w:r>
      <w:r w:rsidRPr="00307028">
        <w:rPr>
          <w:rFonts w:eastAsia="Times New Roman"/>
          <w:i/>
          <w:iCs/>
          <w:lang w:eastAsia="en-US"/>
        </w:rPr>
        <w:t>euro</w:t>
      </w:r>
      <w:r w:rsidRPr="00307028">
        <w:rPr>
          <w:rFonts w:eastAsia="Times New Roman"/>
          <w:lang w:eastAsia="en-US"/>
        </w:rPr>
        <w:t xml:space="preserve">) un dzīvokļa īres un komunālo izdevumu kompensācijai (22 752 </w:t>
      </w:r>
      <w:r w:rsidRPr="00307028">
        <w:rPr>
          <w:rFonts w:eastAsia="Times New Roman"/>
          <w:i/>
          <w:iCs/>
          <w:lang w:eastAsia="en-US"/>
        </w:rPr>
        <w:t>euro</w:t>
      </w:r>
      <w:r w:rsidRPr="00307028">
        <w:rPr>
          <w:rFonts w:eastAsia="Times New Roman"/>
          <w:lang w:eastAsia="en-US"/>
        </w:rPr>
        <w:t xml:space="preserve">), ņemot vērā, ka VARAM nepieciešams pilnas slodzes nozares padomnieks vides jautājumos. Vienlaikus jānorāda, ka ar piedāvāto finansējuma pārdali joprojām tiks ievērots Latvijas vides aizsardzības fonda likuma 5.pantā noteiktais, ka </w:t>
      </w:r>
      <w:r w:rsidR="00D85401" w:rsidRPr="00307028">
        <w:rPr>
          <w:rFonts w:eastAsia="Times New Roman"/>
          <w:lang w:eastAsia="en-US"/>
        </w:rPr>
        <w:t>LVAF</w:t>
      </w:r>
      <w:r w:rsidRPr="00307028">
        <w:rPr>
          <w:rFonts w:eastAsia="Times New Roman"/>
          <w:lang w:eastAsia="en-US"/>
        </w:rPr>
        <w:t xml:space="preserve"> piešķirtā valsts budžeta dotācija no vispārējiem ieņēmumiem nevar būt mazāka kā iepriekšējā budžeta gadā. </w:t>
      </w:r>
    </w:p>
    <w:p w14:paraId="42741B53" w14:textId="77777777" w:rsidR="00CD647B" w:rsidRPr="00307028" w:rsidRDefault="00CD647B" w:rsidP="00CD647B">
      <w:pPr>
        <w:spacing w:before="120" w:after="120" w:line="259" w:lineRule="auto"/>
        <w:ind w:firstLine="720"/>
        <w:jc w:val="both"/>
        <w:rPr>
          <w:rFonts w:eastAsia="Times New Roman"/>
          <w:lang w:eastAsia="en-US"/>
        </w:rPr>
      </w:pPr>
      <w:r w:rsidRPr="00307028">
        <w:rPr>
          <w:rFonts w:eastAsia="Times New Roman"/>
          <w:lang w:eastAsia="en-US"/>
        </w:rPr>
        <w:t xml:space="preserve">Attiecīgi VARAM lūdz atbalstīt priekšlikumu samazināt budžeta apakšprogrammā 21.02.00 “Vides aizsardzības projekti” PP “LVAF finansējums nacionālās nozīmes un vides projektiem” vispārējā kārtībā sadalāmo dotāciju no vispārējiem ieņēmumiem un izdevumus pārējiem valsts budžeta uzturēšanas izdevumu transfertiem pašvaldībām </w:t>
      </w:r>
      <w:r w:rsidRPr="00307028">
        <w:rPr>
          <w:rFonts w:eastAsia="Times New Roman"/>
          <w:b/>
          <w:bCs/>
          <w:lang w:eastAsia="en-US"/>
        </w:rPr>
        <w:t xml:space="preserve">77 842 </w:t>
      </w:r>
      <w:r w:rsidRPr="00307028">
        <w:rPr>
          <w:rFonts w:eastAsia="Times New Roman"/>
          <w:b/>
          <w:bCs/>
          <w:i/>
          <w:iCs/>
          <w:lang w:eastAsia="en-US"/>
        </w:rPr>
        <w:t>euro</w:t>
      </w:r>
      <w:r w:rsidRPr="00307028">
        <w:rPr>
          <w:rFonts w:eastAsia="Times New Roman"/>
          <w:lang w:eastAsia="en-US"/>
        </w:rPr>
        <w:t xml:space="preserve"> apmērā un palielināt budžeta programmā 97.00.00 “Nozaru vadība un politikas plānošana” vispārējā kārtībā sadalāmo dotāciju no vispārējiem ieņēmumiem 77 842 </w:t>
      </w:r>
      <w:r w:rsidRPr="00307028">
        <w:rPr>
          <w:rFonts w:eastAsia="Times New Roman"/>
          <w:i/>
          <w:iCs/>
          <w:lang w:eastAsia="en-US"/>
        </w:rPr>
        <w:t>euro</w:t>
      </w:r>
      <w:r w:rsidRPr="00307028">
        <w:rPr>
          <w:rFonts w:eastAsia="Times New Roman"/>
          <w:lang w:eastAsia="en-US"/>
        </w:rPr>
        <w:t xml:space="preserve"> apmērā un izdevumus atlīdzībai 55 090 </w:t>
      </w:r>
      <w:r w:rsidRPr="00307028">
        <w:rPr>
          <w:rFonts w:eastAsia="Times New Roman"/>
          <w:i/>
          <w:iCs/>
          <w:lang w:eastAsia="en-US"/>
        </w:rPr>
        <w:t>euro</w:t>
      </w:r>
      <w:r w:rsidRPr="00307028">
        <w:rPr>
          <w:rFonts w:eastAsia="Times New Roman"/>
          <w:lang w:eastAsia="en-US"/>
        </w:rPr>
        <w:t xml:space="preserve"> apmērā, izdevumus precēm un pakalpojumiem</w:t>
      </w:r>
      <w:r w:rsidRPr="00307028">
        <w:rPr>
          <w:rFonts w:eastAsia="Times New Roman"/>
          <w:b/>
          <w:bCs/>
          <w:lang w:eastAsia="en-US"/>
        </w:rPr>
        <w:t xml:space="preserve"> </w:t>
      </w:r>
      <w:r w:rsidRPr="00307028">
        <w:rPr>
          <w:rFonts w:eastAsia="Times New Roman"/>
          <w:lang w:eastAsia="en-US"/>
        </w:rPr>
        <w:t xml:space="preserve">22 752 </w:t>
      </w:r>
      <w:r w:rsidRPr="00307028">
        <w:rPr>
          <w:rFonts w:eastAsia="Times New Roman"/>
          <w:i/>
          <w:iCs/>
          <w:lang w:eastAsia="en-US"/>
        </w:rPr>
        <w:t>euro</w:t>
      </w:r>
      <w:r w:rsidRPr="00307028">
        <w:rPr>
          <w:rFonts w:eastAsia="Times New Roman"/>
          <w:lang w:eastAsia="en-US"/>
        </w:rPr>
        <w:t xml:space="preserve"> apmērā, lai nodrošinātu finansējumu 0,5 slodzes nozares padomniekam vides jautājumos.</w:t>
      </w:r>
    </w:p>
    <w:p w14:paraId="7B492739" w14:textId="77777777" w:rsidR="00CD647B" w:rsidRPr="00307028" w:rsidRDefault="00CD647B" w:rsidP="00CD647B">
      <w:pPr>
        <w:tabs>
          <w:tab w:val="left" w:pos="1992"/>
        </w:tabs>
        <w:spacing w:before="360" w:after="120" w:line="259" w:lineRule="auto"/>
        <w:jc w:val="both"/>
        <w:rPr>
          <w:rFonts w:eastAsia="Times New Roman"/>
          <w:b/>
          <w:bCs/>
          <w:lang w:eastAsia="en-US"/>
        </w:rPr>
      </w:pPr>
      <w:r w:rsidRPr="00307028">
        <w:rPr>
          <w:rFonts w:eastAsia="Times New Roman"/>
          <w:b/>
          <w:bCs/>
          <w:lang w:eastAsia="en-US"/>
        </w:rPr>
        <w:t>VM – Slimību profilakses un kontroles centra vispārējās kapacitātes attīstīšana un kontaktpersonu identificēšanas un informēšanas tehnoloģiskā risinājuma ieviešana, uzturēšana</w:t>
      </w:r>
    </w:p>
    <w:p w14:paraId="4072C160" w14:textId="77777777" w:rsidR="00CD647B" w:rsidRPr="00307028" w:rsidRDefault="00CD647B" w:rsidP="00CD647B">
      <w:pPr>
        <w:tabs>
          <w:tab w:val="left" w:pos="1992"/>
        </w:tabs>
        <w:spacing w:before="120" w:after="120" w:line="259" w:lineRule="auto"/>
        <w:ind w:firstLine="720"/>
        <w:jc w:val="both"/>
        <w:rPr>
          <w:rFonts w:eastAsia="Times New Roman"/>
          <w:lang w:eastAsia="en-US"/>
        </w:rPr>
      </w:pPr>
      <w:r w:rsidRPr="00307028">
        <w:rPr>
          <w:rFonts w:eastAsia="Times New Roman"/>
          <w:lang w:eastAsia="en-US"/>
        </w:rPr>
        <w:t xml:space="preserve">Apakšprogrammā 46.03.00 “Slimību profilakses nodrošināšana” VM sadarbībā ar SPKC ir veikusi pamatfunkciju izdevumu izpildes analīzi 2021. – 2023. gada PP “Slimību profilakses un kontroles centra vispārējās kapacitātes attīstīšana un kontaktpersonu identificēšanas un informēšanas tehnoloģiskā risinājuma ieviešana, uzturēšana”, kā arī, veicot izpildes prognozi 2023. gada 12 mēnešiem, iepriekš minētajam PP tiek prognozēts finanšu līdzekļu atlikums 59 430 </w:t>
      </w:r>
      <w:r w:rsidRPr="00307028">
        <w:rPr>
          <w:rFonts w:eastAsia="Times New Roman"/>
          <w:i/>
          <w:iCs/>
          <w:lang w:eastAsia="en-US"/>
        </w:rPr>
        <w:t>euro</w:t>
      </w:r>
      <w:r w:rsidRPr="00307028">
        <w:rPr>
          <w:rFonts w:eastAsia="Times New Roman"/>
          <w:lang w:eastAsia="en-US"/>
        </w:rPr>
        <w:t xml:space="preserve"> apmērā 2024. – 2026. gadam ik gadu, tai skaitā:</w:t>
      </w:r>
    </w:p>
    <w:p w14:paraId="0D714988" w14:textId="77777777" w:rsidR="00CD647B" w:rsidRPr="00307028" w:rsidRDefault="00CD647B" w:rsidP="00070D5F">
      <w:pPr>
        <w:numPr>
          <w:ilvl w:val="0"/>
          <w:numId w:val="42"/>
        </w:numPr>
        <w:tabs>
          <w:tab w:val="left" w:pos="1992"/>
        </w:tabs>
        <w:spacing w:before="120" w:after="120" w:line="259" w:lineRule="auto"/>
        <w:ind w:left="1134" w:hanging="425"/>
        <w:jc w:val="both"/>
        <w:rPr>
          <w:rFonts w:eastAsia="Times New Roman"/>
          <w:lang w:eastAsia="en-US"/>
        </w:rPr>
      </w:pPr>
      <w:r w:rsidRPr="00307028">
        <w:rPr>
          <w:rFonts w:eastAsia="Times New Roman"/>
          <w:lang w:eastAsia="en-US"/>
        </w:rPr>
        <w:t xml:space="preserve">40 112 </w:t>
      </w:r>
      <w:r w:rsidRPr="00307028">
        <w:rPr>
          <w:rFonts w:eastAsia="Times New Roman"/>
          <w:i/>
          <w:iCs/>
          <w:lang w:eastAsia="en-US"/>
        </w:rPr>
        <w:t>euro</w:t>
      </w:r>
      <w:r w:rsidRPr="00307028">
        <w:rPr>
          <w:rFonts w:eastAsia="Times New Roman"/>
          <w:lang w:eastAsia="en-US"/>
        </w:rPr>
        <w:t xml:space="preserve"> apmērā IT sistēmas izstrādes un uzturēšanas izdevumiem;</w:t>
      </w:r>
    </w:p>
    <w:p w14:paraId="4E1EAF16" w14:textId="77777777" w:rsidR="00CD647B" w:rsidRPr="00307028" w:rsidRDefault="00CD647B" w:rsidP="00070D5F">
      <w:pPr>
        <w:numPr>
          <w:ilvl w:val="0"/>
          <w:numId w:val="42"/>
        </w:numPr>
        <w:tabs>
          <w:tab w:val="left" w:pos="1992"/>
        </w:tabs>
        <w:spacing w:before="120" w:after="120" w:line="259" w:lineRule="auto"/>
        <w:ind w:left="1134" w:hanging="425"/>
        <w:jc w:val="both"/>
        <w:rPr>
          <w:rFonts w:eastAsia="Times New Roman"/>
          <w:lang w:eastAsia="en-US"/>
        </w:rPr>
      </w:pPr>
      <w:r w:rsidRPr="00307028">
        <w:rPr>
          <w:rFonts w:eastAsia="Times New Roman"/>
          <w:lang w:eastAsia="en-US"/>
        </w:rPr>
        <w:lastRenderedPageBreak/>
        <w:t xml:space="preserve">7 623 </w:t>
      </w:r>
      <w:r w:rsidRPr="00307028">
        <w:rPr>
          <w:rFonts w:eastAsia="Times New Roman"/>
          <w:i/>
          <w:iCs/>
          <w:lang w:eastAsia="en-US"/>
        </w:rPr>
        <w:t>euro</w:t>
      </w:r>
      <w:r w:rsidRPr="00307028">
        <w:rPr>
          <w:rFonts w:eastAsia="Times New Roman"/>
          <w:lang w:eastAsia="en-US"/>
        </w:rPr>
        <w:t xml:space="preserve"> datorizētu darba vietu aprīkošanas un to uzturēšanas izdevumiem;</w:t>
      </w:r>
    </w:p>
    <w:p w14:paraId="0A2FC02E" w14:textId="77777777" w:rsidR="00CD647B" w:rsidRPr="00307028" w:rsidRDefault="00CD647B" w:rsidP="00070D5F">
      <w:pPr>
        <w:numPr>
          <w:ilvl w:val="0"/>
          <w:numId w:val="42"/>
        </w:numPr>
        <w:tabs>
          <w:tab w:val="left" w:pos="1992"/>
        </w:tabs>
        <w:spacing w:before="120" w:after="120" w:line="259" w:lineRule="auto"/>
        <w:ind w:left="1134" w:hanging="425"/>
        <w:jc w:val="both"/>
        <w:rPr>
          <w:rFonts w:eastAsia="Times New Roman"/>
          <w:lang w:eastAsia="en-US"/>
        </w:rPr>
      </w:pPr>
      <w:r w:rsidRPr="00307028">
        <w:rPr>
          <w:rFonts w:eastAsia="Times New Roman"/>
          <w:lang w:eastAsia="en-US"/>
        </w:rPr>
        <w:t xml:space="preserve">10 295 </w:t>
      </w:r>
      <w:r w:rsidRPr="00307028">
        <w:rPr>
          <w:rFonts w:eastAsia="Times New Roman"/>
          <w:i/>
          <w:iCs/>
          <w:lang w:eastAsia="en-US"/>
        </w:rPr>
        <w:t>euro</w:t>
      </w:r>
      <w:r w:rsidRPr="00307028">
        <w:rPr>
          <w:rFonts w:eastAsia="Times New Roman"/>
          <w:lang w:eastAsia="en-US"/>
        </w:rPr>
        <w:t xml:space="preserve"> datoru iegādes un ikgadējas uzturēšanas izdevumiem, t.i. licencēm, tehnikas remontam u.c.;</w:t>
      </w:r>
    </w:p>
    <w:p w14:paraId="64EC4860" w14:textId="77777777" w:rsidR="00CD647B" w:rsidRPr="00307028" w:rsidRDefault="00CD647B" w:rsidP="00070D5F">
      <w:pPr>
        <w:numPr>
          <w:ilvl w:val="0"/>
          <w:numId w:val="42"/>
        </w:numPr>
        <w:tabs>
          <w:tab w:val="left" w:pos="1992"/>
        </w:tabs>
        <w:spacing w:before="120" w:after="120" w:line="259" w:lineRule="auto"/>
        <w:ind w:left="1134" w:hanging="425"/>
        <w:jc w:val="both"/>
        <w:rPr>
          <w:rFonts w:eastAsia="Times New Roman"/>
          <w:lang w:eastAsia="en-US"/>
        </w:rPr>
      </w:pPr>
      <w:r w:rsidRPr="00307028">
        <w:rPr>
          <w:rFonts w:eastAsia="Times New Roman"/>
          <w:lang w:eastAsia="en-US"/>
        </w:rPr>
        <w:t xml:space="preserve">1 400 </w:t>
      </w:r>
      <w:r w:rsidRPr="00307028">
        <w:rPr>
          <w:rFonts w:eastAsia="Times New Roman"/>
          <w:i/>
          <w:iCs/>
          <w:lang w:eastAsia="en-US"/>
        </w:rPr>
        <w:t>euro</w:t>
      </w:r>
      <w:r w:rsidRPr="00307028">
        <w:rPr>
          <w:rFonts w:eastAsia="Times New Roman"/>
          <w:lang w:eastAsia="en-US"/>
        </w:rPr>
        <w:t xml:space="preserve"> darbinieku apmācībām saistībā ar ieviesto jaunu biznesa inteliģences rīku.</w:t>
      </w:r>
    </w:p>
    <w:p w14:paraId="2B7D8E46" w14:textId="1965087B" w:rsidR="00800997" w:rsidRPr="007A7EFC" w:rsidRDefault="00CD647B" w:rsidP="007A7EFC">
      <w:pPr>
        <w:tabs>
          <w:tab w:val="left" w:pos="1992"/>
        </w:tabs>
        <w:spacing w:before="120" w:after="120" w:line="259" w:lineRule="auto"/>
        <w:ind w:firstLine="720"/>
        <w:jc w:val="both"/>
        <w:rPr>
          <w:rFonts w:eastAsia="Times New Roman"/>
          <w:lang w:eastAsia="en-US"/>
        </w:rPr>
      </w:pPr>
      <w:r w:rsidRPr="00307028">
        <w:rPr>
          <w:rFonts w:eastAsia="Times New Roman"/>
          <w:lang w:eastAsia="en-US"/>
        </w:rPr>
        <w:t xml:space="preserve">VM sniedz priekšlikumu 2024., 2025. un 2026. gadam un turpmāk ik gadu budžeta apakšprogrammā 46.03.00 “Uzraudzība un kontrole” samazināt vispārējā kārtībā sadalāmo dotāciju no vispārējiem ieņēmumiem un izdevumus subsīdijām un dotācijām 2024. gadam turpmāk ik gadu </w:t>
      </w:r>
      <w:r w:rsidRPr="00307028">
        <w:rPr>
          <w:rFonts w:eastAsia="Times New Roman"/>
          <w:b/>
          <w:bCs/>
          <w:lang w:eastAsia="en-US"/>
        </w:rPr>
        <w:t xml:space="preserve">59 430 </w:t>
      </w:r>
      <w:r w:rsidRPr="00307028">
        <w:rPr>
          <w:rFonts w:eastAsia="Times New Roman"/>
          <w:b/>
          <w:bCs/>
          <w:i/>
          <w:iCs/>
          <w:lang w:eastAsia="en-US"/>
        </w:rPr>
        <w:t>euro</w:t>
      </w:r>
      <w:r w:rsidRPr="00307028">
        <w:rPr>
          <w:rFonts w:eastAsia="Times New Roman"/>
          <w:lang w:eastAsia="en-US"/>
        </w:rPr>
        <w:t xml:space="preserve"> apmērā un attiecīgi palielināt apakšprogrammā 33.03.00 “Kompensējamo medikamentu un materiālu apmaksāšana” vispārējā kārtībā sadalāmo dotāciju no vispārējiem ieņēmumiem un izdevumus subsīdijām un dotācijām 2024. gadam un turpmāk ik gadu 59 430 </w:t>
      </w:r>
      <w:r w:rsidRPr="00307028">
        <w:rPr>
          <w:rFonts w:eastAsia="Times New Roman"/>
          <w:i/>
          <w:iCs/>
          <w:lang w:eastAsia="en-US"/>
        </w:rPr>
        <w:t>euro</w:t>
      </w:r>
      <w:r w:rsidRPr="00307028">
        <w:rPr>
          <w:rFonts w:eastAsia="Times New Roman"/>
          <w:lang w:eastAsia="en-US"/>
        </w:rPr>
        <w:t xml:space="preserve"> apmērā, lai nodrošinātu samaksu par kompensējamiem medikamentiem, daļēji sedzot deficītu.</w:t>
      </w:r>
    </w:p>
    <w:p w14:paraId="6847F3A1" w14:textId="14804B4D" w:rsidR="00CD647B" w:rsidRPr="00307028" w:rsidRDefault="00CD647B" w:rsidP="00CD647B">
      <w:pPr>
        <w:tabs>
          <w:tab w:val="left" w:pos="1992"/>
        </w:tabs>
        <w:spacing w:before="360" w:after="120" w:line="259" w:lineRule="auto"/>
        <w:jc w:val="both"/>
        <w:rPr>
          <w:rFonts w:eastAsia="Times New Roman"/>
          <w:b/>
          <w:bCs/>
          <w:szCs w:val="22"/>
          <w:lang w:eastAsia="en-US"/>
        </w:rPr>
      </w:pPr>
      <w:r w:rsidRPr="00307028">
        <w:rPr>
          <w:rFonts w:eastAsia="Times New Roman"/>
          <w:b/>
          <w:bCs/>
          <w:szCs w:val="22"/>
          <w:lang w:eastAsia="en-US"/>
        </w:rPr>
        <w:t>VM – Vēža skrīninga uzlabošana un medikamentu pieejamība onkoloģiskiem pacientiem</w:t>
      </w:r>
    </w:p>
    <w:p w14:paraId="7C02A426" w14:textId="27261B62" w:rsidR="007A7EFC" w:rsidRPr="00307028" w:rsidRDefault="00CD647B" w:rsidP="00FD34B0">
      <w:pPr>
        <w:spacing w:before="120" w:after="120" w:line="259" w:lineRule="auto"/>
        <w:ind w:firstLine="720"/>
        <w:jc w:val="both"/>
        <w:rPr>
          <w:rFonts w:eastAsia="Times New Roman"/>
          <w:szCs w:val="22"/>
          <w:lang w:eastAsia="en-US"/>
          <w14:ligatures w14:val="standardContextual"/>
        </w:rPr>
      </w:pPr>
      <w:r w:rsidRPr="00307028">
        <w:rPr>
          <w:rFonts w:eastAsia="Times New Roman"/>
          <w:szCs w:val="22"/>
          <w:lang w:eastAsia="en-US"/>
          <w14:ligatures w14:val="standardContextual"/>
        </w:rPr>
        <w:t>Finansējums PP “Vēža skrīninga uzlabošana un medikamentu pieejamība onkoloģiskiem pacientiem” tika izlietots 2021.</w:t>
      </w:r>
      <w:r w:rsidR="00FD34B0">
        <w:rPr>
          <w:rFonts w:eastAsia="Times New Roman"/>
          <w:szCs w:val="22"/>
          <w:lang w:eastAsia="en-US"/>
          <w14:ligatures w14:val="standardContextual"/>
        </w:rPr>
        <w:t> </w:t>
      </w:r>
      <w:r w:rsidRPr="00307028">
        <w:rPr>
          <w:rFonts w:eastAsia="Times New Roman"/>
          <w:szCs w:val="22"/>
          <w:lang w:eastAsia="en-US"/>
          <w14:ligatures w14:val="standardContextual"/>
        </w:rPr>
        <w:t>gadā 93,7% apmērā un 2022.</w:t>
      </w:r>
      <w:r w:rsidR="00FD34B0">
        <w:rPr>
          <w:rFonts w:eastAsia="Times New Roman"/>
          <w:szCs w:val="22"/>
          <w:lang w:eastAsia="en-US"/>
          <w14:ligatures w14:val="standardContextual"/>
        </w:rPr>
        <w:t> </w:t>
      </w:r>
      <w:r w:rsidRPr="00307028">
        <w:rPr>
          <w:rFonts w:eastAsia="Times New Roman"/>
          <w:szCs w:val="22"/>
          <w:lang w:eastAsia="en-US"/>
          <w14:ligatures w14:val="standardContextual"/>
        </w:rPr>
        <w:t>gadā 80,5%</w:t>
      </w:r>
      <w:r w:rsidR="00FD34B0">
        <w:rPr>
          <w:rFonts w:eastAsia="Times New Roman"/>
          <w:szCs w:val="22"/>
          <w:lang w:eastAsia="en-US"/>
          <w14:ligatures w14:val="standardContextual"/>
        </w:rPr>
        <w:t> </w:t>
      </w:r>
      <w:r w:rsidRPr="00307028">
        <w:rPr>
          <w:rFonts w:eastAsia="Times New Roman"/>
          <w:szCs w:val="22"/>
          <w:lang w:eastAsia="en-US"/>
          <w14:ligatures w14:val="standardContextual"/>
        </w:rPr>
        <w:t xml:space="preserve">apmērā. </w:t>
      </w:r>
    </w:p>
    <w:p w14:paraId="44321B07" w14:textId="77777777" w:rsidR="00CD647B" w:rsidRPr="00307028" w:rsidRDefault="00CD647B" w:rsidP="00FD34B0">
      <w:pPr>
        <w:spacing w:before="120" w:after="120" w:line="259" w:lineRule="auto"/>
        <w:jc w:val="center"/>
        <w:rPr>
          <w:rFonts w:eastAsia="Times New Roman"/>
          <w:b/>
          <w:sz w:val="22"/>
          <w:szCs w:val="22"/>
          <w:lang w:eastAsia="en-US"/>
        </w:rPr>
      </w:pPr>
      <w:r w:rsidRPr="00307028">
        <w:rPr>
          <w:rFonts w:eastAsia="Calibri"/>
          <w:b/>
          <w:bCs/>
          <w:i/>
          <w:iCs/>
          <w:sz w:val="22"/>
          <w:szCs w:val="22"/>
          <w:lang w:eastAsia="en-US"/>
        </w:rPr>
        <w:t>2.2.4. attēls</w:t>
      </w:r>
      <w:r w:rsidRPr="00307028">
        <w:rPr>
          <w:rFonts w:eastAsia="Calibri"/>
          <w:sz w:val="22"/>
          <w:szCs w:val="22"/>
          <w:lang w:eastAsia="en-US"/>
        </w:rPr>
        <w:t xml:space="preserve"> </w:t>
      </w:r>
      <w:r w:rsidRPr="00307028">
        <w:rPr>
          <w:rFonts w:eastAsia="Times New Roman"/>
          <w:b/>
          <w:sz w:val="22"/>
          <w:szCs w:val="22"/>
          <w:lang w:eastAsia="en-US"/>
        </w:rPr>
        <w:t xml:space="preserve">PP “Vēža skrīninga uzlabošana un medikamentu pieejamība onkoloģiskiem pacientiem” paredzētā finansējuma izlietojums 2021. – 2024. gadam, </w:t>
      </w:r>
      <w:r w:rsidRPr="00307028">
        <w:rPr>
          <w:rFonts w:eastAsia="Times New Roman"/>
          <w:b/>
          <w:i/>
          <w:iCs/>
          <w:sz w:val="22"/>
          <w:szCs w:val="22"/>
          <w:lang w:eastAsia="en-US"/>
        </w:rPr>
        <w:t>euro</w:t>
      </w:r>
    </w:p>
    <w:p w14:paraId="5143B42F" w14:textId="77777777" w:rsidR="00CD647B" w:rsidRPr="00307028" w:rsidRDefault="00CD647B" w:rsidP="00CD647B">
      <w:pPr>
        <w:spacing w:after="120" w:line="259" w:lineRule="auto"/>
        <w:jc w:val="center"/>
        <w:rPr>
          <w:rFonts w:eastAsia="Times New Roman"/>
          <w:szCs w:val="22"/>
          <w:lang w:eastAsia="en-US"/>
        </w:rPr>
      </w:pPr>
      <w:r w:rsidRPr="00307028">
        <w:rPr>
          <w:rFonts w:eastAsia="Times New Roman"/>
          <w:noProof/>
          <w:szCs w:val="22"/>
          <w:shd w:val="clear" w:color="auto" w:fill="85C2E0"/>
          <w:lang w:eastAsia="lv-LV"/>
        </w:rPr>
        <w:drawing>
          <wp:inline distT="0" distB="0" distL="0" distR="0" wp14:anchorId="793368F4" wp14:editId="7B7EC213">
            <wp:extent cx="5581650" cy="1979875"/>
            <wp:effectExtent l="0" t="0" r="0" b="1905"/>
            <wp:docPr id="870796251" name="Chart 870796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9CEF68" w14:textId="77777777" w:rsidR="00FD34B0" w:rsidRDefault="00CD647B" w:rsidP="00CD647B">
      <w:pPr>
        <w:spacing w:before="120" w:after="120" w:line="259" w:lineRule="auto"/>
        <w:ind w:firstLine="720"/>
        <w:jc w:val="both"/>
        <w:rPr>
          <w:rFonts w:eastAsia="Times New Roman"/>
          <w:szCs w:val="22"/>
          <w:lang w:eastAsia="en-US"/>
          <w14:ligatures w14:val="standardContextual"/>
        </w:rPr>
      </w:pPr>
      <w:r w:rsidRPr="00307028">
        <w:rPr>
          <w:rFonts w:eastAsia="Times New Roman"/>
          <w:szCs w:val="22"/>
          <w:lang w:eastAsia="en-US"/>
          <w14:ligatures w14:val="standardContextual"/>
        </w:rPr>
        <w:t xml:space="preserve">Atbilstoši VM iesniegtajai informācijai prognozēts, ka 2023. gadā PP finansējums tiks izlietots 92,6% apmērā. Ņemot vērā PP piešķirtā finansējuma izpildes tendences, tiek prognozēts, ka 2023. gadā paredzētais finansējums PP īstenošanai netiks apgūts pilnā apmērā, veidojot resursus citu veselības nozaru prioritāro pasākumu īstenošanai 180 613 </w:t>
      </w:r>
      <w:r w:rsidRPr="00307028">
        <w:rPr>
          <w:rFonts w:eastAsia="Times New Roman"/>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2CFFDD91"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36CFC176"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672D60DF"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7F99A291"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15F06C87"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26A42539" w14:textId="77777777" w:rsidR="00FD34B0" w:rsidRDefault="00FD34B0" w:rsidP="00CD647B">
      <w:pPr>
        <w:spacing w:before="120" w:after="120" w:line="259" w:lineRule="auto"/>
        <w:ind w:firstLine="720"/>
        <w:jc w:val="both"/>
        <w:rPr>
          <w:rFonts w:eastAsia="Times New Roman"/>
          <w:szCs w:val="22"/>
          <w:lang w:eastAsia="en-US"/>
          <w14:ligatures w14:val="standardContextual"/>
        </w:rPr>
      </w:pPr>
    </w:p>
    <w:p w14:paraId="2D644458" w14:textId="438028A5" w:rsidR="00CD647B" w:rsidRPr="00307028" w:rsidRDefault="00CD647B" w:rsidP="00CD647B">
      <w:pPr>
        <w:spacing w:before="120" w:after="120" w:line="259" w:lineRule="auto"/>
        <w:ind w:firstLine="720"/>
        <w:jc w:val="both"/>
        <w:rPr>
          <w:rFonts w:eastAsia="Times New Roman"/>
          <w:szCs w:val="22"/>
          <w:lang w:eastAsia="en-US"/>
          <w14:ligatures w14:val="standardContextual"/>
        </w:rPr>
      </w:pPr>
      <w:r w:rsidRPr="00307028">
        <w:rPr>
          <w:rFonts w:eastAsia="Times New Roman"/>
          <w:szCs w:val="22"/>
          <w:lang w:eastAsia="en-US"/>
          <w14:ligatures w14:val="standardContextual"/>
        </w:rPr>
        <w:t xml:space="preserve"> </w:t>
      </w:r>
    </w:p>
    <w:p w14:paraId="7A9EB291" w14:textId="77777777" w:rsidR="00CD647B" w:rsidRPr="00307028" w:rsidRDefault="00CD647B" w:rsidP="00CD647B">
      <w:pPr>
        <w:tabs>
          <w:tab w:val="left" w:pos="1992"/>
        </w:tabs>
        <w:spacing w:after="120" w:line="254" w:lineRule="auto"/>
        <w:jc w:val="center"/>
        <w:rPr>
          <w:rFonts w:eastAsia="Times New Roman"/>
          <w:b/>
          <w:bCs/>
          <w:szCs w:val="22"/>
          <w:lang w:eastAsia="en-US"/>
        </w:rPr>
      </w:pPr>
      <w:r w:rsidRPr="00307028">
        <w:rPr>
          <w:rFonts w:eastAsia="Times New Roman"/>
          <w:b/>
          <w:bCs/>
          <w:i/>
          <w:iCs/>
          <w:sz w:val="22"/>
          <w:szCs w:val="22"/>
          <w:lang w:eastAsia="en-US"/>
        </w:rPr>
        <w:lastRenderedPageBreak/>
        <w:t>2.2.4. tabula</w:t>
      </w:r>
      <w:r w:rsidRPr="00307028">
        <w:rPr>
          <w:rFonts w:eastAsia="Times New Roman"/>
          <w:b/>
          <w:bCs/>
          <w:sz w:val="22"/>
          <w:szCs w:val="22"/>
          <w:lang w:eastAsia="en-US"/>
        </w:rPr>
        <w:t xml:space="preserve"> </w:t>
      </w:r>
      <w:r w:rsidRPr="00307028">
        <w:rPr>
          <w:rFonts w:eastAsia="Times New Roman"/>
          <w:b/>
          <w:sz w:val="22"/>
          <w:szCs w:val="22"/>
          <w:lang w:eastAsia="en-US"/>
        </w:rPr>
        <w:t xml:space="preserve">PP “Vēža skrīninga uzlabošana un medikamentu pieejamība onkoloģiskiem pacientiem” </w:t>
      </w:r>
      <w:r w:rsidRPr="00307028">
        <w:rPr>
          <w:rFonts w:eastAsia="Times New Roman"/>
          <w:b/>
          <w:bCs/>
          <w:sz w:val="22"/>
          <w:szCs w:val="22"/>
          <w:lang w:eastAsia="en-US"/>
        </w:rPr>
        <w:t>rezultatīvie rādītāji 2021. – 2023. gadam, skaits</w:t>
      </w:r>
    </w:p>
    <w:tbl>
      <w:tblPr>
        <w:tblW w:w="5000" w:type="pct"/>
        <w:tblCellMar>
          <w:left w:w="0" w:type="dxa"/>
          <w:right w:w="0" w:type="dxa"/>
        </w:tblCellMar>
        <w:tblLook w:val="0600" w:firstRow="0" w:lastRow="0" w:firstColumn="0" w:lastColumn="0" w:noHBand="1" w:noVBand="1"/>
      </w:tblPr>
      <w:tblGrid>
        <w:gridCol w:w="3076"/>
        <w:gridCol w:w="1359"/>
        <w:gridCol w:w="1196"/>
        <w:gridCol w:w="855"/>
        <w:gridCol w:w="1196"/>
        <w:gridCol w:w="1379"/>
      </w:tblGrid>
      <w:tr w:rsidR="00CD647B" w:rsidRPr="00307028" w14:paraId="1B7C7DC1" w14:textId="77777777" w:rsidTr="00307028">
        <w:trPr>
          <w:trHeight w:val="181"/>
          <w:tblHeader/>
        </w:trPr>
        <w:tc>
          <w:tcPr>
            <w:tcW w:w="1697"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35355345" w14:textId="77777777" w:rsidR="00CD647B" w:rsidRPr="00307028" w:rsidRDefault="00CD647B" w:rsidP="00CD647B">
            <w:pPr>
              <w:tabs>
                <w:tab w:val="left" w:pos="1992"/>
              </w:tabs>
              <w:jc w:val="center"/>
              <w:rPr>
                <w:rFonts w:eastAsia="Times New Roman"/>
                <w:b/>
                <w:bCs/>
                <w:sz w:val="18"/>
                <w:szCs w:val="18"/>
                <w:lang w:eastAsia="en-US"/>
              </w:rPr>
            </w:pPr>
          </w:p>
        </w:tc>
        <w:tc>
          <w:tcPr>
            <w:tcW w:w="1410" w:type="pct"/>
            <w:gridSpan w:val="2"/>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59C85BC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2021. gads</w:t>
            </w:r>
          </w:p>
        </w:tc>
        <w:tc>
          <w:tcPr>
            <w:tcW w:w="1132" w:type="pct"/>
            <w:gridSpan w:val="2"/>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7676AA3A"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2022. gads</w:t>
            </w:r>
          </w:p>
        </w:tc>
        <w:tc>
          <w:tcPr>
            <w:tcW w:w="762" w:type="pct"/>
            <w:tcBorders>
              <w:top w:val="single" w:sz="4" w:space="0" w:color="000000"/>
              <w:left w:val="single" w:sz="4" w:space="0" w:color="000000"/>
              <w:bottom w:val="single" w:sz="4" w:space="0" w:color="000000"/>
              <w:right w:val="single" w:sz="4" w:space="0" w:color="000000"/>
            </w:tcBorders>
            <w:shd w:val="clear" w:color="auto" w:fill="85C2E0"/>
          </w:tcPr>
          <w:p w14:paraId="416D5C58"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2023. gads</w:t>
            </w:r>
          </w:p>
        </w:tc>
      </w:tr>
      <w:tr w:rsidR="00CD647B" w:rsidRPr="00307028" w14:paraId="267E523D" w14:textId="77777777" w:rsidTr="00307028">
        <w:trPr>
          <w:trHeight w:val="181"/>
          <w:tblHeader/>
        </w:trPr>
        <w:tc>
          <w:tcPr>
            <w:tcW w:w="1697"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11F10A2A"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Rezultatīvais rādītājs</w:t>
            </w:r>
          </w:p>
        </w:tc>
        <w:tc>
          <w:tcPr>
            <w:tcW w:w="750"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671FB7CF"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660"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46DB7623"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472"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6C4FF2CE"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660"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5222BDB9"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762" w:type="pct"/>
            <w:tcBorders>
              <w:top w:val="single" w:sz="4" w:space="0" w:color="000000"/>
              <w:left w:val="single" w:sz="4" w:space="0" w:color="000000"/>
              <w:bottom w:val="single" w:sz="4" w:space="0" w:color="000000"/>
              <w:right w:val="single" w:sz="4" w:space="0" w:color="000000"/>
            </w:tcBorders>
            <w:shd w:val="clear" w:color="auto" w:fill="85C2E0"/>
          </w:tcPr>
          <w:p w14:paraId="19D549D6"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r>
      <w:tr w:rsidR="00CD647B" w:rsidRPr="00307028" w14:paraId="7CFB5E6A" w14:textId="77777777" w:rsidTr="002A577C">
        <w:trPr>
          <w:trHeight w:val="181"/>
          <w:tblHeader/>
        </w:trPr>
        <w:tc>
          <w:tcPr>
            <w:tcW w:w="169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25AA2D" w14:textId="77777777" w:rsidR="00CD647B" w:rsidRPr="00307028" w:rsidRDefault="00CD647B" w:rsidP="00CD647B">
            <w:pPr>
              <w:tabs>
                <w:tab w:val="left" w:pos="1992"/>
              </w:tabs>
              <w:jc w:val="both"/>
              <w:rPr>
                <w:rFonts w:eastAsia="Times New Roman"/>
                <w:sz w:val="18"/>
                <w:szCs w:val="18"/>
                <w:lang w:eastAsia="en-US"/>
              </w:rPr>
            </w:pPr>
            <w:r w:rsidRPr="00307028">
              <w:rPr>
                <w:rFonts w:eastAsia="Times New Roman"/>
                <w:sz w:val="18"/>
                <w:szCs w:val="18"/>
                <w:lang w:eastAsia="en-US"/>
              </w:rPr>
              <w:t>Uzlabots prostatas vēža skrīnings</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FE6D24"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108 156</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ADF463"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151 840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8572E6"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108 156</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95C1FD"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5 064*</w:t>
            </w:r>
          </w:p>
        </w:tc>
        <w:tc>
          <w:tcPr>
            <w:tcW w:w="762" w:type="pct"/>
            <w:tcBorders>
              <w:top w:val="single" w:sz="4" w:space="0" w:color="000000"/>
              <w:left w:val="single" w:sz="4" w:space="0" w:color="000000"/>
              <w:bottom w:val="single" w:sz="4" w:space="0" w:color="000000"/>
              <w:right w:val="single" w:sz="4" w:space="0" w:color="000000"/>
            </w:tcBorders>
            <w:vAlign w:val="center"/>
          </w:tcPr>
          <w:p w14:paraId="4B4DA68D" w14:textId="16373A13" w:rsidR="00CD647B" w:rsidRPr="00307028" w:rsidRDefault="00CD647B" w:rsidP="00D85401">
            <w:pPr>
              <w:tabs>
                <w:tab w:val="left" w:pos="1992"/>
              </w:tabs>
              <w:jc w:val="center"/>
              <w:rPr>
                <w:rFonts w:eastAsia="Times New Roman"/>
                <w:sz w:val="18"/>
                <w:szCs w:val="18"/>
                <w:lang w:eastAsia="en-US"/>
              </w:rPr>
            </w:pPr>
            <w:r w:rsidRPr="00307028">
              <w:rPr>
                <w:rFonts w:eastAsia="Times New Roman"/>
                <w:sz w:val="18"/>
                <w:szCs w:val="18"/>
                <w:lang w:eastAsia="en-US"/>
              </w:rPr>
              <w:t>108 156</w:t>
            </w:r>
          </w:p>
        </w:tc>
      </w:tr>
      <w:tr w:rsidR="00CD647B" w:rsidRPr="00307028" w14:paraId="16F2E1C9" w14:textId="77777777" w:rsidTr="002A577C">
        <w:trPr>
          <w:trHeight w:val="181"/>
          <w:tblHeader/>
        </w:trPr>
        <w:tc>
          <w:tcPr>
            <w:tcW w:w="169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61F7A0" w14:textId="77777777" w:rsidR="00CD647B" w:rsidRPr="00307028" w:rsidRDefault="00CD647B" w:rsidP="00CD647B">
            <w:pPr>
              <w:tabs>
                <w:tab w:val="left" w:pos="1992"/>
              </w:tabs>
              <w:jc w:val="both"/>
              <w:rPr>
                <w:rFonts w:eastAsia="Times New Roman"/>
                <w:sz w:val="18"/>
                <w:szCs w:val="18"/>
                <w:lang w:eastAsia="en-US"/>
              </w:rPr>
            </w:pPr>
            <w:r w:rsidRPr="00307028">
              <w:rPr>
                <w:rFonts w:eastAsia="Times New Roman"/>
                <w:sz w:val="18"/>
                <w:szCs w:val="18"/>
                <w:lang w:eastAsia="en-US"/>
              </w:rPr>
              <w:t>Uzlabota dzemdes kakla vēža skrīninga diagnostika</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659D5A"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39 477</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525293"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29 694</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3692D1"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64 550</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AB255A"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51 029</w:t>
            </w:r>
          </w:p>
        </w:tc>
        <w:tc>
          <w:tcPr>
            <w:tcW w:w="762" w:type="pct"/>
            <w:tcBorders>
              <w:top w:val="single" w:sz="4" w:space="0" w:color="000000"/>
              <w:left w:val="single" w:sz="4" w:space="0" w:color="000000"/>
              <w:bottom w:val="single" w:sz="4" w:space="0" w:color="000000"/>
              <w:right w:val="single" w:sz="4" w:space="0" w:color="000000"/>
            </w:tcBorders>
            <w:vAlign w:val="center"/>
          </w:tcPr>
          <w:p w14:paraId="4DC4EE32"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64 550</w:t>
            </w:r>
          </w:p>
        </w:tc>
      </w:tr>
      <w:tr w:rsidR="00CD647B" w:rsidRPr="00307028" w14:paraId="41B88D8E" w14:textId="77777777" w:rsidTr="002A577C">
        <w:trPr>
          <w:trHeight w:val="181"/>
          <w:tblHeader/>
        </w:trPr>
        <w:tc>
          <w:tcPr>
            <w:tcW w:w="169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CCABE4" w14:textId="77777777" w:rsidR="00CD647B" w:rsidRPr="00307028" w:rsidRDefault="00CD647B" w:rsidP="00CD647B">
            <w:pPr>
              <w:tabs>
                <w:tab w:val="left" w:pos="1992"/>
              </w:tabs>
              <w:jc w:val="both"/>
              <w:rPr>
                <w:rFonts w:eastAsia="Times New Roman"/>
                <w:sz w:val="18"/>
                <w:szCs w:val="18"/>
                <w:lang w:eastAsia="en-US"/>
              </w:rPr>
            </w:pPr>
            <w:r w:rsidRPr="00307028">
              <w:rPr>
                <w:rFonts w:eastAsia="Times New Roman"/>
                <w:sz w:val="18"/>
                <w:szCs w:val="18"/>
                <w:lang w:eastAsia="en-US"/>
              </w:rPr>
              <w:t>Noteiktas gēnu mutācijas pacientiem ar plaušu vēzi</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EB3BCC"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558</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61BF3A"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79**</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F1DDCD"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893</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D6D11F"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632</w:t>
            </w:r>
          </w:p>
        </w:tc>
        <w:tc>
          <w:tcPr>
            <w:tcW w:w="762" w:type="pct"/>
            <w:tcBorders>
              <w:top w:val="single" w:sz="4" w:space="0" w:color="000000"/>
              <w:left w:val="single" w:sz="4" w:space="0" w:color="000000"/>
              <w:bottom w:val="single" w:sz="4" w:space="0" w:color="000000"/>
              <w:right w:val="single" w:sz="4" w:space="0" w:color="000000"/>
            </w:tcBorders>
            <w:vAlign w:val="center"/>
          </w:tcPr>
          <w:p w14:paraId="74216F52"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940</w:t>
            </w:r>
          </w:p>
        </w:tc>
      </w:tr>
      <w:tr w:rsidR="00CD647B" w:rsidRPr="00307028" w14:paraId="548BDE04" w14:textId="77777777" w:rsidTr="002A577C">
        <w:trPr>
          <w:trHeight w:val="431"/>
          <w:tblHeader/>
        </w:trPr>
        <w:tc>
          <w:tcPr>
            <w:tcW w:w="169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1B68A9" w14:textId="77777777" w:rsidR="00CD647B" w:rsidRPr="00307028" w:rsidRDefault="00CD647B" w:rsidP="00CD647B">
            <w:pPr>
              <w:tabs>
                <w:tab w:val="left" w:pos="1992"/>
              </w:tabs>
              <w:jc w:val="both"/>
              <w:rPr>
                <w:rFonts w:eastAsia="Times New Roman"/>
                <w:sz w:val="18"/>
                <w:szCs w:val="18"/>
                <w:lang w:eastAsia="en-US"/>
              </w:rPr>
            </w:pPr>
            <w:r w:rsidRPr="00307028">
              <w:rPr>
                <w:rFonts w:eastAsia="Times New Roman"/>
                <w:sz w:val="18"/>
                <w:szCs w:val="18"/>
                <w:lang w:eastAsia="en-US"/>
              </w:rPr>
              <w:t>Uzlabota inovatīvo medikamentu pieejamība onkoloģiskiem pacientiem</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8B00B3"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49</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A69CAE"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49</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D5AE42"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77</w:t>
            </w:r>
          </w:p>
        </w:tc>
        <w:tc>
          <w:tcPr>
            <w:tcW w:w="6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8AD4F2"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77</w:t>
            </w:r>
          </w:p>
        </w:tc>
        <w:tc>
          <w:tcPr>
            <w:tcW w:w="762" w:type="pct"/>
            <w:tcBorders>
              <w:top w:val="single" w:sz="4" w:space="0" w:color="000000"/>
              <w:left w:val="single" w:sz="4" w:space="0" w:color="000000"/>
              <w:bottom w:val="single" w:sz="4" w:space="0" w:color="000000"/>
              <w:right w:val="single" w:sz="4" w:space="0" w:color="000000"/>
            </w:tcBorders>
            <w:vAlign w:val="center"/>
          </w:tcPr>
          <w:p w14:paraId="4C181FE1"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70</w:t>
            </w:r>
          </w:p>
        </w:tc>
      </w:tr>
    </w:tbl>
    <w:p w14:paraId="14D13325" w14:textId="77777777" w:rsidR="00CD647B" w:rsidRPr="00307028" w:rsidRDefault="00CD647B" w:rsidP="00CD647B">
      <w:pPr>
        <w:spacing w:before="120" w:line="259" w:lineRule="auto"/>
        <w:jc w:val="both"/>
        <w:rPr>
          <w:rFonts w:eastAsia="Times New Roman"/>
          <w:sz w:val="18"/>
          <w:szCs w:val="18"/>
          <w:lang w:eastAsia="en-US"/>
          <w14:ligatures w14:val="standardContextual"/>
        </w:rPr>
      </w:pPr>
      <w:r w:rsidRPr="00307028">
        <w:rPr>
          <w:rFonts w:eastAsia="Times New Roman"/>
          <w:sz w:val="18"/>
          <w:szCs w:val="18"/>
          <w:lang w:eastAsia="en-US"/>
          <w14:ligatures w14:val="standardContextual"/>
        </w:rPr>
        <w:t>* Atbilstoši VM (NVD) sniegtajai informācijai ārstniecības iestādes, aizpildot uzskaites dokumentus, veiktās manipulācijas reģistrēja nepareizajos manipulāciju kodos.</w:t>
      </w:r>
    </w:p>
    <w:p w14:paraId="38A3D74D" w14:textId="77777777" w:rsidR="00CD647B" w:rsidRPr="00307028" w:rsidRDefault="00CD647B" w:rsidP="00CD647B">
      <w:pPr>
        <w:spacing w:after="120" w:line="259" w:lineRule="auto"/>
        <w:jc w:val="both"/>
        <w:rPr>
          <w:rFonts w:eastAsia="Times New Roman"/>
          <w:sz w:val="18"/>
          <w:szCs w:val="18"/>
          <w:lang w:eastAsia="en-US"/>
          <w14:ligatures w14:val="standardContextual"/>
        </w:rPr>
      </w:pPr>
      <w:r w:rsidRPr="00307028">
        <w:rPr>
          <w:rFonts w:eastAsia="Times New Roman"/>
          <w:sz w:val="18"/>
          <w:szCs w:val="18"/>
          <w:lang w:eastAsia="en-US"/>
          <w14:ligatures w14:val="standardContextual"/>
        </w:rPr>
        <w:t>** Atbilstoši VM (NVD) sniegtajai informācijai izmeklējums ģenētisko biomarķieru/mutāciju noteikšanai onkoloģijas pacientiem ar plaušu vēzi (C34) tika ieviests 2021. gada 1. aprīlī. Pakalpojuma ieviešana reālajā dzīve ir prasījusi vairāk laika kā iepriekš paredzēts – tas saistīts ar ārstniecības personāla apmācībām datu interpretācijā, iekārtu lietošanā. No 2021. gada 1. jūlija NGS izmeklējumam tika paplašinātas piemērojamās diagnozes – piemērojot tās arī olnīcu un kolorētākajam vēzim.</w:t>
      </w:r>
    </w:p>
    <w:p w14:paraId="00877C0B" w14:textId="77777777" w:rsidR="00CD647B" w:rsidRPr="00307028" w:rsidRDefault="00CD647B" w:rsidP="00CD647B">
      <w:pPr>
        <w:tabs>
          <w:tab w:val="left" w:pos="851"/>
        </w:tabs>
        <w:spacing w:before="120" w:after="160" w:line="259" w:lineRule="auto"/>
        <w:jc w:val="both"/>
        <w:rPr>
          <w:rFonts w:eastAsia="Times New Roman"/>
          <w:szCs w:val="22"/>
          <w:lang w:eastAsia="en-US"/>
          <w14:ligatures w14:val="standardContextual"/>
        </w:rPr>
      </w:pPr>
      <w:r w:rsidRPr="00307028">
        <w:rPr>
          <w:rFonts w:eastAsia="Times New Roman"/>
          <w:szCs w:val="22"/>
          <w:lang w:eastAsia="en-US"/>
          <w14:ligatures w14:val="standardContextual"/>
        </w:rPr>
        <w:tab/>
        <w:t xml:space="preserve">Ja pieņem, ka 2024. gadā un turpmāk ik gadu PP piešķirtā finansējuma izpilde saglabājas 2023. gada līmenī, tad prognozējams, ka 2024. gadā un turpmāk ik gadu veidosies pieejamie resursi citu veselības nozaru prioritāro pasākumu īstenošanai </w:t>
      </w:r>
      <w:r w:rsidRPr="00307028">
        <w:rPr>
          <w:rFonts w:eastAsia="Times New Roman"/>
          <w:b/>
          <w:bCs/>
          <w:szCs w:val="22"/>
          <w:lang w:eastAsia="en-US"/>
          <w14:ligatures w14:val="standardContextual"/>
        </w:rPr>
        <w:t xml:space="preserve">180 613 </w:t>
      </w:r>
      <w:r w:rsidRPr="00307028">
        <w:rPr>
          <w:rFonts w:eastAsia="Times New Roman"/>
          <w:b/>
          <w:bCs/>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68AE6804" w14:textId="77777777" w:rsidR="00CD647B" w:rsidRPr="00307028" w:rsidRDefault="00CD647B" w:rsidP="00CD647B">
      <w:pPr>
        <w:spacing w:before="360" w:after="120"/>
        <w:jc w:val="both"/>
        <w:rPr>
          <w:rFonts w:eastAsia="Times New Roman"/>
          <w:b/>
          <w:sz w:val="22"/>
          <w:szCs w:val="22"/>
          <w:lang w:eastAsia="en-US"/>
        </w:rPr>
      </w:pPr>
      <w:r w:rsidRPr="00307028">
        <w:rPr>
          <w:rFonts w:eastAsia="Times New Roman"/>
          <w:b/>
          <w:bCs/>
          <w:szCs w:val="22"/>
          <w:lang w:eastAsia="en-US"/>
        </w:rPr>
        <w:t>VM – Līdzmaksājuma kompensācija personām ar 2. grupas invaliditāti (Veselības aprūpes finansēšanas likuma normas ar 01.01.2022.)</w:t>
      </w:r>
      <w:r w:rsidRPr="00307028">
        <w:rPr>
          <w:rFonts w:eastAsia="Times New Roman"/>
          <w:b/>
          <w:sz w:val="22"/>
          <w:szCs w:val="22"/>
          <w:lang w:eastAsia="en-US"/>
        </w:rPr>
        <w:t xml:space="preserve"> </w:t>
      </w:r>
    </w:p>
    <w:p w14:paraId="05D9603D" w14:textId="77777777" w:rsidR="00CD647B" w:rsidRPr="00307028" w:rsidRDefault="00CD647B" w:rsidP="00CD647B">
      <w:pPr>
        <w:spacing w:after="120" w:line="259" w:lineRule="auto"/>
        <w:ind w:firstLine="720"/>
        <w:jc w:val="both"/>
        <w:rPr>
          <w:rFonts w:eastAsia="Times New Roman"/>
          <w:szCs w:val="22"/>
          <w:lang w:eastAsia="en-US"/>
        </w:rPr>
      </w:pPr>
      <w:r w:rsidRPr="00307028">
        <w:rPr>
          <w:rFonts w:eastAsia="Times New Roman"/>
          <w:szCs w:val="22"/>
          <w:lang w:eastAsia="en-US"/>
          <w14:ligatures w14:val="standardContextual"/>
        </w:rPr>
        <w:t xml:space="preserve">Finansējums PP “Līdzmaksājuma kompensācija personām ar 2.grupas invaliditāti (Veselības aprūpes finansēšanas likuma normas ar 01.01.2022.)” 2022. gadā tika izlietots 46,1% apmērā, savukārt </w:t>
      </w:r>
      <w:r w:rsidRPr="00307028">
        <w:rPr>
          <w:rFonts w:eastAsia="Times New Roman"/>
          <w:szCs w:val="22"/>
          <w:lang w:eastAsia="en-US"/>
        </w:rPr>
        <w:t>PP darbības rezultatīvo rādītāju izpilde sasniedza 75,9%</w:t>
      </w:r>
      <w:r w:rsidRPr="00307028">
        <w:rPr>
          <w:rFonts w:eastAsia="Times New Roman"/>
          <w:szCs w:val="22"/>
          <w:lang w:eastAsia="en-US"/>
          <w14:ligatures w14:val="standardContextual"/>
        </w:rPr>
        <w:t xml:space="preserve">. </w:t>
      </w:r>
      <w:r w:rsidRPr="00307028">
        <w:rPr>
          <w:rFonts w:eastAsia="Times New Roman"/>
          <w:szCs w:val="22"/>
          <w:lang w:eastAsia="en-US"/>
        </w:rPr>
        <w:t xml:space="preserve">Ņemot vērā PP piešķirtā finansējuma izpildes tendences, atbilstoši VM iniciatīvai 2022. gadā saskaņā ar MK 2022. gada 20. oktobra rīkojuma Nr.750 “Par apropriācijas pārdali” tika samazināti PP piešķirtie līdzekļi 4 405 755 </w:t>
      </w:r>
      <w:r w:rsidRPr="00307028">
        <w:rPr>
          <w:rFonts w:eastAsia="Times New Roman"/>
          <w:i/>
          <w:iCs/>
          <w:szCs w:val="22"/>
          <w:lang w:eastAsia="en-US"/>
        </w:rPr>
        <w:t>euro</w:t>
      </w:r>
      <w:r w:rsidRPr="00307028">
        <w:rPr>
          <w:rFonts w:eastAsia="Times New Roman"/>
          <w:szCs w:val="22"/>
          <w:lang w:eastAsia="en-US"/>
        </w:rPr>
        <w:t xml:space="preserve"> apmērā, galvenokārt finansējumu novirzot samaksai par kompensējamiem medikamentiem un stacionārajām ārstniecības iestādēm energoresursu sadārdzinājuma segšanas nodrošināšanai. </w:t>
      </w:r>
    </w:p>
    <w:p w14:paraId="7F4DA99F" w14:textId="0234C90A" w:rsidR="00CD647B" w:rsidRPr="00307028" w:rsidRDefault="00CD647B" w:rsidP="00D85401">
      <w:pPr>
        <w:tabs>
          <w:tab w:val="left" w:pos="1992"/>
        </w:tabs>
        <w:spacing w:before="120" w:after="120" w:line="259" w:lineRule="auto"/>
        <w:jc w:val="center"/>
        <w:rPr>
          <w:rFonts w:eastAsia="Times New Roman"/>
          <w:b/>
          <w:bCs/>
          <w:szCs w:val="22"/>
          <w:lang w:eastAsia="en-US"/>
        </w:rPr>
      </w:pPr>
      <w:r w:rsidRPr="00307028">
        <w:rPr>
          <w:rFonts w:eastAsia="Calibri"/>
          <w:b/>
          <w:bCs/>
          <w:i/>
          <w:iCs/>
          <w:sz w:val="22"/>
          <w:szCs w:val="22"/>
          <w:lang w:eastAsia="en-US"/>
        </w:rPr>
        <w:t>2.2.5. attēls</w:t>
      </w:r>
      <w:r w:rsidRPr="00307028">
        <w:rPr>
          <w:rFonts w:eastAsia="Calibri"/>
          <w:sz w:val="22"/>
          <w:szCs w:val="22"/>
          <w:lang w:eastAsia="en-US"/>
        </w:rPr>
        <w:t xml:space="preserve"> </w:t>
      </w:r>
      <w:r w:rsidRPr="00307028">
        <w:rPr>
          <w:rFonts w:eastAsia="Times New Roman"/>
          <w:b/>
          <w:bCs/>
          <w:sz w:val="22"/>
          <w:szCs w:val="22"/>
          <w:lang w:eastAsia="en-US"/>
        </w:rPr>
        <w:t>“Līdzmaksājuma kompensācija personām ar 2. grupas invaliditāti (Veselības aprūpes finansēšanas likuma normas ar 01.01.2022.)” paredzētā finansējuma izlietojums 2022. – 2024.</w:t>
      </w:r>
      <w:r w:rsidR="00FD34B0">
        <w:rPr>
          <w:rFonts w:eastAsia="Times New Roman"/>
          <w:b/>
          <w:bCs/>
          <w:sz w:val="22"/>
          <w:szCs w:val="22"/>
          <w:lang w:eastAsia="en-US"/>
        </w:rPr>
        <w:t> </w:t>
      </w:r>
      <w:r w:rsidRPr="00307028">
        <w:rPr>
          <w:rFonts w:eastAsia="Times New Roman"/>
          <w:b/>
          <w:bCs/>
          <w:sz w:val="22"/>
          <w:szCs w:val="22"/>
          <w:lang w:eastAsia="en-US"/>
        </w:rPr>
        <w:t xml:space="preserve">gadam, </w:t>
      </w:r>
      <w:r w:rsidRPr="00307028">
        <w:rPr>
          <w:rFonts w:eastAsia="Times New Roman"/>
          <w:b/>
          <w:bCs/>
          <w:i/>
          <w:iCs/>
          <w:sz w:val="22"/>
          <w:szCs w:val="22"/>
          <w:lang w:eastAsia="en-US"/>
        </w:rPr>
        <w:t>euro</w:t>
      </w:r>
    </w:p>
    <w:p w14:paraId="61713212" w14:textId="77777777" w:rsidR="00CD647B" w:rsidRPr="00307028" w:rsidRDefault="00CD647B" w:rsidP="00CD647B">
      <w:pPr>
        <w:spacing w:after="120" w:line="259" w:lineRule="auto"/>
        <w:jc w:val="center"/>
        <w:rPr>
          <w:rFonts w:eastAsia="Times New Roman"/>
          <w:szCs w:val="22"/>
          <w:lang w:eastAsia="lv-LV"/>
        </w:rPr>
      </w:pPr>
      <w:r w:rsidRPr="007A7EFC">
        <w:rPr>
          <w:rFonts w:eastAsia="Times New Roman"/>
          <w:noProof/>
          <w:szCs w:val="22"/>
          <w:lang w:eastAsia="lv-LV"/>
        </w:rPr>
        <w:drawing>
          <wp:inline distT="0" distB="0" distL="0" distR="0" wp14:anchorId="0D8ABE98" wp14:editId="3EC8EEC4">
            <wp:extent cx="5680075" cy="2170706"/>
            <wp:effectExtent l="0" t="0" r="15875" b="1270"/>
            <wp:docPr id="881420011" name="Chart 8814200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9AB960" w14:textId="2C70CB0E" w:rsidR="00CD647B" w:rsidRPr="00307028" w:rsidRDefault="00CD647B" w:rsidP="00CD647B">
      <w:pPr>
        <w:spacing w:after="120" w:line="259" w:lineRule="auto"/>
        <w:ind w:firstLine="720"/>
        <w:jc w:val="both"/>
        <w:rPr>
          <w:rFonts w:eastAsia="Times New Roman"/>
          <w:szCs w:val="22"/>
          <w:lang w:eastAsia="en-US"/>
          <w14:ligatures w14:val="standardContextual"/>
        </w:rPr>
      </w:pPr>
      <w:r w:rsidRPr="00307028">
        <w:rPr>
          <w:rFonts w:eastAsia="Times New Roman"/>
          <w:szCs w:val="22"/>
          <w:lang w:eastAsia="en-US"/>
          <w14:ligatures w14:val="standardContextual"/>
        </w:rPr>
        <w:t xml:space="preserve">Atbilstoši VM iesniegtajai informācijai prognozēts, ka 2023. gadā PP finansējums tiks izlietots 83,2% apmērā. Ņemot vērā PP piešķirtā finansējuma izpildes tendences, tiek prognozēts, ka 2023. gadā paredzētais finansējums PP īstenošanai netiks apgūts pilnā apmērā, veidojot resursus citu veselības nozaru </w:t>
      </w:r>
      <w:r w:rsidR="00D85401" w:rsidRPr="00307028">
        <w:rPr>
          <w:rFonts w:eastAsia="Times New Roman"/>
          <w:szCs w:val="22"/>
          <w:lang w:eastAsia="en-US"/>
          <w14:ligatures w14:val="standardContextual"/>
        </w:rPr>
        <w:t>PP</w:t>
      </w:r>
      <w:r w:rsidRPr="00307028">
        <w:rPr>
          <w:rFonts w:eastAsia="Times New Roman"/>
          <w:szCs w:val="22"/>
          <w:lang w:eastAsia="en-US"/>
          <w14:ligatures w14:val="standardContextual"/>
        </w:rPr>
        <w:t xml:space="preserve"> īstenošanai 1 374 857 </w:t>
      </w:r>
      <w:r w:rsidRPr="00307028">
        <w:rPr>
          <w:rFonts w:eastAsia="Times New Roman"/>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20C673BD" w14:textId="77777777" w:rsidR="00CD647B" w:rsidRPr="00307028" w:rsidRDefault="00CD647B" w:rsidP="00CD647B">
      <w:pPr>
        <w:tabs>
          <w:tab w:val="left" w:pos="1992"/>
        </w:tabs>
        <w:spacing w:after="120" w:line="254" w:lineRule="auto"/>
        <w:jc w:val="center"/>
        <w:rPr>
          <w:rFonts w:eastAsia="Times New Roman"/>
          <w:szCs w:val="22"/>
          <w:lang w:eastAsia="en-US"/>
          <w14:ligatures w14:val="standardContextual"/>
        </w:rPr>
      </w:pPr>
      <w:r w:rsidRPr="00307028">
        <w:rPr>
          <w:rFonts w:eastAsia="Times New Roman"/>
          <w:b/>
          <w:bCs/>
          <w:i/>
          <w:iCs/>
          <w:sz w:val="22"/>
          <w:szCs w:val="22"/>
          <w:lang w:eastAsia="en-US"/>
        </w:rPr>
        <w:lastRenderedPageBreak/>
        <w:t>2.2.5. tabula</w:t>
      </w:r>
      <w:r w:rsidRPr="00307028">
        <w:rPr>
          <w:rFonts w:eastAsia="Times New Roman"/>
          <w:b/>
          <w:bCs/>
          <w:sz w:val="22"/>
          <w:szCs w:val="22"/>
          <w:lang w:eastAsia="en-US"/>
        </w:rPr>
        <w:t xml:space="preserve"> </w:t>
      </w:r>
      <w:r w:rsidRPr="00307028">
        <w:rPr>
          <w:rFonts w:eastAsia="Times New Roman"/>
          <w:b/>
          <w:sz w:val="22"/>
          <w:szCs w:val="22"/>
          <w:lang w:eastAsia="en-US"/>
        </w:rPr>
        <w:t xml:space="preserve">PP “Līdzmaksājuma kompensācija personām ar 2.grupas invaliditāti (Veselības aprūpes finansēšanas likuma normas ar 01.01.2022.)” </w:t>
      </w:r>
      <w:r w:rsidRPr="00307028">
        <w:rPr>
          <w:rFonts w:eastAsia="Times New Roman"/>
          <w:b/>
          <w:bCs/>
          <w:sz w:val="22"/>
          <w:szCs w:val="22"/>
          <w:lang w:eastAsia="en-US"/>
        </w:rPr>
        <w:t>rezultatīvie rādītāji 2022. – 2023. gadam, skaits</w:t>
      </w:r>
    </w:p>
    <w:tbl>
      <w:tblPr>
        <w:tblW w:w="5011" w:type="pct"/>
        <w:tblCellMar>
          <w:left w:w="0" w:type="dxa"/>
          <w:right w:w="0" w:type="dxa"/>
        </w:tblCellMar>
        <w:tblLook w:val="0600" w:firstRow="0" w:lastRow="0" w:firstColumn="0" w:lastColumn="0" w:noHBand="1" w:noVBand="1"/>
      </w:tblPr>
      <w:tblGrid>
        <w:gridCol w:w="3176"/>
        <w:gridCol w:w="954"/>
        <w:gridCol w:w="1417"/>
        <w:gridCol w:w="1769"/>
        <w:gridCol w:w="1765"/>
      </w:tblGrid>
      <w:tr w:rsidR="00CD647B" w:rsidRPr="00307028" w14:paraId="54C0ADE5" w14:textId="77777777" w:rsidTr="009A0FC9">
        <w:trPr>
          <w:trHeight w:val="204"/>
          <w:tblHeader/>
        </w:trPr>
        <w:tc>
          <w:tcPr>
            <w:tcW w:w="1749"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7852E7A8" w14:textId="77777777" w:rsidR="00CD647B" w:rsidRPr="00307028" w:rsidRDefault="00CD647B" w:rsidP="00CD647B">
            <w:pPr>
              <w:tabs>
                <w:tab w:val="left" w:pos="1992"/>
              </w:tabs>
              <w:jc w:val="center"/>
              <w:rPr>
                <w:rFonts w:eastAsia="Times New Roman"/>
                <w:b/>
                <w:bCs/>
                <w:sz w:val="18"/>
                <w:szCs w:val="18"/>
                <w:lang w:eastAsia="en-US"/>
              </w:rPr>
            </w:pPr>
          </w:p>
        </w:tc>
        <w:tc>
          <w:tcPr>
            <w:tcW w:w="1305" w:type="pct"/>
            <w:gridSpan w:val="2"/>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1F8E1B9C"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2022. gads</w:t>
            </w:r>
          </w:p>
        </w:tc>
        <w:tc>
          <w:tcPr>
            <w:tcW w:w="974" w:type="pct"/>
            <w:tcBorders>
              <w:top w:val="single" w:sz="4" w:space="0" w:color="000000"/>
              <w:left w:val="single" w:sz="4" w:space="0" w:color="000000"/>
              <w:bottom w:val="single" w:sz="4" w:space="0" w:color="000000"/>
              <w:right w:val="single" w:sz="4" w:space="0" w:color="000000"/>
            </w:tcBorders>
            <w:shd w:val="clear" w:color="auto" w:fill="85C2E0"/>
          </w:tcPr>
          <w:p w14:paraId="29C5E1A7"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2023. gads</w:t>
            </w:r>
          </w:p>
        </w:tc>
        <w:tc>
          <w:tcPr>
            <w:tcW w:w="972" w:type="pct"/>
            <w:tcBorders>
              <w:top w:val="single" w:sz="4" w:space="0" w:color="000000"/>
              <w:left w:val="single" w:sz="4" w:space="0" w:color="000000"/>
              <w:bottom w:val="single" w:sz="4" w:space="0" w:color="000000"/>
              <w:right w:val="single" w:sz="4" w:space="0" w:color="000000"/>
            </w:tcBorders>
            <w:shd w:val="clear" w:color="auto" w:fill="85C2E0"/>
          </w:tcPr>
          <w:p w14:paraId="276E7D11"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2024. gads</w:t>
            </w:r>
          </w:p>
        </w:tc>
      </w:tr>
      <w:tr w:rsidR="00CD647B" w:rsidRPr="00307028" w14:paraId="59670B91" w14:textId="77777777" w:rsidTr="009A0FC9">
        <w:trPr>
          <w:trHeight w:val="204"/>
          <w:tblHeader/>
        </w:trPr>
        <w:tc>
          <w:tcPr>
            <w:tcW w:w="1749"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7EDC1749"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Rezultatīvais rādītājs</w:t>
            </w:r>
          </w:p>
        </w:tc>
        <w:tc>
          <w:tcPr>
            <w:tcW w:w="525"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5C763757"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780"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3E35ED22"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974" w:type="pct"/>
            <w:tcBorders>
              <w:top w:val="single" w:sz="4" w:space="0" w:color="000000"/>
              <w:left w:val="single" w:sz="4" w:space="0" w:color="000000"/>
              <w:bottom w:val="single" w:sz="4" w:space="0" w:color="000000"/>
              <w:right w:val="single" w:sz="4" w:space="0" w:color="000000"/>
            </w:tcBorders>
            <w:shd w:val="clear" w:color="auto" w:fill="85C2E0"/>
            <w:vAlign w:val="center"/>
          </w:tcPr>
          <w:p w14:paraId="35D6F3B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972" w:type="pct"/>
            <w:tcBorders>
              <w:top w:val="single" w:sz="4" w:space="0" w:color="000000"/>
              <w:left w:val="single" w:sz="4" w:space="0" w:color="000000"/>
              <w:bottom w:val="single" w:sz="4" w:space="0" w:color="000000"/>
              <w:right w:val="single" w:sz="4" w:space="0" w:color="000000"/>
            </w:tcBorders>
            <w:shd w:val="clear" w:color="auto" w:fill="85C2E0"/>
            <w:vAlign w:val="center"/>
          </w:tcPr>
          <w:p w14:paraId="125170F4"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r>
      <w:tr w:rsidR="00CD647B" w:rsidRPr="00307028" w14:paraId="0FDC5822" w14:textId="77777777" w:rsidTr="002A577C">
        <w:trPr>
          <w:trHeight w:val="528"/>
          <w:tblHeader/>
        </w:trPr>
        <w:tc>
          <w:tcPr>
            <w:tcW w:w="17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33AC17" w14:textId="77777777" w:rsidR="00CD647B" w:rsidRPr="00307028" w:rsidRDefault="00CD647B" w:rsidP="00CD647B">
            <w:pPr>
              <w:tabs>
                <w:tab w:val="left" w:pos="1992"/>
              </w:tabs>
              <w:jc w:val="both"/>
              <w:rPr>
                <w:rFonts w:eastAsia="Times New Roman"/>
                <w:sz w:val="18"/>
                <w:szCs w:val="18"/>
                <w:lang w:eastAsia="en-US"/>
              </w:rPr>
            </w:pPr>
            <w:r w:rsidRPr="00307028">
              <w:rPr>
                <w:rFonts w:eastAsia="Times New Roman"/>
                <w:sz w:val="18"/>
                <w:szCs w:val="18"/>
                <w:lang w:eastAsia="en-US"/>
              </w:rPr>
              <w:t>Nodrošināta pacienta līdzmaksājuma kompensāciju pacientu grupai – “Persona ar 2. grupas invaliditāti”</w:t>
            </w:r>
          </w:p>
        </w:tc>
        <w:tc>
          <w:tcPr>
            <w:tcW w:w="5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65DD635" w14:textId="77777777" w:rsidR="00CD647B" w:rsidRPr="00307028" w:rsidRDefault="00CD647B" w:rsidP="00CD647B">
            <w:pPr>
              <w:tabs>
                <w:tab w:val="left" w:pos="1992"/>
              </w:tabs>
              <w:jc w:val="center"/>
              <w:rPr>
                <w:rFonts w:eastAsia="Times New Roman"/>
                <w:i/>
                <w:sz w:val="18"/>
                <w:szCs w:val="18"/>
                <w:lang w:eastAsia="en-US"/>
              </w:rPr>
            </w:pPr>
          </w:p>
          <w:p w14:paraId="28EF7FA7" w14:textId="77777777" w:rsidR="00CD647B" w:rsidRPr="00307028" w:rsidRDefault="00CD647B" w:rsidP="00CD647B">
            <w:pPr>
              <w:tabs>
                <w:tab w:val="left" w:pos="1992"/>
              </w:tabs>
              <w:jc w:val="center"/>
              <w:rPr>
                <w:rFonts w:eastAsia="Times New Roman"/>
                <w:iCs/>
                <w:sz w:val="18"/>
                <w:szCs w:val="18"/>
                <w:lang w:eastAsia="en-US"/>
              </w:rPr>
            </w:pPr>
            <w:r w:rsidRPr="00307028">
              <w:rPr>
                <w:rFonts w:eastAsia="Times New Roman"/>
                <w:iCs/>
                <w:sz w:val="18"/>
                <w:szCs w:val="18"/>
                <w:lang w:eastAsia="en-US"/>
              </w:rPr>
              <w:t>137 116</w:t>
            </w:r>
          </w:p>
        </w:tc>
        <w:tc>
          <w:tcPr>
            <w:tcW w:w="78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00FFB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104 050</w:t>
            </w:r>
          </w:p>
        </w:tc>
        <w:tc>
          <w:tcPr>
            <w:tcW w:w="974" w:type="pct"/>
            <w:tcBorders>
              <w:top w:val="single" w:sz="4" w:space="0" w:color="000000"/>
              <w:left w:val="single" w:sz="4" w:space="0" w:color="000000"/>
              <w:bottom w:val="single" w:sz="4" w:space="0" w:color="000000"/>
              <w:right w:val="single" w:sz="4" w:space="0" w:color="000000"/>
            </w:tcBorders>
          </w:tcPr>
          <w:p w14:paraId="4C5DCA7E" w14:textId="77777777" w:rsidR="00CD647B" w:rsidRPr="00307028" w:rsidRDefault="00CD647B" w:rsidP="00CD647B">
            <w:pPr>
              <w:tabs>
                <w:tab w:val="left" w:pos="1992"/>
              </w:tabs>
              <w:jc w:val="center"/>
              <w:rPr>
                <w:rFonts w:eastAsia="Times New Roman"/>
                <w:iCs/>
                <w:sz w:val="18"/>
                <w:szCs w:val="18"/>
                <w:lang w:eastAsia="en-US"/>
              </w:rPr>
            </w:pPr>
          </w:p>
          <w:p w14:paraId="452E2F85" w14:textId="77777777" w:rsidR="00CD647B" w:rsidRPr="00307028" w:rsidRDefault="00CD647B" w:rsidP="00CD647B">
            <w:pPr>
              <w:tabs>
                <w:tab w:val="left" w:pos="1992"/>
              </w:tabs>
              <w:jc w:val="center"/>
              <w:rPr>
                <w:rFonts w:eastAsia="Times New Roman"/>
                <w:iCs/>
                <w:sz w:val="18"/>
                <w:szCs w:val="18"/>
                <w:lang w:eastAsia="en-US"/>
              </w:rPr>
            </w:pPr>
            <w:r w:rsidRPr="00307028">
              <w:rPr>
                <w:rFonts w:eastAsia="Times New Roman"/>
                <w:iCs/>
                <w:sz w:val="18"/>
                <w:szCs w:val="18"/>
                <w:lang w:eastAsia="en-US"/>
              </w:rPr>
              <w:t>137 116</w:t>
            </w:r>
          </w:p>
        </w:tc>
        <w:tc>
          <w:tcPr>
            <w:tcW w:w="972" w:type="pct"/>
            <w:tcBorders>
              <w:top w:val="single" w:sz="4" w:space="0" w:color="000000"/>
              <w:left w:val="single" w:sz="4" w:space="0" w:color="000000"/>
              <w:bottom w:val="single" w:sz="4" w:space="0" w:color="000000"/>
              <w:right w:val="single" w:sz="4" w:space="0" w:color="000000"/>
            </w:tcBorders>
          </w:tcPr>
          <w:p w14:paraId="17E1E2CD" w14:textId="77777777" w:rsidR="00CD647B" w:rsidRPr="00307028" w:rsidRDefault="00CD647B" w:rsidP="00CD647B">
            <w:pPr>
              <w:tabs>
                <w:tab w:val="left" w:pos="1992"/>
              </w:tabs>
              <w:jc w:val="center"/>
              <w:rPr>
                <w:rFonts w:eastAsia="Times New Roman"/>
                <w:iCs/>
                <w:sz w:val="18"/>
                <w:szCs w:val="18"/>
                <w:lang w:eastAsia="en-US"/>
              </w:rPr>
            </w:pPr>
          </w:p>
          <w:p w14:paraId="4FC69203" w14:textId="247DA230" w:rsidR="00CD647B" w:rsidRPr="00307028" w:rsidRDefault="00C35FC4" w:rsidP="00070D5F">
            <w:pPr>
              <w:numPr>
                <w:ilvl w:val="0"/>
                <w:numId w:val="43"/>
              </w:numPr>
              <w:tabs>
                <w:tab w:val="left" w:pos="1992"/>
              </w:tabs>
              <w:spacing w:after="120" w:line="259" w:lineRule="auto"/>
              <w:contextualSpacing/>
              <w:jc w:val="center"/>
              <w:rPr>
                <w:rFonts w:eastAsia="Times New Roman"/>
                <w:iCs/>
                <w:sz w:val="18"/>
                <w:szCs w:val="18"/>
                <w:lang w:eastAsia="en-US"/>
              </w:rPr>
            </w:pPr>
            <w:r w:rsidRPr="00307028">
              <w:rPr>
                <w:rFonts w:eastAsia="Times New Roman"/>
                <w:iCs/>
                <w:sz w:val="18"/>
                <w:szCs w:val="18"/>
                <w:lang w:eastAsia="en-US"/>
              </w:rPr>
              <w:t>11</w:t>
            </w:r>
            <w:r w:rsidR="00CD647B" w:rsidRPr="00307028">
              <w:rPr>
                <w:rFonts w:eastAsia="Times New Roman"/>
                <w:iCs/>
                <w:sz w:val="18"/>
                <w:szCs w:val="18"/>
                <w:lang w:eastAsia="en-US"/>
              </w:rPr>
              <w:t>6</w:t>
            </w:r>
          </w:p>
        </w:tc>
      </w:tr>
    </w:tbl>
    <w:p w14:paraId="132DB811" w14:textId="77777777" w:rsidR="00CD647B" w:rsidRPr="00307028" w:rsidRDefault="00CD647B" w:rsidP="00CD647B">
      <w:pPr>
        <w:tabs>
          <w:tab w:val="left" w:pos="851"/>
        </w:tabs>
        <w:spacing w:before="120" w:after="160" w:line="259" w:lineRule="auto"/>
        <w:jc w:val="both"/>
        <w:rPr>
          <w:rFonts w:eastAsia="Times New Roman"/>
          <w:szCs w:val="22"/>
          <w:lang w:eastAsia="en-US"/>
          <w14:ligatures w14:val="standardContextual"/>
        </w:rPr>
      </w:pPr>
      <w:r w:rsidRPr="00307028">
        <w:rPr>
          <w:rFonts w:eastAsia="Times New Roman"/>
          <w:szCs w:val="22"/>
          <w:lang w:eastAsia="en-US"/>
          <w14:ligatures w14:val="standardContextual"/>
        </w:rPr>
        <w:tab/>
        <w:t xml:space="preserve">Ja pieņem, ka 2024. gadā un turpmāk ik gadu PP piešķirtā finansējuma izpilde saglabājas 2023. gada līmenī, tad prognozējams, ka 2024. gadā un turpmāk ik gadu veidosies pieejamie resursi citu veselības nozaru prioritāro pasākumu īstenošanai </w:t>
      </w:r>
      <w:r w:rsidRPr="00307028">
        <w:rPr>
          <w:rFonts w:eastAsia="Times New Roman"/>
          <w:b/>
          <w:bCs/>
          <w:szCs w:val="22"/>
          <w:lang w:eastAsia="en-US"/>
          <w14:ligatures w14:val="standardContextual"/>
        </w:rPr>
        <w:t xml:space="preserve">1 374 857 </w:t>
      </w:r>
      <w:r w:rsidRPr="00307028">
        <w:rPr>
          <w:rFonts w:eastAsia="Times New Roman"/>
          <w:b/>
          <w:bCs/>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5BFB21FE" w14:textId="567A4125" w:rsidR="00CD647B" w:rsidRPr="00307028" w:rsidRDefault="00CD647B" w:rsidP="00CD647B">
      <w:pPr>
        <w:spacing w:before="360" w:after="120" w:line="259" w:lineRule="auto"/>
        <w:jc w:val="both"/>
        <w:rPr>
          <w:rFonts w:eastAsia="Times New Roman"/>
          <w:b/>
          <w:bCs/>
          <w:szCs w:val="22"/>
          <w:lang w:eastAsia="en-US"/>
        </w:rPr>
      </w:pPr>
      <w:r w:rsidRPr="00307028">
        <w:rPr>
          <w:rFonts w:eastAsia="Times New Roman"/>
          <w:b/>
          <w:bCs/>
          <w:szCs w:val="22"/>
          <w:lang w:eastAsia="en-US"/>
        </w:rPr>
        <w:t xml:space="preserve">VM </w:t>
      </w:r>
      <w:r w:rsidR="00AA145A" w:rsidRPr="00307028">
        <w:rPr>
          <w:rFonts w:eastAsiaTheme="minorHAnsi"/>
          <w:b/>
          <w:bCs/>
          <w:lang w:eastAsia="en-US"/>
        </w:rPr>
        <w:t>–</w:t>
      </w:r>
      <w:r w:rsidRPr="00307028">
        <w:rPr>
          <w:rFonts w:eastAsia="Times New Roman"/>
          <w:b/>
          <w:bCs/>
          <w:szCs w:val="22"/>
          <w:lang w:eastAsia="en-US"/>
        </w:rPr>
        <w:t xml:space="preserve"> Pasākumi, lai samazinātu ilglaicīgu negatīvo ietekmi uz sabiedrības psihisko veselību, ko rada COVID-19 pandēmija</w:t>
      </w:r>
    </w:p>
    <w:p w14:paraId="73D844B7" w14:textId="37BBDFD8" w:rsidR="007A7EFC" w:rsidRPr="00267B87" w:rsidRDefault="00CD647B" w:rsidP="00267B87">
      <w:pPr>
        <w:spacing w:after="120" w:line="259" w:lineRule="auto"/>
        <w:ind w:firstLine="720"/>
        <w:jc w:val="both"/>
        <w:rPr>
          <w:rFonts w:eastAsia="Times New Roman"/>
          <w:szCs w:val="22"/>
          <w:lang w:eastAsia="en-US"/>
        </w:rPr>
      </w:pPr>
      <w:r w:rsidRPr="00307028">
        <w:rPr>
          <w:rFonts w:eastAsia="Times New Roman"/>
          <w:szCs w:val="22"/>
          <w:lang w:eastAsia="en-US"/>
          <w14:ligatures w14:val="standardContextual"/>
        </w:rPr>
        <w:t xml:space="preserve">Finansējums PP “Pasākumi, lai samazinātu ilglaicīgu negatīvo ietekmi uz sabiedrības psihisko veselību, ko rada COVID-19 pandēmija” 2022. gadā tika izlietots 59,1% apmērā. </w:t>
      </w:r>
      <w:r w:rsidRPr="00307028">
        <w:rPr>
          <w:rFonts w:eastAsia="Times New Roman"/>
          <w:szCs w:val="22"/>
          <w:lang w:eastAsia="en-US"/>
        </w:rPr>
        <w:t xml:space="preserve">Ņemot vērā PP piešķirtā finansējuma izpildes tendences, atbilstoši VM iniciatīvai 2022. gadā saskaņā ar MK 2022. gada 20. oktobra rīkojuma Nr. 750 “Par apropriācijas pārdali” tika samazināti PP piešķirtie līdzekļi 2 043 270 </w:t>
      </w:r>
      <w:r w:rsidRPr="00307028">
        <w:rPr>
          <w:rFonts w:eastAsia="Times New Roman"/>
          <w:i/>
          <w:iCs/>
          <w:szCs w:val="22"/>
          <w:lang w:eastAsia="en-US"/>
        </w:rPr>
        <w:t>euro</w:t>
      </w:r>
      <w:r w:rsidRPr="00307028">
        <w:rPr>
          <w:rFonts w:eastAsia="Times New Roman"/>
          <w:szCs w:val="22"/>
          <w:lang w:eastAsia="en-US"/>
        </w:rPr>
        <w:t xml:space="preserve"> apmērā, galvenokārt finansējumu novirzot samaksai par kompensējamiem medikamentiem un stacionārajām ārstniecības iestādēm energoresursu sadārdzinājuma segšanas nodrošināšanai. </w:t>
      </w:r>
    </w:p>
    <w:p w14:paraId="48FE7EE8" w14:textId="1D95F2B1" w:rsidR="00CD647B" w:rsidRPr="00307028" w:rsidRDefault="00CD647B" w:rsidP="00CD647B">
      <w:pPr>
        <w:tabs>
          <w:tab w:val="left" w:pos="1992"/>
        </w:tabs>
        <w:spacing w:before="120" w:after="120" w:line="259" w:lineRule="auto"/>
        <w:jc w:val="center"/>
        <w:rPr>
          <w:rFonts w:eastAsia="Times New Roman"/>
          <w:b/>
          <w:bCs/>
          <w:szCs w:val="22"/>
          <w:lang w:eastAsia="en-US"/>
        </w:rPr>
      </w:pPr>
      <w:r w:rsidRPr="00307028">
        <w:rPr>
          <w:rFonts w:eastAsia="Times New Roman"/>
          <w:b/>
          <w:bCs/>
          <w:i/>
          <w:iCs/>
          <w:sz w:val="22"/>
          <w:szCs w:val="22"/>
          <w:lang w:eastAsia="en-US"/>
        </w:rPr>
        <w:t xml:space="preserve">2.2.6. attēls </w:t>
      </w:r>
      <w:r w:rsidRPr="00307028">
        <w:rPr>
          <w:rFonts w:eastAsia="Times New Roman"/>
          <w:b/>
          <w:bCs/>
          <w:sz w:val="22"/>
          <w:szCs w:val="22"/>
          <w:lang w:eastAsia="en-US"/>
        </w:rPr>
        <w:t xml:space="preserve">PP “Pasākumi, lai samazinātu ilglaicīgu negatīvo ietekmi uz sabiedrības psihisko veselību, ko rada COVID-19 pandēmija” paredzētā finansējuma izlietojums 2022. – 2024. gadam, </w:t>
      </w:r>
      <w:r w:rsidRPr="00307028">
        <w:rPr>
          <w:rFonts w:eastAsia="Times New Roman"/>
          <w:b/>
          <w:bCs/>
          <w:i/>
          <w:iCs/>
          <w:sz w:val="22"/>
          <w:szCs w:val="22"/>
          <w:lang w:eastAsia="en-US"/>
        </w:rPr>
        <w:t>euro</w:t>
      </w:r>
    </w:p>
    <w:p w14:paraId="665765D7" w14:textId="77777777" w:rsidR="00CD647B" w:rsidRPr="00307028" w:rsidRDefault="00CD647B" w:rsidP="0017150F">
      <w:pPr>
        <w:spacing w:after="120" w:line="259" w:lineRule="auto"/>
        <w:jc w:val="center"/>
        <w:rPr>
          <w:rFonts w:eastAsia="Times New Roman"/>
          <w:b/>
          <w:bCs/>
          <w:szCs w:val="22"/>
          <w:lang w:eastAsia="en-US"/>
        </w:rPr>
      </w:pPr>
      <w:r w:rsidRPr="00307028">
        <w:rPr>
          <w:rFonts w:eastAsia="Times New Roman"/>
          <w:noProof/>
          <w:szCs w:val="22"/>
          <w:lang w:eastAsia="lv-LV"/>
        </w:rPr>
        <w:drawing>
          <wp:inline distT="0" distB="0" distL="0" distR="0" wp14:anchorId="0F0E0AD0" wp14:editId="24E78167">
            <wp:extent cx="5632450" cy="1979874"/>
            <wp:effectExtent l="0" t="0" r="6350"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F5FCE1E" w14:textId="6DD83519" w:rsidR="003B7DFF" w:rsidRDefault="00CD647B" w:rsidP="00017993">
      <w:pPr>
        <w:spacing w:after="120" w:line="259" w:lineRule="auto"/>
        <w:ind w:firstLine="720"/>
        <w:jc w:val="both"/>
        <w:rPr>
          <w:rFonts w:eastAsia="Times New Roman"/>
          <w:szCs w:val="22"/>
          <w:lang w:eastAsia="en-US"/>
          <w14:ligatures w14:val="standardContextual"/>
        </w:rPr>
      </w:pPr>
      <w:r w:rsidRPr="00307028">
        <w:rPr>
          <w:rFonts w:eastAsia="Times New Roman"/>
          <w:szCs w:val="22"/>
          <w:lang w:eastAsia="en-US"/>
          <w14:ligatures w14:val="standardContextual"/>
        </w:rPr>
        <w:t xml:space="preserve">Atbilstoši VM iesniegtajai informācijai prognozēts, ka 2023. gadā PP finansējums tiks izlietots 86,5% apmērā. Ņemot vērā PP piešķirtā finansējuma izpildes tendences, tiek prognozēts, ka 2023. gadā paredzētais finansējums PP īstenošanai netiks apgūts pilnā apmērā, veidojot resursus citu veselības nozaru prioritāro pasākumu īstenošanai 673 096 </w:t>
      </w:r>
      <w:r w:rsidRPr="00307028">
        <w:rPr>
          <w:rFonts w:eastAsia="Times New Roman"/>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51F46A19" w14:textId="77777777" w:rsidR="00267B87" w:rsidRDefault="00267B87" w:rsidP="00017993">
      <w:pPr>
        <w:spacing w:after="120" w:line="259" w:lineRule="auto"/>
        <w:ind w:firstLine="720"/>
        <w:jc w:val="both"/>
        <w:rPr>
          <w:rFonts w:eastAsia="Times New Roman"/>
          <w:szCs w:val="22"/>
          <w:lang w:eastAsia="en-US"/>
          <w14:ligatures w14:val="standardContextual"/>
        </w:rPr>
      </w:pPr>
    </w:p>
    <w:p w14:paraId="49693077" w14:textId="77777777" w:rsidR="00267B87" w:rsidRDefault="00267B87" w:rsidP="00017993">
      <w:pPr>
        <w:spacing w:after="120" w:line="259" w:lineRule="auto"/>
        <w:ind w:firstLine="720"/>
        <w:jc w:val="both"/>
        <w:rPr>
          <w:rFonts w:eastAsia="Times New Roman"/>
          <w:szCs w:val="22"/>
          <w:lang w:eastAsia="en-US"/>
          <w14:ligatures w14:val="standardContextual"/>
        </w:rPr>
      </w:pPr>
    </w:p>
    <w:p w14:paraId="1EBA2CC6" w14:textId="77777777" w:rsidR="00267B87" w:rsidRDefault="00267B87" w:rsidP="00017993">
      <w:pPr>
        <w:spacing w:after="120" w:line="259" w:lineRule="auto"/>
        <w:ind w:firstLine="720"/>
        <w:jc w:val="both"/>
        <w:rPr>
          <w:rFonts w:eastAsia="Times New Roman"/>
          <w:szCs w:val="22"/>
          <w:lang w:eastAsia="en-US"/>
          <w14:ligatures w14:val="standardContextual"/>
        </w:rPr>
      </w:pPr>
    </w:p>
    <w:p w14:paraId="2DC16E3C" w14:textId="77777777" w:rsidR="00267B87" w:rsidRDefault="00267B87" w:rsidP="00017993">
      <w:pPr>
        <w:spacing w:after="120" w:line="259" w:lineRule="auto"/>
        <w:ind w:firstLine="720"/>
        <w:jc w:val="both"/>
        <w:rPr>
          <w:rFonts w:eastAsia="Times New Roman"/>
          <w:szCs w:val="22"/>
          <w:lang w:eastAsia="en-US"/>
          <w14:ligatures w14:val="standardContextual"/>
        </w:rPr>
      </w:pPr>
    </w:p>
    <w:p w14:paraId="7AA9B3B0" w14:textId="77777777" w:rsidR="00267B87" w:rsidRPr="00307028" w:rsidRDefault="00267B87" w:rsidP="00017993">
      <w:pPr>
        <w:spacing w:after="120" w:line="259" w:lineRule="auto"/>
        <w:ind w:firstLine="720"/>
        <w:jc w:val="both"/>
        <w:rPr>
          <w:rFonts w:eastAsia="Times New Roman"/>
          <w:szCs w:val="22"/>
          <w:lang w:eastAsia="en-US"/>
          <w14:ligatures w14:val="standardContextual"/>
        </w:rPr>
      </w:pPr>
    </w:p>
    <w:p w14:paraId="6BD18FB2" w14:textId="5CBC5042" w:rsidR="00CD647B" w:rsidRPr="00307028" w:rsidRDefault="00CD647B" w:rsidP="00CD647B">
      <w:pPr>
        <w:tabs>
          <w:tab w:val="left" w:pos="1992"/>
        </w:tabs>
        <w:spacing w:after="120" w:line="254" w:lineRule="auto"/>
        <w:jc w:val="center"/>
        <w:rPr>
          <w:rFonts w:eastAsia="Times New Roman"/>
          <w:b/>
          <w:bCs/>
          <w:szCs w:val="22"/>
          <w:lang w:eastAsia="en-US"/>
        </w:rPr>
      </w:pPr>
      <w:r w:rsidRPr="00307028">
        <w:rPr>
          <w:rFonts w:eastAsia="Times New Roman"/>
          <w:b/>
          <w:bCs/>
          <w:i/>
          <w:iCs/>
          <w:sz w:val="22"/>
          <w:szCs w:val="22"/>
          <w:lang w:eastAsia="en-US"/>
        </w:rPr>
        <w:lastRenderedPageBreak/>
        <w:t>2.2.6. tabula</w:t>
      </w:r>
      <w:r w:rsidRPr="00307028">
        <w:rPr>
          <w:rFonts w:eastAsia="Times New Roman"/>
          <w:b/>
          <w:bCs/>
          <w:sz w:val="22"/>
          <w:szCs w:val="22"/>
          <w:lang w:eastAsia="en-US"/>
        </w:rPr>
        <w:t xml:space="preserve"> </w:t>
      </w:r>
      <w:r w:rsidRPr="00307028">
        <w:rPr>
          <w:rFonts w:eastAsia="Times New Roman"/>
          <w:b/>
          <w:sz w:val="22"/>
          <w:szCs w:val="22"/>
          <w:lang w:eastAsia="en-US"/>
        </w:rPr>
        <w:t xml:space="preserve">PP “Pasākumi, lai samazinātu ilglaicīgu negatīvo ietekmi uz sabiedrības psihisko veselību, ko rada COVID-19 pandēmija” </w:t>
      </w:r>
      <w:r w:rsidRPr="00307028">
        <w:rPr>
          <w:rFonts w:eastAsia="Times New Roman"/>
          <w:b/>
          <w:bCs/>
          <w:sz w:val="22"/>
          <w:szCs w:val="22"/>
          <w:lang w:eastAsia="en-US"/>
        </w:rPr>
        <w:t>rezultatīvie rādītāji 2021. – 2023. gadam, skaits</w:t>
      </w:r>
    </w:p>
    <w:tbl>
      <w:tblPr>
        <w:tblW w:w="5055" w:type="pct"/>
        <w:tblCellMar>
          <w:left w:w="0" w:type="dxa"/>
          <w:right w:w="0" w:type="dxa"/>
        </w:tblCellMar>
        <w:tblLook w:val="0600" w:firstRow="0" w:lastRow="0" w:firstColumn="0" w:lastColumn="0" w:noHBand="1" w:noVBand="1"/>
      </w:tblPr>
      <w:tblGrid>
        <w:gridCol w:w="3566"/>
        <w:gridCol w:w="1165"/>
        <w:gridCol w:w="1427"/>
        <w:gridCol w:w="1534"/>
        <w:gridCol w:w="1469"/>
      </w:tblGrid>
      <w:tr w:rsidR="00CD647B" w:rsidRPr="00307028" w14:paraId="7F3B8E1F" w14:textId="77777777" w:rsidTr="0017150F">
        <w:trPr>
          <w:trHeight w:val="175"/>
          <w:tblHeader/>
        </w:trPr>
        <w:tc>
          <w:tcPr>
            <w:tcW w:w="1946"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61829CDE" w14:textId="77777777" w:rsidR="00CD647B" w:rsidRPr="00307028" w:rsidRDefault="00CD647B" w:rsidP="00CD647B">
            <w:pPr>
              <w:tabs>
                <w:tab w:val="left" w:pos="1992"/>
              </w:tabs>
              <w:jc w:val="center"/>
              <w:rPr>
                <w:rFonts w:eastAsia="Times New Roman"/>
                <w:b/>
                <w:bCs/>
                <w:sz w:val="18"/>
                <w:szCs w:val="18"/>
                <w:lang w:eastAsia="en-US"/>
              </w:rPr>
            </w:pPr>
          </w:p>
        </w:tc>
        <w:tc>
          <w:tcPr>
            <w:tcW w:w="1415" w:type="pct"/>
            <w:gridSpan w:val="2"/>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tcPr>
          <w:p w14:paraId="6AC8DE91"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2022. gads</w:t>
            </w:r>
          </w:p>
        </w:tc>
        <w:tc>
          <w:tcPr>
            <w:tcW w:w="837" w:type="pct"/>
            <w:tcBorders>
              <w:top w:val="single" w:sz="4" w:space="0" w:color="000000"/>
              <w:left w:val="single" w:sz="4" w:space="0" w:color="000000"/>
              <w:bottom w:val="single" w:sz="4" w:space="0" w:color="000000"/>
              <w:right w:val="single" w:sz="4" w:space="0" w:color="000000"/>
            </w:tcBorders>
            <w:shd w:val="clear" w:color="auto" w:fill="85C2E0"/>
          </w:tcPr>
          <w:p w14:paraId="370F4C6C"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2023. gads</w:t>
            </w:r>
          </w:p>
        </w:tc>
        <w:tc>
          <w:tcPr>
            <w:tcW w:w="802" w:type="pct"/>
            <w:tcBorders>
              <w:top w:val="single" w:sz="4" w:space="0" w:color="000000"/>
              <w:left w:val="single" w:sz="4" w:space="0" w:color="000000"/>
              <w:bottom w:val="single" w:sz="4" w:space="0" w:color="000000"/>
              <w:right w:val="single" w:sz="4" w:space="0" w:color="000000"/>
            </w:tcBorders>
            <w:shd w:val="clear" w:color="auto" w:fill="85C2E0"/>
          </w:tcPr>
          <w:p w14:paraId="60F3ACDD"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2024. gads</w:t>
            </w:r>
          </w:p>
        </w:tc>
      </w:tr>
      <w:tr w:rsidR="00CD647B" w:rsidRPr="00307028" w14:paraId="175F8C36" w14:textId="77777777" w:rsidTr="0017150F">
        <w:trPr>
          <w:trHeight w:val="175"/>
          <w:tblHeader/>
        </w:trPr>
        <w:tc>
          <w:tcPr>
            <w:tcW w:w="1946"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2AC8346C"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Rezultatīvais rādītājs</w:t>
            </w:r>
          </w:p>
        </w:tc>
        <w:tc>
          <w:tcPr>
            <w:tcW w:w="636"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5D8FE222"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779" w:type="pct"/>
            <w:tcBorders>
              <w:top w:val="single" w:sz="4" w:space="0" w:color="000000"/>
              <w:left w:val="single" w:sz="4" w:space="0" w:color="000000"/>
              <w:bottom w:val="single" w:sz="4" w:space="0" w:color="000000"/>
              <w:right w:val="single" w:sz="4" w:space="0" w:color="000000"/>
            </w:tcBorders>
            <w:shd w:val="clear" w:color="auto" w:fill="85C2E0"/>
            <w:tcMar>
              <w:top w:w="15" w:type="dxa"/>
              <w:left w:w="15" w:type="dxa"/>
              <w:bottom w:w="0" w:type="dxa"/>
              <w:right w:w="15" w:type="dxa"/>
            </w:tcMar>
            <w:vAlign w:val="center"/>
            <w:hideMark/>
          </w:tcPr>
          <w:p w14:paraId="73E31674"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izpilde</w:t>
            </w:r>
          </w:p>
        </w:tc>
        <w:tc>
          <w:tcPr>
            <w:tcW w:w="837" w:type="pct"/>
            <w:tcBorders>
              <w:top w:val="single" w:sz="4" w:space="0" w:color="000000"/>
              <w:left w:val="single" w:sz="4" w:space="0" w:color="000000"/>
              <w:bottom w:val="single" w:sz="4" w:space="0" w:color="000000"/>
              <w:right w:val="single" w:sz="4" w:space="0" w:color="000000"/>
            </w:tcBorders>
            <w:shd w:val="clear" w:color="auto" w:fill="85C2E0"/>
          </w:tcPr>
          <w:p w14:paraId="69E153C1"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c>
          <w:tcPr>
            <w:tcW w:w="802" w:type="pct"/>
            <w:tcBorders>
              <w:top w:val="single" w:sz="4" w:space="0" w:color="000000"/>
              <w:left w:val="single" w:sz="4" w:space="0" w:color="000000"/>
              <w:bottom w:val="single" w:sz="4" w:space="0" w:color="000000"/>
              <w:right w:val="single" w:sz="4" w:space="0" w:color="000000"/>
            </w:tcBorders>
            <w:shd w:val="clear" w:color="auto" w:fill="85C2E0"/>
          </w:tcPr>
          <w:p w14:paraId="0456F772" w14:textId="77777777" w:rsidR="00CD647B" w:rsidRPr="00307028" w:rsidRDefault="00CD647B" w:rsidP="00CD647B">
            <w:pPr>
              <w:tabs>
                <w:tab w:val="left" w:pos="1992"/>
              </w:tabs>
              <w:jc w:val="center"/>
              <w:rPr>
                <w:rFonts w:eastAsia="Times New Roman"/>
                <w:b/>
                <w:bCs/>
                <w:sz w:val="18"/>
                <w:szCs w:val="18"/>
                <w:lang w:eastAsia="en-US"/>
              </w:rPr>
            </w:pPr>
            <w:r w:rsidRPr="00307028">
              <w:rPr>
                <w:rFonts w:eastAsia="Times New Roman"/>
                <w:b/>
                <w:bCs/>
                <w:sz w:val="18"/>
                <w:szCs w:val="18"/>
                <w:lang w:eastAsia="en-US"/>
              </w:rPr>
              <w:t>plāns</w:t>
            </w:r>
          </w:p>
        </w:tc>
      </w:tr>
      <w:tr w:rsidR="00CD647B" w:rsidRPr="00307028" w14:paraId="22C37AA8" w14:textId="77777777" w:rsidTr="002A577C">
        <w:trPr>
          <w:trHeight w:val="453"/>
          <w:tblHeader/>
        </w:trPr>
        <w:tc>
          <w:tcPr>
            <w:tcW w:w="19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92A525" w14:textId="77777777" w:rsidR="00CD647B" w:rsidRPr="00307028" w:rsidRDefault="00CD647B" w:rsidP="00CD647B">
            <w:pPr>
              <w:tabs>
                <w:tab w:val="left" w:pos="1992"/>
              </w:tabs>
              <w:ind w:left="126" w:right="153"/>
              <w:jc w:val="both"/>
              <w:rPr>
                <w:rFonts w:eastAsia="Times New Roman"/>
                <w:sz w:val="18"/>
                <w:szCs w:val="18"/>
                <w:lang w:eastAsia="en-US"/>
              </w:rPr>
            </w:pPr>
            <w:r w:rsidRPr="00307028">
              <w:rPr>
                <w:rFonts w:eastAsia="Times New Roman"/>
                <w:sz w:val="18"/>
                <w:szCs w:val="18"/>
                <w:lang w:eastAsia="en-US"/>
              </w:rPr>
              <w:t>Uzlabota pacientu ar psihiskiem un uzvedības traucējumiem aprūpe ģimenes ārstu praksēs</w:t>
            </w:r>
          </w:p>
        </w:tc>
        <w:tc>
          <w:tcPr>
            <w:tcW w:w="63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D658C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35 676</w:t>
            </w:r>
          </w:p>
        </w:tc>
        <w:tc>
          <w:tcPr>
            <w:tcW w:w="7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17B59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1 810***</w:t>
            </w:r>
          </w:p>
        </w:tc>
        <w:tc>
          <w:tcPr>
            <w:tcW w:w="837" w:type="pct"/>
            <w:tcBorders>
              <w:top w:val="single" w:sz="4" w:space="0" w:color="000000"/>
              <w:left w:val="single" w:sz="4" w:space="0" w:color="000000"/>
              <w:bottom w:val="single" w:sz="4" w:space="0" w:color="000000"/>
              <w:right w:val="single" w:sz="4" w:space="0" w:color="000000"/>
            </w:tcBorders>
            <w:vAlign w:val="center"/>
          </w:tcPr>
          <w:p w14:paraId="519D19CC"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35 676</w:t>
            </w:r>
          </w:p>
        </w:tc>
        <w:tc>
          <w:tcPr>
            <w:tcW w:w="802" w:type="pct"/>
            <w:tcBorders>
              <w:top w:val="single" w:sz="4" w:space="0" w:color="000000"/>
              <w:left w:val="single" w:sz="4" w:space="0" w:color="000000"/>
              <w:bottom w:val="single" w:sz="4" w:space="0" w:color="000000"/>
              <w:right w:val="single" w:sz="4" w:space="0" w:color="000000"/>
            </w:tcBorders>
            <w:vAlign w:val="center"/>
          </w:tcPr>
          <w:p w14:paraId="12F381B3"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35 676</w:t>
            </w:r>
          </w:p>
        </w:tc>
      </w:tr>
      <w:tr w:rsidR="00CD647B" w:rsidRPr="00307028" w14:paraId="5FD17F92" w14:textId="77777777" w:rsidTr="002A577C">
        <w:trPr>
          <w:trHeight w:val="175"/>
          <w:tblHeader/>
        </w:trPr>
        <w:tc>
          <w:tcPr>
            <w:tcW w:w="19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455593" w14:textId="77777777" w:rsidR="00CD647B" w:rsidRPr="00307028" w:rsidRDefault="00CD647B" w:rsidP="00CD647B">
            <w:pPr>
              <w:tabs>
                <w:tab w:val="left" w:pos="1992"/>
              </w:tabs>
              <w:ind w:left="126" w:right="153"/>
              <w:jc w:val="both"/>
              <w:rPr>
                <w:rFonts w:eastAsia="Times New Roman"/>
                <w:sz w:val="18"/>
                <w:szCs w:val="18"/>
                <w:lang w:eastAsia="en-US"/>
              </w:rPr>
            </w:pPr>
            <w:r w:rsidRPr="00307028">
              <w:rPr>
                <w:rFonts w:eastAsia="Times New Roman"/>
                <w:sz w:val="18"/>
                <w:szCs w:val="18"/>
                <w:lang w:eastAsia="en-US"/>
              </w:rPr>
              <w:t>Sniegtas valsts apmaksātās klīniskā un veselības psihologa konsultācijas</w:t>
            </w:r>
          </w:p>
        </w:tc>
        <w:tc>
          <w:tcPr>
            <w:tcW w:w="63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F0BA60"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58 696</w:t>
            </w:r>
          </w:p>
        </w:tc>
        <w:tc>
          <w:tcPr>
            <w:tcW w:w="7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2AC3C7"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21 390</w:t>
            </w:r>
          </w:p>
        </w:tc>
        <w:tc>
          <w:tcPr>
            <w:tcW w:w="837" w:type="pct"/>
            <w:tcBorders>
              <w:top w:val="single" w:sz="4" w:space="0" w:color="000000"/>
              <w:left w:val="single" w:sz="4" w:space="0" w:color="000000"/>
              <w:bottom w:val="single" w:sz="4" w:space="0" w:color="000000"/>
              <w:right w:val="single" w:sz="4" w:space="0" w:color="000000"/>
            </w:tcBorders>
            <w:vAlign w:val="center"/>
          </w:tcPr>
          <w:p w14:paraId="67A56708"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58 696</w:t>
            </w:r>
          </w:p>
        </w:tc>
        <w:tc>
          <w:tcPr>
            <w:tcW w:w="802" w:type="pct"/>
            <w:tcBorders>
              <w:top w:val="single" w:sz="4" w:space="0" w:color="000000"/>
              <w:left w:val="single" w:sz="4" w:space="0" w:color="000000"/>
              <w:bottom w:val="single" w:sz="4" w:space="0" w:color="000000"/>
              <w:right w:val="single" w:sz="4" w:space="0" w:color="000000"/>
            </w:tcBorders>
            <w:vAlign w:val="center"/>
          </w:tcPr>
          <w:p w14:paraId="4F6E918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58 696</w:t>
            </w:r>
          </w:p>
        </w:tc>
      </w:tr>
      <w:tr w:rsidR="00CD647B" w:rsidRPr="00307028" w14:paraId="06F54B0F" w14:textId="77777777" w:rsidTr="002A577C">
        <w:trPr>
          <w:trHeight w:val="175"/>
          <w:tblHeader/>
        </w:trPr>
        <w:tc>
          <w:tcPr>
            <w:tcW w:w="19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17DF3B" w14:textId="77777777" w:rsidR="00CD647B" w:rsidRPr="00307028" w:rsidRDefault="00CD647B" w:rsidP="00CD647B">
            <w:pPr>
              <w:tabs>
                <w:tab w:val="left" w:pos="1992"/>
              </w:tabs>
              <w:ind w:left="126" w:right="153"/>
              <w:jc w:val="both"/>
              <w:rPr>
                <w:rFonts w:eastAsia="Times New Roman"/>
                <w:sz w:val="18"/>
                <w:szCs w:val="18"/>
                <w:lang w:eastAsia="en-US"/>
              </w:rPr>
            </w:pPr>
            <w:r w:rsidRPr="00307028">
              <w:rPr>
                <w:rFonts w:eastAsia="Times New Roman"/>
                <w:sz w:val="18"/>
                <w:szCs w:val="18"/>
                <w:lang w:eastAsia="en-US"/>
              </w:rPr>
              <w:t>Stiprinātas psihiatru prakses, uzlabota psihiskās veselības aprūpes pieejamība</w:t>
            </w:r>
          </w:p>
        </w:tc>
        <w:tc>
          <w:tcPr>
            <w:tcW w:w="63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DB901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29,5</w:t>
            </w:r>
          </w:p>
        </w:tc>
        <w:tc>
          <w:tcPr>
            <w:tcW w:w="7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335192"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23,5</w:t>
            </w:r>
          </w:p>
        </w:tc>
        <w:tc>
          <w:tcPr>
            <w:tcW w:w="837" w:type="pct"/>
            <w:tcBorders>
              <w:top w:val="single" w:sz="4" w:space="0" w:color="000000"/>
              <w:left w:val="single" w:sz="4" w:space="0" w:color="000000"/>
              <w:bottom w:val="single" w:sz="4" w:space="0" w:color="000000"/>
              <w:right w:val="single" w:sz="4" w:space="0" w:color="000000"/>
            </w:tcBorders>
            <w:vAlign w:val="center"/>
          </w:tcPr>
          <w:p w14:paraId="32CD13A6"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29,5</w:t>
            </w:r>
          </w:p>
        </w:tc>
        <w:tc>
          <w:tcPr>
            <w:tcW w:w="802" w:type="pct"/>
            <w:tcBorders>
              <w:top w:val="single" w:sz="4" w:space="0" w:color="000000"/>
              <w:left w:val="single" w:sz="4" w:space="0" w:color="000000"/>
              <w:bottom w:val="single" w:sz="4" w:space="0" w:color="000000"/>
              <w:right w:val="single" w:sz="4" w:space="0" w:color="000000"/>
            </w:tcBorders>
            <w:vAlign w:val="center"/>
          </w:tcPr>
          <w:p w14:paraId="00779755" w14:textId="77777777" w:rsidR="00CD647B" w:rsidRPr="00307028" w:rsidRDefault="00CD647B" w:rsidP="00CD647B">
            <w:pPr>
              <w:tabs>
                <w:tab w:val="left" w:pos="1992"/>
              </w:tabs>
              <w:jc w:val="center"/>
              <w:rPr>
                <w:rFonts w:eastAsia="Times New Roman"/>
                <w:sz w:val="18"/>
                <w:szCs w:val="18"/>
                <w:lang w:eastAsia="en-US"/>
              </w:rPr>
            </w:pPr>
            <w:r w:rsidRPr="00307028">
              <w:rPr>
                <w:rFonts w:eastAsia="Times New Roman"/>
                <w:sz w:val="18"/>
                <w:szCs w:val="18"/>
                <w:lang w:eastAsia="en-US"/>
              </w:rPr>
              <w:t>29,5</w:t>
            </w:r>
          </w:p>
        </w:tc>
      </w:tr>
    </w:tbl>
    <w:p w14:paraId="0B4D3441" w14:textId="00FBFA4D" w:rsidR="00CD647B" w:rsidRPr="00307028" w:rsidRDefault="00CD647B" w:rsidP="00CD647B">
      <w:pPr>
        <w:spacing w:before="120" w:after="120" w:line="259" w:lineRule="auto"/>
        <w:jc w:val="both"/>
        <w:rPr>
          <w:rFonts w:eastAsia="Times New Roman"/>
          <w:szCs w:val="22"/>
          <w:lang w:eastAsia="en-US"/>
          <w14:ligatures w14:val="standardContextual"/>
        </w:rPr>
      </w:pPr>
      <w:r w:rsidRPr="00307028">
        <w:rPr>
          <w:rFonts w:eastAsia="Times New Roman"/>
          <w:b/>
          <w:bCs/>
          <w:sz w:val="18"/>
          <w:szCs w:val="18"/>
          <w:lang w:eastAsia="en-US"/>
        </w:rPr>
        <w:t xml:space="preserve">*** </w:t>
      </w:r>
      <w:r w:rsidRPr="00307028">
        <w:rPr>
          <w:rFonts w:eastAsia="Times New Roman"/>
          <w:sz w:val="18"/>
          <w:szCs w:val="18"/>
          <w:lang w:eastAsia="en-US"/>
        </w:rPr>
        <w:t>Atbilstoši</w:t>
      </w:r>
      <w:r w:rsidRPr="00307028">
        <w:rPr>
          <w:rFonts w:eastAsia="Times New Roman"/>
          <w:b/>
          <w:bCs/>
          <w:sz w:val="18"/>
          <w:szCs w:val="18"/>
          <w:lang w:eastAsia="en-US"/>
        </w:rPr>
        <w:t xml:space="preserve"> </w:t>
      </w:r>
      <w:r w:rsidRPr="00307028">
        <w:rPr>
          <w:rFonts w:eastAsia="Times New Roman"/>
          <w:sz w:val="18"/>
          <w:szCs w:val="18"/>
          <w:lang w:eastAsia="en-US"/>
          <w14:ligatures w14:val="standardContextual"/>
        </w:rPr>
        <w:t xml:space="preserve">VM sniegtajai informācijai pakalpojuma apjomu 2022. gadā ietekmēja Covid-19 vakcinācijas aptveres palielinājums, kas samazināja smago pacientu skaitu, līdz ar </w:t>
      </w:r>
      <w:r w:rsidR="00FF13D6" w:rsidRPr="00307028">
        <w:rPr>
          <w:rFonts w:eastAsia="Times New Roman"/>
          <w:sz w:val="18"/>
          <w:szCs w:val="18"/>
          <w:lang w:eastAsia="en-US"/>
          <w14:ligatures w14:val="standardContextual"/>
        </w:rPr>
        <w:t>t</w:t>
      </w:r>
      <w:r w:rsidRPr="00307028">
        <w:rPr>
          <w:rFonts w:eastAsia="Times New Roman"/>
          <w:sz w:val="18"/>
          <w:szCs w:val="18"/>
          <w:lang w:eastAsia="en-US"/>
          <w14:ligatures w14:val="standardContextual"/>
        </w:rPr>
        <w:t xml:space="preserve">o ģimenes ārstiem nebija nepieciešama ārsta-speciālista attālināta konsultācija pacientu ārstēšanas procesā, kā arī ne visiem ģimenes ārstiem ir zināšanas, lai nodrošinātu pilnvērtīgu pacientu ar psihiskiem uzvedības traucējumiem uzraudzīšanu. Līdz ar to </w:t>
      </w:r>
      <w:r w:rsidR="00FF13D6" w:rsidRPr="00307028">
        <w:rPr>
          <w:rFonts w:eastAsia="Times New Roman"/>
          <w:sz w:val="18"/>
          <w:szCs w:val="18"/>
          <w:lang w:eastAsia="en-US"/>
          <w14:ligatures w14:val="standardContextual"/>
        </w:rPr>
        <w:t>pa</w:t>
      </w:r>
      <w:r w:rsidRPr="00307028">
        <w:rPr>
          <w:rFonts w:eastAsia="Times New Roman"/>
          <w:sz w:val="18"/>
          <w:szCs w:val="18"/>
          <w:lang w:eastAsia="en-US"/>
          <w14:ligatures w14:val="standardContextual"/>
        </w:rPr>
        <w:t>kalpojums netika nodrošināts plānotajā apjomā. Vienlaikus notiek regulārs darbs, lai ģimenes ārstus apmācītu un attīstītu ģimenes ārstu prasmes, gan izstrādājot algoritmus, gan organizējot seminārus.</w:t>
      </w:r>
      <w:r w:rsidRPr="00307028">
        <w:rPr>
          <w:rFonts w:eastAsia="Times New Roman"/>
          <w:szCs w:val="22"/>
          <w:lang w:eastAsia="en-US"/>
          <w14:ligatures w14:val="standardContextual"/>
        </w:rPr>
        <w:t xml:space="preserve"> </w:t>
      </w:r>
    </w:p>
    <w:p w14:paraId="2BDA4A43" w14:textId="59EBB0A5" w:rsidR="00CD647B" w:rsidRPr="00307028" w:rsidRDefault="00CD647B" w:rsidP="00CD647B">
      <w:pPr>
        <w:tabs>
          <w:tab w:val="left" w:pos="851"/>
        </w:tabs>
        <w:spacing w:before="120" w:after="160" w:line="259" w:lineRule="auto"/>
        <w:jc w:val="both"/>
        <w:rPr>
          <w:rFonts w:eastAsia="Times New Roman"/>
          <w:szCs w:val="22"/>
          <w:lang w:eastAsia="en-US"/>
          <w14:ligatures w14:val="standardContextual"/>
        </w:rPr>
      </w:pPr>
      <w:r w:rsidRPr="00307028">
        <w:rPr>
          <w:rFonts w:eastAsia="Times New Roman"/>
          <w:szCs w:val="22"/>
          <w:lang w:eastAsia="en-US"/>
          <w14:ligatures w14:val="standardContextual"/>
        </w:rPr>
        <w:tab/>
        <w:t>Ja pieņem, ka 2024. gadā un turpmāk ik gadu PP piešķirtā finansējuma izpilde saglabājas 2023.</w:t>
      </w:r>
      <w:r w:rsidR="00575136" w:rsidRPr="00307028">
        <w:rPr>
          <w:rFonts w:eastAsia="Times New Roman"/>
          <w:szCs w:val="22"/>
          <w:lang w:eastAsia="en-US"/>
          <w14:ligatures w14:val="standardContextual"/>
        </w:rPr>
        <w:t xml:space="preserve"> </w:t>
      </w:r>
      <w:r w:rsidRPr="00307028">
        <w:rPr>
          <w:rFonts w:eastAsia="Times New Roman"/>
          <w:szCs w:val="22"/>
          <w:lang w:eastAsia="en-US"/>
          <w14:ligatures w14:val="standardContextual"/>
        </w:rPr>
        <w:t xml:space="preserve">gada līmenī, tad prognozējams, ka 2024. gadā un turpmāk ik gadu veidosies pieejamie resursi citu veselības nozaru prioritāro pasākumu īstenošanai </w:t>
      </w:r>
      <w:r w:rsidRPr="00307028">
        <w:rPr>
          <w:rFonts w:eastAsia="Times New Roman"/>
          <w:b/>
          <w:bCs/>
          <w:szCs w:val="22"/>
          <w:lang w:eastAsia="en-US"/>
          <w14:ligatures w14:val="standardContextual"/>
        </w:rPr>
        <w:t xml:space="preserve">673 096 </w:t>
      </w:r>
      <w:r w:rsidRPr="00307028">
        <w:rPr>
          <w:rFonts w:eastAsia="Times New Roman"/>
          <w:b/>
          <w:bCs/>
          <w:i/>
          <w:iCs/>
          <w:szCs w:val="22"/>
          <w:lang w:eastAsia="en-US"/>
          <w14:ligatures w14:val="standardContextual"/>
        </w:rPr>
        <w:t>euro</w:t>
      </w:r>
      <w:r w:rsidRPr="00307028">
        <w:rPr>
          <w:rFonts w:eastAsia="Times New Roman"/>
          <w:szCs w:val="22"/>
          <w:lang w:eastAsia="en-US"/>
          <w14:ligatures w14:val="standardContextual"/>
        </w:rPr>
        <w:t xml:space="preserve"> apmērā.</w:t>
      </w:r>
    </w:p>
    <w:p w14:paraId="13372FD5" w14:textId="77777777" w:rsidR="0017150F" w:rsidRDefault="0017150F" w:rsidP="00CD647B">
      <w:pPr>
        <w:tabs>
          <w:tab w:val="left" w:pos="851"/>
        </w:tabs>
        <w:spacing w:before="120" w:after="160" w:line="259" w:lineRule="auto"/>
        <w:jc w:val="both"/>
        <w:rPr>
          <w:rFonts w:eastAsia="Times New Roman"/>
          <w:szCs w:val="22"/>
          <w:lang w:eastAsia="en-US"/>
          <w14:ligatures w14:val="standardContextual"/>
        </w:rPr>
      </w:pPr>
    </w:p>
    <w:p w14:paraId="525180FA" w14:textId="5F0C921E" w:rsidR="00153CC3" w:rsidRPr="00307028" w:rsidRDefault="00BD3847" w:rsidP="00C1691E">
      <w:pPr>
        <w:pStyle w:val="Heading3"/>
        <w:ind w:left="0"/>
      </w:pPr>
      <w:bookmarkStart w:id="115" w:name="_Toc115444021"/>
      <w:bookmarkStart w:id="116" w:name="_Toc142492927"/>
      <w:r w:rsidRPr="00307028">
        <w:t xml:space="preserve">2.3. </w:t>
      </w:r>
      <w:r w:rsidR="004B68FE" w:rsidRPr="00307028">
        <w:t xml:space="preserve">Pamatbudžeta pamatfunkciju darbības rezultatīvo rādītāju </w:t>
      </w:r>
      <w:r w:rsidR="000C0BF7" w:rsidRPr="00307028">
        <w:t xml:space="preserve">2022. gada izpildes </w:t>
      </w:r>
      <w:r w:rsidR="004B68FE" w:rsidRPr="00307028">
        <w:t>analīze</w:t>
      </w:r>
      <w:bookmarkEnd w:id="115"/>
      <w:bookmarkEnd w:id="116"/>
    </w:p>
    <w:p w14:paraId="3AF3E2D5" w14:textId="20F7BCBE" w:rsidR="000C0BF7" w:rsidRPr="00307028" w:rsidRDefault="000C0BF7" w:rsidP="000C0BF7">
      <w:pPr>
        <w:spacing w:after="120" w:line="259" w:lineRule="auto"/>
        <w:ind w:firstLine="720"/>
        <w:jc w:val="both"/>
        <w:rPr>
          <w:rFonts w:eastAsia="Times New Roman"/>
          <w:lang w:eastAsia="en-US"/>
        </w:rPr>
      </w:pPr>
      <w:r w:rsidRPr="00307028">
        <w:rPr>
          <w:rFonts w:eastAsia="Times New Roman"/>
          <w:lang w:eastAsia="en-US"/>
        </w:rPr>
        <w:t>Saskaņā ar MK noteikumiem</w:t>
      </w:r>
      <w:r w:rsidRPr="00307028">
        <w:rPr>
          <w:rFonts w:eastAsia="Times New Roman"/>
          <w:vertAlign w:val="superscript"/>
          <w:lang w:eastAsia="en-US"/>
        </w:rPr>
        <w:footnoteReference w:id="10"/>
      </w:r>
      <w:r w:rsidRPr="00307028">
        <w:rPr>
          <w:rFonts w:eastAsia="Times New Roman"/>
          <w:lang w:eastAsia="en-US"/>
        </w:rPr>
        <w:t xml:space="preserve"> informāciju par valsts budžeta programmu rezultātu izpildi iestāde katru gadu iesniedz FM atbilstoši MK instrukcijai</w:t>
      </w:r>
      <w:r w:rsidRPr="00307028">
        <w:rPr>
          <w:rFonts w:eastAsia="Times New Roman"/>
          <w:vertAlign w:val="superscript"/>
          <w:lang w:eastAsia="en-US"/>
        </w:rPr>
        <w:footnoteReference w:id="11"/>
      </w:r>
      <w:r w:rsidRPr="00307028">
        <w:rPr>
          <w:rFonts w:eastAsia="Times New Roman"/>
          <w:lang w:eastAsia="en-US"/>
        </w:rPr>
        <w:t xml:space="preserve"> par kārtējā gada valsts budžeta izpildes analīzi. Saņemot no </w:t>
      </w:r>
      <w:bookmarkStart w:id="117" w:name="_Hlk104972182"/>
      <w:r w:rsidRPr="00307028">
        <w:rPr>
          <w:rFonts w:eastAsia="Times New Roman"/>
          <w:lang w:eastAsia="en-US"/>
        </w:rPr>
        <w:t xml:space="preserve">resoriem </w:t>
      </w:r>
      <w:bookmarkEnd w:id="117"/>
      <w:r w:rsidRPr="00307028">
        <w:rPr>
          <w:rFonts w:eastAsia="Times New Roman"/>
          <w:lang w:eastAsia="en-US"/>
        </w:rPr>
        <w:t xml:space="preserve">rezultatīvo rādītāju izpildes informāciju, FM to nepieciešamības gadījumā lūdz precizēt, apkopo un analizē, kā arī sagatavo publicēšanai </w:t>
      </w:r>
      <w:r w:rsidR="00A91DF3" w:rsidRPr="00307028">
        <w:rPr>
          <w:rFonts w:eastAsiaTheme="minorHAnsi"/>
          <w:kern w:val="2"/>
          <w:lang w:eastAsia="en-US"/>
          <w14:ligatures w14:val="standardContextual"/>
        </w:rPr>
        <w:t>Latvijas</w:t>
      </w:r>
      <w:r w:rsidR="00A91DF3" w:rsidRPr="00307028">
        <w:rPr>
          <w:rFonts w:eastAsia="Times New Roman"/>
          <w:lang w:eastAsia="en-US"/>
        </w:rPr>
        <w:t xml:space="preserve"> </w:t>
      </w:r>
      <w:r w:rsidRPr="00307028">
        <w:rPr>
          <w:rFonts w:eastAsia="Times New Roman"/>
          <w:lang w:eastAsia="en-US"/>
        </w:rPr>
        <w:t>Atvērto datu portālā</w:t>
      </w:r>
      <w:r w:rsidRPr="00307028">
        <w:rPr>
          <w:rFonts w:eastAsia="Times New Roman"/>
          <w:vertAlign w:val="superscript"/>
          <w:lang w:eastAsia="en-US"/>
        </w:rPr>
        <w:footnoteReference w:id="12"/>
      </w:r>
      <w:r w:rsidRPr="00307028">
        <w:rPr>
          <w:rFonts w:eastAsia="Times New Roman"/>
          <w:lang w:eastAsia="en-US"/>
        </w:rPr>
        <w:t>.</w:t>
      </w:r>
    </w:p>
    <w:p w14:paraId="4AC55D8B" w14:textId="7C6A8C8D" w:rsidR="000C0BF7" w:rsidRPr="00307028" w:rsidRDefault="000C0BF7" w:rsidP="00DE4FDE">
      <w:pPr>
        <w:spacing w:after="120" w:line="259" w:lineRule="auto"/>
        <w:ind w:firstLine="720"/>
        <w:jc w:val="both"/>
        <w:rPr>
          <w:rFonts w:eastAsia="Times New Roman"/>
          <w:lang w:eastAsia="en-US"/>
        </w:rPr>
      </w:pPr>
      <w:r w:rsidRPr="00307028">
        <w:rPr>
          <w:rFonts w:eastAsia="Times New Roman"/>
          <w:lang w:eastAsia="en-US"/>
        </w:rPr>
        <w:t xml:space="preserve">Līdzīgi kā pagājušajā gadā, arī šogad, lai sniegtu sabiedrībai ieskatu par materiālo un nemateriālo labumu, kuru tā un valsts kopumā gūst, izlietojot valsts budžeta līdzekļus, kā viena no izdevumu pārskatīšanas sastāvdaļām informatīvajā ziņojumā tiek iekļauta pamatbudžeta pamatfunkciju </w:t>
      </w:r>
      <w:r w:rsidR="00575136" w:rsidRPr="00307028">
        <w:rPr>
          <w:rFonts w:eastAsia="Times New Roman"/>
          <w:lang w:eastAsia="en-US"/>
        </w:rPr>
        <w:t>DRR</w:t>
      </w:r>
      <w:r w:rsidRPr="00307028">
        <w:rPr>
          <w:rFonts w:eastAsia="Times New Roman"/>
          <w:lang w:eastAsia="en-US"/>
        </w:rPr>
        <w:t xml:space="preserve"> izpildes analīze. Kopumā 2022. gada budžeta paskaidrojumos iekļauti 1 646 DRR un vidējā DRR izpilde 2022. gadā ir 90,0%.</w:t>
      </w:r>
    </w:p>
    <w:p w14:paraId="4E2D6DF8" w14:textId="6AA924C4" w:rsidR="000C0BF7" w:rsidRPr="00307028" w:rsidRDefault="000C0BF7"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 attēls</w:t>
      </w:r>
      <w:r w:rsidRPr="00307028">
        <w:rPr>
          <w:rFonts w:eastAsia="Times New Roman"/>
          <w:b/>
          <w:bCs/>
          <w:sz w:val="22"/>
          <w:szCs w:val="22"/>
          <w:lang w:eastAsia="en-US"/>
        </w:rPr>
        <w:t xml:space="preserve"> Pamatbudžeta pamatfunkciju DRR un izdevumu izpildes līmenis</w:t>
      </w:r>
      <w:r w:rsidRPr="00307028">
        <w:rPr>
          <w:rFonts w:eastAsia="Times New Roman"/>
          <w:b/>
          <w:bCs/>
          <w:sz w:val="22"/>
          <w:szCs w:val="22"/>
          <w:vertAlign w:val="superscript"/>
          <w:lang w:eastAsia="en-US"/>
        </w:rPr>
        <w:footnoteReference w:id="13"/>
      </w:r>
      <w:r w:rsidRPr="00307028">
        <w:rPr>
          <w:rFonts w:eastAsia="Times New Roman"/>
          <w:b/>
          <w:bCs/>
          <w:sz w:val="22"/>
          <w:szCs w:val="22"/>
          <w:lang w:eastAsia="en-US"/>
        </w:rPr>
        <w:t xml:space="preserve"> (%)</w:t>
      </w:r>
    </w:p>
    <w:p w14:paraId="3FE0AD91" w14:textId="0E5BFF99" w:rsidR="000C0BF7" w:rsidRPr="00307028" w:rsidRDefault="000C0BF7" w:rsidP="000C0BF7">
      <w:pPr>
        <w:spacing w:after="120" w:line="259" w:lineRule="auto"/>
        <w:jc w:val="center"/>
        <w:rPr>
          <w:rFonts w:eastAsia="Times New Roman"/>
          <w:lang w:eastAsia="en-US"/>
        </w:rPr>
      </w:pPr>
      <w:r w:rsidRPr="00307028">
        <w:rPr>
          <w:rFonts w:eastAsia="Times New Roman"/>
          <w:noProof/>
          <w:lang w:eastAsia="en-US"/>
        </w:rPr>
        <w:drawing>
          <wp:inline distT="0" distB="0" distL="0" distR="0" wp14:anchorId="2C292CD5" wp14:editId="7434B48F">
            <wp:extent cx="5314950" cy="2076450"/>
            <wp:effectExtent l="0" t="0" r="0" b="0"/>
            <wp:docPr id="795429366"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6F71CA" w14:textId="6FCE27D8" w:rsidR="000C0BF7" w:rsidRPr="00307028" w:rsidRDefault="000C0BF7" w:rsidP="000C0BF7">
      <w:pPr>
        <w:spacing w:after="120" w:line="259" w:lineRule="auto"/>
        <w:ind w:firstLine="720"/>
        <w:jc w:val="both"/>
        <w:rPr>
          <w:rFonts w:eastAsia="Times New Roman"/>
          <w:lang w:eastAsia="en-US"/>
        </w:rPr>
      </w:pPr>
      <w:r w:rsidRPr="00307028">
        <w:rPr>
          <w:rFonts w:eastAsia="Times New Roman"/>
          <w:lang w:eastAsia="en-US"/>
        </w:rPr>
        <w:lastRenderedPageBreak/>
        <w:t>Attēlā Nr. 2.3.1. redzama DRR izpildes korelācija ar izdevumu izpildes līmeni. Secināms, ka DRR izpildes līmenis analizētajos gados ir būtiski zemāks nekā izdevumu izpildes līmenis. DRR izpildes līmenis 2020. un 2021. gadā ir zem 90%, kas skaidrojams ar daudzu DRR būtisku neizpildi saistībā ar Covid-19 pandēmijas ietekmē ieviesto ārkārtējo situāciju, ierobežojumiem un epidemioloģisko pasākumu īstenošanu. 2018., 2019. un 2022. gadā DRR izpildes līmenis ir virs 90%. Savukārt izdevumu izpildes līmenis visos aplūkotajos gados ir ievērojami virs 90%, atsevišķos gados pat tuvu 100%.</w:t>
      </w:r>
    </w:p>
    <w:p w14:paraId="3B48BD72" w14:textId="5D2B5D84" w:rsidR="0017150F" w:rsidRPr="0017150F" w:rsidRDefault="000C0BF7" w:rsidP="000006F7">
      <w:pPr>
        <w:spacing w:after="120" w:line="259" w:lineRule="auto"/>
        <w:ind w:firstLine="720"/>
        <w:jc w:val="both"/>
        <w:rPr>
          <w:rFonts w:eastAsia="Times New Roman"/>
          <w:lang w:eastAsia="en-US"/>
        </w:rPr>
      </w:pPr>
      <w:bookmarkStart w:id="118" w:name="_Hlk141259782"/>
      <w:r w:rsidRPr="00307028">
        <w:rPr>
          <w:rFonts w:eastAsia="Times New Roman"/>
          <w:lang w:eastAsia="en-US"/>
        </w:rPr>
        <w:t>Ņemot vērā, ka DRR tiek definēti un to plānotās vērtības tiek noteiktas, pamatojoties uz programmas finansējuma apmēru, tad arī DRR izpildes līmenim būtu jābūt vienādā vai līdzīgā apmērā ar izdevumu izpildes līmeni. Līdz ar to resoriem kā mērķis izvirzāms, ka DRR izpildes līmenis pakāpeniski sasniedz izdevumu izpildes līmeni.</w:t>
      </w:r>
      <w:bookmarkEnd w:id="118"/>
    </w:p>
    <w:p w14:paraId="79559147" w14:textId="7865A377" w:rsidR="000C0BF7" w:rsidRPr="00307028" w:rsidRDefault="000C0BF7" w:rsidP="00267B87">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2.3.2. attēls</w:t>
      </w:r>
      <w:r w:rsidRPr="00307028">
        <w:rPr>
          <w:rFonts w:eastAsia="Times New Roman"/>
          <w:b/>
          <w:bCs/>
          <w:sz w:val="22"/>
          <w:szCs w:val="22"/>
          <w:lang w:eastAsia="en-US"/>
        </w:rPr>
        <w:t xml:space="preserve"> P</w:t>
      </w:r>
      <w:bookmarkStart w:id="119" w:name="_Hlk104974081"/>
      <w:r w:rsidRPr="00307028">
        <w:rPr>
          <w:rFonts w:eastAsia="Times New Roman"/>
          <w:b/>
          <w:bCs/>
          <w:sz w:val="22"/>
          <w:szCs w:val="22"/>
          <w:lang w:eastAsia="en-US"/>
        </w:rPr>
        <w:t>amatbudžeta pamatfunkciju DRR izpildes līmenis</w:t>
      </w:r>
      <w:bookmarkEnd w:id="119"/>
      <w:r w:rsidRPr="00307028">
        <w:rPr>
          <w:rFonts w:eastAsia="Times New Roman"/>
          <w:b/>
          <w:bCs/>
          <w:sz w:val="22"/>
          <w:szCs w:val="22"/>
          <w:lang w:eastAsia="en-US"/>
        </w:rPr>
        <w:t xml:space="preserve"> 2022. gadā (%)</w:t>
      </w:r>
    </w:p>
    <w:p w14:paraId="62B35ABC" w14:textId="77777777" w:rsidR="000C0BF7" w:rsidRPr="00307028" w:rsidRDefault="000C0BF7" w:rsidP="000C0BF7">
      <w:pPr>
        <w:spacing w:after="120" w:line="259" w:lineRule="auto"/>
        <w:jc w:val="both"/>
        <w:rPr>
          <w:rFonts w:eastAsia="Times New Roman"/>
          <w:lang w:eastAsia="en-US"/>
        </w:rPr>
      </w:pPr>
      <w:r w:rsidRPr="00307028">
        <w:rPr>
          <w:rFonts w:eastAsia="Times New Roman"/>
          <w:noProof/>
          <w:szCs w:val="22"/>
          <w:lang w:eastAsia="en-US"/>
        </w:rPr>
        <w:drawing>
          <wp:inline distT="0" distB="0" distL="0" distR="0" wp14:anchorId="03BA064A" wp14:editId="5580872C">
            <wp:extent cx="5695950" cy="2419350"/>
            <wp:effectExtent l="0" t="0" r="0" b="0"/>
            <wp:docPr id="909253512" name="Chart 1">
              <a:extLst xmlns:a="http://schemas.openxmlformats.org/drawingml/2006/main">
                <a:ext uri="{FF2B5EF4-FFF2-40B4-BE49-F238E27FC236}">
                  <a16:creationId xmlns:a16="http://schemas.microsoft.com/office/drawing/2014/main" id="{7A497FE9-53D2-4A8A-B17C-3BFA6A29C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ACC793" w14:textId="77777777" w:rsidR="000C0BF7" w:rsidRPr="00307028" w:rsidRDefault="000C0BF7" w:rsidP="000C0BF7">
      <w:pPr>
        <w:spacing w:after="120" w:line="259" w:lineRule="auto"/>
        <w:ind w:firstLine="720"/>
        <w:jc w:val="both"/>
        <w:rPr>
          <w:rFonts w:eastAsia="Times New Roman"/>
          <w:lang w:eastAsia="en-US"/>
        </w:rPr>
      </w:pPr>
      <w:r w:rsidRPr="00307028">
        <w:rPr>
          <w:rFonts w:eastAsia="Times New Roman"/>
          <w:lang w:eastAsia="en-US"/>
        </w:rPr>
        <w:t>Kā redzams attēlā Nr. 2.3.2., 2022. gadā visaugstākais DRR izpildes līmenis ir VKo, ST un 62. resoram “Mērķdotācijas pašvaldībām” – 100% apmērā, savukārt viszemākais DRR izpildes analīze līmenis ir ĀM – 76,9% apmērā.</w:t>
      </w:r>
    </w:p>
    <w:p w14:paraId="1C620286" w14:textId="2502149C" w:rsidR="000C0BF7" w:rsidRPr="00307028" w:rsidRDefault="000C0BF7" w:rsidP="00555485">
      <w:pPr>
        <w:spacing w:line="259" w:lineRule="auto"/>
        <w:ind w:firstLine="720"/>
        <w:jc w:val="both"/>
        <w:rPr>
          <w:rFonts w:eastAsia="Times New Roman"/>
          <w:lang w:eastAsia="en-US"/>
        </w:rPr>
      </w:pPr>
      <w:r w:rsidRPr="00307028">
        <w:rPr>
          <w:rFonts w:eastAsia="Times New Roman"/>
          <w:lang w:eastAsia="en-US"/>
        </w:rPr>
        <w:t xml:space="preserve">Ņemot vērā, ka citām centrālajām valsts iestādēm DRR skaits ir salīdzinoši neliels un to, ka izdevumu pārskatīšanā galvenā uzmanība tiek vērsta uz ministriju izdevumu pārskatīšanu, turpmāk atsevišķi tiks analizēta katras ministrijas DRR izpilde. Detalizēta DRR izpildes informācija, tostarp arī par citām centrālajām valsts iestādēm, ir pieejama </w:t>
      </w:r>
      <w:r w:rsidR="00A91DF3" w:rsidRPr="00307028">
        <w:rPr>
          <w:rFonts w:eastAsiaTheme="minorHAnsi"/>
          <w:kern w:val="2"/>
          <w:lang w:eastAsia="en-US"/>
          <w14:ligatures w14:val="standardContextual"/>
        </w:rPr>
        <w:t>Latvijas</w:t>
      </w:r>
      <w:r w:rsidR="00A91DF3" w:rsidRPr="00307028">
        <w:rPr>
          <w:rFonts w:eastAsia="Times New Roman"/>
          <w:lang w:eastAsia="en-US"/>
        </w:rPr>
        <w:t xml:space="preserve"> </w:t>
      </w:r>
      <w:r w:rsidRPr="00307028">
        <w:rPr>
          <w:rFonts w:eastAsia="Times New Roman"/>
          <w:lang w:eastAsia="en-US"/>
        </w:rPr>
        <w:t>Atvērto datu portālā</w:t>
      </w:r>
      <w:r w:rsidRPr="00307028">
        <w:rPr>
          <w:rFonts w:eastAsia="Times New Roman"/>
          <w:vertAlign w:val="superscript"/>
          <w:lang w:eastAsia="en-US"/>
        </w:rPr>
        <w:footnoteReference w:id="14"/>
      </w:r>
      <w:r w:rsidRPr="00307028">
        <w:rPr>
          <w:rFonts w:eastAsia="Times New Roman"/>
          <w:lang w:eastAsia="en-US"/>
        </w:rPr>
        <w:t>.</w:t>
      </w:r>
    </w:p>
    <w:p w14:paraId="36D8518D" w14:textId="77777777" w:rsidR="00555485" w:rsidRPr="00307028" w:rsidRDefault="00555485" w:rsidP="00555485">
      <w:pPr>
        <w:spacing w:line="259" w:lineRule="auto"/>
        <w:ind w:firstLine="720"/>
        <w:jc w:val="both"/>
        <w:rPr>
          <w:rFonts w:eastAsia="Times New Roman"/>
          <w:lang w:eastAsia="en-US"/>
        </w:rPr>
      </w:pPr>
    </w:p>
    <w:p w14:paraId="26B05E1A"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Aizsardzības ministrija</w:t>
      </w:r>
    </w:p>
    <w:p w14:paraId="5716D6F9" w14:textId="7644E9D1"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AiM pamatbudžeta pamatfunkciju DRR izpilde 202</w:t>
      </w:r>
      <w:r w:rsidR="00D65A68" w:rsidRPr="00307028">
        <w:rPr>
          <w:rFonts w:eastAsia="Times New Roman"/>
          <w:lang w:eastAsia="en-US"/>
        </w:rPr>
        <w:t>2</w:t>
      </w:r>
      <w:r w:rsidRPr="00307028">
        <w:rPr>
          <w:rFonts w:eastAsia="Times New Roman"/>
          <w:lang w:eastAsia="en-US"/>
        </w:rPr>
        <w:t>. gadā ir 86,0%, kas, salīdzinot ar citām ministrijām, ir samērā zems rādītājs.</w:t>
      </w:r>
    </w:p>
    <w:p w14:paraId="0A8538EE" w14:textId="77777777" w:rsidR="00267B87" w:rsidRDefault="00267B87" w:rsidP="00444618">
      <w:pPr>
        <w:spacing w:before="240" w:line="259" w:lineRule="auto"/>
        <w:jc w:val="center"/>
        <w:rPr>
          <w:rFonts w:eastAsia="Times New Roman"/>
          <w:b/>
          <w:bCs/>
          <w:i/>
          <w:iCs/>
          <w:sz w:val="22"/>
          <w:szCs w:val="22"/>
          <w:lang w:eastAsia="en-US"/>
        </w:rPr>
      </w:pPr>
    </w:p>
    <w:p w14:paraId="10E2EE72" w14:textId="77777777" w:rsidR="00267B87" w:rsidRDefault="00267B87" w:rsidP="00444618">
      <w:pPr>
        <w:spacing w:before="240" w:line="259" w:lineRule="auto"/>
        <w:jc w:val="center"/>
        <w:rPr>
          <w:rFonts w:eastAsia="Times New Roman"/>
          <w:b/>
          <w:bCs/>
          <w:i/>
          <w:iCs/>
          <w:sz w:val="22"/>
          <w:szCs w:val="22"/>
          <w:lang w:eastAsia="en-US"/>
        </w:rPr>
      </w:pPr>
    </w:p>
    <w:p w14:paraId="3FCFB446" w14:textId="77777777" w:rsidR="00267B87" w:rsidRDefault="00267B87" w:rsidP="00444618">
      <w:pPr>
        <w:spacing w:before="240" w:line="259" w:lineRule="auto"/>
        <w:jc w:val="center"/>
        <w:rPr>
          <w:rFonts w:eastAsia="Times New Roman"/>
          <w:b/>
          <w:bCs/>
          <w:i/>
          <w:iCs/>
          <w:sz w:val="22"/>
          <w:szCs w:val="22"/>
          <w:lang w:eastAsia="en-US"/>
        </w:rPr>
      </w:pPr>
    </w:p>
    <w:p w14:paraId="28710C5C" w14:textId="77777777" w:rsidR="00267B87" w:rsidRDefault="00267B87" w:rsidP="00444618">
      <w:pPr>
        <w:spacing w:before="240" w:line="259" w:lineRule="auto"/>
        <w:jc w:val="center"/>
        <w:rPr>
          <w:rFonts w:eastAsia="Times New Roman"/>
          <w:b/>
          <w:bCs/>
          <w:i/>
          <w:iCs/>
          <w:sz w:val="22"/>
          <w:szCs w:val="22"/>
          <w:lang w:eastAsia="en-US"/>
        </w:rPr>
      </w:pPr>
    </w:p>
    <w:p w14:paraId="2241F765" w14:textId="1E43C1DD" w:rsidR="00555485" w:rsidRPr="00307028" w:rsidRDefault="00555485" w:rsidP="00444618">
      <w:pPr>
        <w:spacing w:before="240"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2.3.3. attēls</w:t>
      </w:r>
      <w:r w:rsidRPr="00307028">
        <w:rPr>
          <w:rFonts w:eastAsia="Times New Roman"/>
          <w:b/>
          <w:bCs/>
          <w:sz w:val="22"/>
          <w:szCs w:val="22"/>
          <w:lang w:eastAsia="en-US"/>
        </w:rPr>
        <w:t xml:space="preserve"> AiM pamatbudžeta pamatfunkciju DRR un izdevumu izpildes līmenis (%)</w:t>
      </w:r>
    </w:p>
    <w:p w14:paraId="57BCB342"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6CADA074" wp14:editId="5BF164D2">
            <wp:extent cx="5718810" cy="2108934"/>
            <wp:effectExtent l="0" t="0" r="0" b="5715"/>
            <wp:docPr id="1774601636" name="Chart 1774601636">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35D572"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2.3.3. redzama AiM DRR izpildes korelācija ar izdevumu izpildes līmeni. Secināms, ka visos analizētajos gados DRR izpildes līmenis ir būtiski zemāks nekā izdevumu izpildes līmenis. Lielākas atšķirības ir vērojamas 2020., 2021. un 2022. gadā, kur izdevumu izpildes līmenis ir tuvu 100%, bet DRR izpildes līmenis nesasniedz 90%. </w:t>
      </w:r>
    </w:p>
    <w:p w14:paraId="12B3DA90" w14:textId="0FE85DCB" w:rsidR="000006F7" w:rsidRPr="000006F7" w:rsidRDefault="00555485" w:rsidP="000006F7">
      <w:pPr>
        <w:spacing w:after="120" w:line="259" w:lineRule="auto"/>
        <w:ind w:firstLine="720"/>
        <w:jc w:val="both"/>
        <w:rPr>
          <w:rFonts w:eastAsia="Times New Roman"/>
          <w:lang w:eastAsia="en-US"/>
        </w:rPr>
      </w:pPr>
      <w:r w:rsidRPr="00307028">
        <w:rPr>
          <w:rFonts w:eastAsia="Times New Roman"/>
          <w:lang w:eastAsia="en-US"/>
        </w:rPr>
        <w:t>AiM DRR izpildes līmeni 2022. gadā būtiski ietekmēja DRR izpildes līmenis 66,2%</w:t>
      </w:r>
      <w:r w:rsidR="00267B87">
        <w:rPr>
          <w:rFonts w:eastAsia="Times New Roman"/>
          <w:lang w:eastAsia="en-US"/>
        </w:rPr>
        <w:t> </w:t>
      </w:r>
      <w:r w:rsidRPr="00307028">
        <w:rPr>
          <w:rFonts w:eastAsia="Times New Roman"/>
          <w:lang w:eastAsia="en-US"/>
        </w:rPr>
        <w:t>apmērā budžeta apakšprogrammā 22.12.00 “Nacionālo bruņoto spēku uzturēšana”, jo Gaisa spēku Aviācijas bāzes palīdzības sniegšana civilajam sektoram tika realizēta mazāk nekā plānots, saistībā ar Mi-17 tehniskajiem darbiem pirms to nodošanas ar MK lēmumu dāvinājumā Ukrainas bruņotajiem spēkiem.</w:t>
      </w:r>
    </w:p>
    <w:p w14:paraId="655935B2" w14:textId="29288645"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2.3.4. attēls</w:t>
      </w:r>
      <w:r w:rsidRPr="00307028">
        <w:rPr>
          <w:rFonts w:eastAsia="Times New Roman"/>
          <w:b/>
          <w:bCs/>
          <w:sz w:val="22"/>
          <w:szCs w:val="22"/>
          <w:lang w:eastAsia="en-US"/>
        </w:rPr>
        <w:t xml:space="preserve"> DRR skaits, kuriem ir konstatēta izpildes novirze no plāna par vairāk nekā 15%</w:t>
      </w:r>
    </w:p>
    <w:p w14:paraId="2A6DE8B3" w14:textId="77777777" w:rsidR="00555485" w:rsidRPr="00307028" w:rsidRDefault="00555485" w:rsidP="00555485">
      <w:pPr>
        <w:spacing w:after="120" w:line="259" w:lineRule="auto"/>
        <w:jc w:val="center"/>
        <w:rPr>
          <w:rFonts w:eastAsia="Times New Roman"/>
          <w:lang w:eastAsia="en-US"/>
        </w:rPr>
      </w:pPr>
      <w:r w:rsidRPr="00307028">
        <w:rPr>
          <w:rFonts w:eastAsia="Times New Roman"/>
          <w:noProof/>
          <w:lang w:eastAsia="en-US"/>
        </w:rPr>
        <w:drawing>
          <wp:inline distT="0" distB="0" distL="0" distR="0" wp14:anchorId="56B5AEAB" wp14:editId="479DF1EF">
            <wp:extent cx="5591175" cy="1789043"/>
            <wp:effectExtent l="0" t="0" r="0" b="1905"/>
            <wp:docPr id="1175484557"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84D83E" w14:textId="77777777"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AiM budžeta paskaidrojumos ir iekļauti 45 DRR, no kuriem 33,3% ir būtiska novirze no plāna. No tiem septiņiem DRR plāns ir izpildīts par vairāk nekā 15%, savukārt astoņiem DRR plāns nav izpildīts par vairāk nekā 15%. Salīdzinot ar iepriekšējo gadu, DRR skaits, kuriem plāns ir izpildīts par vairāk nekā 15%, ir pieaudzis par 16,7%, savukārt DRR skaits, kuriem plāns nav izpildīts par vairāk nekā 15%, ir samazinājies par 33,3% (skatīt attēlu Nr. 2.3.4.).</w:t>
      </w:r>
    </w:p>
    <w:p w14:paraId="6468ABB9" w14:textId="77777777" w:rsidR="00555485" w:rsidRPr="00307028" w:rsidRDefault="00555485" w:rsidP="00555485">
      <w:pPr>
        <w:spacing w:line="259" w:lineRule="auto"/>
        <w:jc w:val="both"/>
        <w:rPr>
          <w:rFonts w:eastAsia="Times New Roman"/>
          <w:lang w:eastAsia="en-US"/>
        </w:rPr>
      </w:pPr>
    </w:p>
    <w:p w14:paraId="1E90B2F3"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Ārlietu ministrija</w:t>
      </w:r>
    </w:p>
    <w:p w14:paraId="302DC67B" w14:textId="4917BB8E"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ĀM pamatbudžeta pamatfunkciju DRR izpilde 202</w:t>
      </w:r>
      <w:r w:rsidR="00D65A68" w:rsidRPr="00307028">
        <w:rPr>
          <w:rFonts w:eastAsia="Times New Roman"/>
          <w:lang w:eastAsia="en-US"/>
        </w:rPr>
        <w:t>2</w:t>
      </w:r>
      <w:r w:rsidRPr="00307028">
        <w:rPr>
          <w:rFonts w:eastAsia="Times New Roman"/>
          <w:lang w:eastAsia="en-US"/>
        </w:rPr>
        <w:t>. gadā ir 76,9%, kas, salīdzinot ar citām ministrijām, ir viszemākais rādītājs.</w:t>
      </w:r>
    </w:p>
    <w:p w14:paraId="50A3FFA6" w14:textId="77777777" w:rsidR="00267B87" w:rsidRDefault="00267B87" w:rsidP="00444618">
      <w:pPr>
        <w:spacing w:line="259" w:lineRule="auto"/>
        <w:jc w:val="center"/>
        <w:rPr>
          <w:rFonts w:eastAsia="Times New Roman"/>
          <w:b/>
          <w:bCs/>
          <w:i/>
          <w:iCs/>
          <w:sz w:val="22"/>
          <w:szCs w:val="22"/>
          <w:lang w:eastAsia="en-US"/>
        </w:rPr>
      </w:pPr>
    </w:p>
    <w:p w14:paraId="392C464D" w14:textId="77777777" w:rsidR="00267B87" w:rsidRDefault="00267B87" w:rsidP="00444618">
      <w:pPr>
        <w:spacing w:line="259" w:lineRule="auto"/>
        <w:jc w:val="center"/>
        <w:rPr>
          <w:rFonts w:eastAsia="Times New Roman"/>
          <w:b/>
          <w:bCs/>
          <w:i/>
          <w:iCs/>
          <w:sz w:val="22"/>
          <w:szCs w:val="22"/>
          <w:lang w:eastAsia="en-US"/>
        </w:rPr>
      </w:pPr>
    </w:p>
    <w:p w14:paraId="5CA70734" w14:textId="77777777" w:rsidR="00267B87" w:rsidRDefault="00267B87" w:rsidP="00444618">
      <w:pPr>
        <w:spacing w:line="259" w:lineRule="auto"/>
        <w:jc w:val="center"/>
        <w:rPr>
          <w:rFonts w:eastAsia="Times New Roman"/>
          <w:b/>
          <w:bCs/>
          <w:i/>
          <w:iCs/>
          <w:sz w:val="22"/>
          <w:szCs w:val="22"/>
          <w:lang w:eastAsia="en-US"/>
        </w:rPr>
      </w:pPr>
    </w:p>
    <w:p w14:paraId="4AA066FC" w14:textId="77777777" w:rsidR="00267B87" w:rsidRDefault="00267B87" w:rsidP="00444618">
      <w:pPr>
        <w:spacing w:line="259" w:lineRule="auto"/>
        <w:jc w:val="center"/>
        <w:rPr>
          <w:rFonts w:eastAsia="Times New Roman"/>
          <w:b/>
          <w:bCs/>
          <w:i/>
          <w:iCs/>
          <w:sz w:val="22"/>
          <w:szCs w:val="22"/>
          <w:lang w:eastAsia="en-US"/>
        </w:rPr>
      </w:pPr>
    </w:p>
    <w:p w14:paraId="67242AFB" w14:textId="0ECC31D5"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2.3.5. attēls</w:t>
      </w:r>
      <w:r w:rsidRPr="00307028">
        <w:rPr>
          <w:rFonts w:eastAsia="Times New Roman"/>
          <w:b/>
          <w:bCs/>
          <w:sz w:val="22"/>
          <w:szCs w:val="22"/>
          <w:lang w:eastAsia="en-US"/>
        </w:rPr>
        <w:t xml:space="preserve"> ĀM pamatbudžeta pamatfunkciju DRR un izdevumu izpildes līmenis (%)</w:t>
      </w:r>
    </w:p>
    <w:p w14:paraId="7191D844"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39148152" wp14:editId="62B1F95C">
            <wp:extent cx="5718810" cy="1971509"/>
            <wp:effectExtent l="0" t="0" r="0" b="0"/>
            <wp:docPr id="1357681020" name="Chart 1357681020">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32296ED"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2.3.5. redzama ĀM DRR izpildes korelācija ar izdevumu izpildes līmeni. Secināms, ka visos analizētajos gados DRR izpildes līmenis ir būtiski zemāks nekā izdevumu izpildes līmenis. Lielākas atšķirības ir vērojamas 2020. un 2022. gadā, kur izdevumu izpildes līmenis ir tuvu 100%, bet DRR izpildes līmenis krietni zem 80%. </w:t>
      </w:r>
    </w:p>
    <w:p w14:paraId="0782A623" w14:textId="069BAAA4" w:rsidR="000006F7" w:rsidRPr="00267B87" w:rsidRDefault="00555485" w:rsidP="00267B87">
      <w:pPr>
        <w:spacing w:after="120" w:line="259" w:lineRule="auto"/>
        <w:ind w:firstLine="720"/>
        <w:jc w:val="both"/>
        <w:rPr>
          <w:rFonts w:eastAsia="Times New Roman"/>
          <w:lang w:eastAsia="en-US"/>
        </w:rPr>
      </w:pPr>
      <w:r w:rsidRPr="00307028">
        <w:rPr>
          <w:rFonts w:eastAsia="Times New Roman"/>
          <w:lang w:eastAsia="en-US"/>
        </w:rPr>
        <w:t xml:space="preserve">ĀM DRR izpildes līmeni 2022. gadā būtiski ietekmēja DRR izpildes līmenis 0,0% apmērā apakšprogrammā 01.06.00 “Konsulārais nodrošinājums”, jo </w:t>
      </w:r>
      <w:r w:rsidR="00004B7A" w:rsidRPr="00307028">
        <w:rPr>
          <w:rFonts w:eastAsia="Times New Roman"/>
          <w:lang w:eastAsia="en-US"/>
        </w:rPr>
        <w:t>ģeopolitiskās situācijas dēļ samazinājās izsniegto vīzu skaits Latvijas pārstāvniecības Krievijas Federācijā un Baltkrievijas Republikā, kā rezultātā samazinājās nepieciešamība pēc vīzu ielīmēm un</w:t>
      </w:r>
      <w:r w:rsidR="00004B7A" w:rsidRPr="00307028" w:rsidDel="00004B7A">
        <w:rPr>
          <w:rFonts w:eastAsia="Times New Roman"/>
          <w:lang w:eastAsia="en-US"/>
        </w:rPr>
        <w:t xml:space="preserve"> </w:t>
      </w:r>
      <w:r w:rsidRPr="00307028">
        <w:rPr>
          <w:rFonts w:eastAsia="Times New Roman"/>
          <w:lang w:eastAsia="en-US"/>
        </w:rPr>
        <w:t xml:space="preserve"> esošais vīzu skaits bija pietiekams, un 75,1% apmērā apakšprogrammā 01.04.00 “Diplomātiskās misijas ārvalstīs”, jo vīzu pieteikumi tika apstrādāti tikai 25% apmērā no plānotā.</w:t>
      </w:r>
      <w:r w:rsidR="00004B7A" w:rsidRPr="00307028">
        <w:rPr>
          <w:rFonts w:eastAsia="Times New Roman"/>
          <w:lang w:eastAsia="en-US"/>
        </w:rPr>
        <w:t xml:space="preserve"> Uzsāktā Krievijas iebrukuma Ukrainā dēļ radās ievērojama novirze no plānotā, jo tika noteikti vīzu izsniegšanas ierobežojumi Krievijas un Baltkrievijas pilsoņiem, kā arī vīzas tika izsniegtas tikai noteiktām personu kategorijām.  Vīzu skaita samazinājums izskaidrojams ar to, ka starp šīm personu kategorijām netika iekļautas personas, kuru ieceļošanas mērķis ir privāts apmeklējums, komercdarbība un tūrisms, kas iepriekšējos gados veidoja procentuāli lielāko vīzu pieteikumu skaitu. Latvijas pārstāvniecības ir apstrādājušas visu iesniegto vīzu pieteikumu skaitu.</w:t>
      </w:r>
    </w:p>
    <w:p w14:paraId="0DD60D26" w14:textId="2B7A224D"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2.3.6. attēls</w:t>
      </w:r>
      <w:r w:rsidRPr="00307028">
        <w:rPr>
          <w:rFonts w:eastAsia="Times New Roman"/>
          <w:b/>
          <w:bCs/>
          <w:sz w:val="22"/>
          <w:szCs w:val="22"/>
          <w:lang w:eastAsia="en-US"/>
        </w:rPr>
        <w:t xml:space="preserve"> DRR skaits, kuriem ir konstatēta izpildes novirze no plāna par vairāk nekā 15%</w:t>
      </w:r>
    </w:p>
    <w:p w14:paraId="67C3185C" w14:textId="77777777" w:rsidR="00555485" w:rsidRPr="00307028" w:rsidRDefault="00555485" w:rsidP="00555485">
      <w:pPr>
        <w:spacing w:after="120" w:line="259" w:lineRule="auto"/>
        <w:jc w:val="center"/>
        <w:rPr>
          <w:rFonts w:eastAsia="Times New Roman"/>
          <w:lang w:eastAsia="en-US"/>
        </w:rPr>
      </w:pPr>
      <w:r w:rsidRPr="00307028">
        <w:rPr>
          <w:rFonts w:eastAsia="Times New Roman"/>
          <w:noProof/>
          <w:lang w:eastAsia="en-US"/>
        </w:rPr>
        <w:drawing>
          <wp:inline distT="0" distB="0" distL="0" distR="0" wp14:anchorId="60B81EB4" wp14:editId="127EC8E5">
            <wp:extent cx="5591175" cy="2108934"/>
            <wp:effectExtent l="0" t="0" r="0" b="5715"/>
            <wp:docPr id="54651665"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8A6C0C"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2022. gadā ĀM ir 15 DRR,</w:t>
      </w:r>
      <w:r w:rsidRPr="00307028">
        <w:rPr>
          <w:rFonts w:eastAsia="Times New Roman"/>
          <w:vertAlign w:val="superscript"/>
          <w:lang w:eastAsia="en-US"/>
        </w:rPr>
        <w:t xml:space="preserve"> </w:t>
      </w:r>
      <w:r w:rsidRPr="00307028">
        <w:rPr>
          <w:rFonts w:eastAsia="Times New Roman"/>
          <w:lang w:eastAsia="en-US"/>
        </w:rPr>
        <w:t>no kuriem 66,7% ir būtiska novirze no plāna. No tiem četriem DRR plāns ir izpildīts par vairāk nekā 15%, savukārt sešiem DRR plāns nav izpildīts par vairāk nekā 15%. Salīdzinot ar iepriekšējo gadu, DRR skaits, kuriem plāns ir izpildīts par vairāk nekā 15%, ir samazinājies par 20,0%, savukārt DRR skaits, kuriem plāns nav izpildīts par vairāk nekā 15%, ir pieaudzis par 100,0% (skatīt attēlu Nr. 2.3.6.).</w:t>
      </w:r>
    </w:p>
    <w:p w14:paraId="299702FC" w14:textId="77777777" w:rsidR="00555485" w:rsidRPr="00307028" w:rsidRDefault="00555485" w:rsidP="00555485">
      <w:pPr>
        <w:spacing w:line="259" w:lineRule="auto"/>
        <w:ind w:firstLine="720"/>
        <w:jc w:val="both"/>
        <w:rPr>
          <w:rFonts w:eastAsia="Times New Roman"/>
          <w:szCs w:val="22"/>
          <w:lang w:eastAsia="en-US"/>
        </w:rPr>
      </w:pPr>
      <w:r w:rsidRPr="00307028">
        <w:rPr>
          <w:rFonts w:eastAsia="Times New Roman"/>
          <w:szCs w:val="22"/>
          <w:lang w:eastAsia="en-US"/>
        </w:rPr>
        <w:lastRenderedPageBreak/>
        <w:t>ĀM norāda, ka ārlietu dienestam rezultatīvo rādītāju sistēmu ir ļoti grūti pielietot un ka bieži vien nav iespējams ietekmēt izpildi. Vienlaikus norāda, ka bieži vien atsevišķās jomās (konsulārie pakalpojumi, eksporta veicināšana) tiek mērīta klientu apmierinātība, bet tas nav piesaistīts budžetam vai budžeta plānošanai.</w:t>
      </w:r>
    </w:p>
    <w:p w14:paraId="535FCE0B" w14:textId="2B9C6337" w:rsidR="00555485" w:rsidRPr="00307028" w:rsidRDefault="00555485" w:rsidP="00555485">
      <w:pPr>
        <w:spacing w:line="259" w:lineRule="auto"/>
        <w:jc w:val="both"/>
        <w:rPr>
          <w:rFonts w:eastAsia="Times New Roman"/>
          <w:szCs w:val="22"/>
          <w:lang w:eastAsia="en-US"/>
        </w:rPr>
      </w:pPr>
      <w:r w:rsidRPr="00307028">
        <w:rPr>
          <w:rFonts w:eastAsia="Times New Roman"/>
          <w:szCs w:val="22"/>
          <w:lang w:eastAsia="en-US"/>
        </w:rPr>
        <w:t xml:space="preserve"> </w:t>
      </w:r>
    </w:p>
    <w:p w14:paraId="1D7052FE"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Ekonomikas ministrija</w:t>
      </w:r>
    </w:p>
    <w:p w14:paraId="792C8953"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EM pamatbudžeta pamatfunkciju DRR izpilde 2022. gadā ir 96,0%, kas, salīdzinot ar citām ministrijām, ir viens no augstākajiem rādītājiem.</w:t>
      </w:r>
    </w:p>
    <w:p w14:paraId="3C9D380D" w14:textId="77777777"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2.3.7. attēls</w:t>
      </w:r>
      <w:r w:rsidRPr="00307028">
        <w:rPr>
          <w:rFonts w:eastAsia="Times New Roman"/>
          <w:b/>
          <w:bCs/>
          <w:sz w:val="22"/>
          <w:szCs w:val="22"/>
          <w:lang w:eastAsia="en-US"/>
        </w:rPr>
        <w:t xml:space="preserve"> EM pamatbudžeta pamatfunkciju DRR un izdevumu izpildes līmenis (%)</w:t>
      </w:r>
    </w:p>
    <w:p w14:paraId="767C3126"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24EDA314" wp14:editId="05717080">
            <wp:extent cx="5718810" cy="1963972"/>
            <wp:effectExtent l="0" t="0" r="0" b="0"/>
            <wp:docPr id="1137519186" name="Chart 1137519186">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766443"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2.3.7. redzama EM DRR izpildes korelācija ar izdevumu izpildes līmeni. Secināms, ka visos analizētajos gados DRR izpildes līmenis ir virs 90%, kā arī ir līdzīgā apmērā ar izdevumu izpildes līmeni, izņemot 2021. gadu, kur izdevumu izpildes līmenis ir ievērojami zemāks nekā DRR izpildes līmenis</w:t>
      </w:r>
      <w:r w:rsidRPr="00307028">
        <w:rPr>
          <w:rFonts w:eastAsia="Times New Roman"/>
          <w:vertAlign w:val="superscript"/>
          <w:lang w:eastAsia="en-US"/>
        </w:rPr>
        <w:footnoteReference w:id="15"/>
      </w:r>
      <w:r w:rsidRPr="00307028">
        <w:rPr>
          <w:rFonts w:eastAsia="Times New Roman"/>
          <w:lang w:eastAsia="en-US"/>
        </w:rPr>
        <w:t xml:space="preserve">. </w:t>
      </w:r>
    </w:p>
    <w:p w14:paraId="79F10FB7"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EM DRR izpildes līmeni 2022. gadā būtiski ietekmēja DRR izpilde 59,3% apmērā budžeta apakšprogrammā 29.01.00 “Naftas produktu rezervju uzturēšana”, jo netika pārbaudīts neviens no degvielas piegādātāju vispārējās ziņošanas ziņojumiem sakarā ar to, ka spēkā esošā likumdošana neparedz degvielas piegādātājiem iesniegt vispārējās ziņošanas ziņojumus. Līdz ar to izdevumu pārskatīšanas darba grupas sanāksmē tika uzdots jautājums par to, kāpēc EM vairākus gadus budžeta paskaidrojumos ietvert DRR, kura izpilde nav iespējama, jo to neparedz normatīvais regulējums.</w:t>
      </w:r>
    </w:p>
    <w:p w14:paraId="2FF4D438" w14:textId="1C5C39D5"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Atbildot uz FM uzdoto jautājumu, EM norādīja, ka Saeima nepieņēma attiecīgo regulējumu, līdz ar to paredzētais rezultāts par ziņojumiem turpmāk vairs netiek plānots un stājās spēkā EM izstrādātie MK noteikumi</w:t>
      </w:r>
      <w:r w:rsidRPr="00307028">
        <w:rPr>
          <w:rFonts w:eastAsia="Times New Roman"/>
          <w:vertAlign w:val="superscript"/>
          <w:lang w:eastAsia="en-US"/>
        </w:rPr>
        <w:footnoteReference w:id="16"/>
      </w:r>
      <w:r w:rsidRPr="00307028">
        <w:rPr>
          <w:rFonts w:eastAsia="Times New Roman"/>
          <w:lang w:eastAsia="en-US"/>
        </w:rPr>
        <w:t>, kas nosaka, ka sākot ar 2024. gadu degvielas piegādātāji iesniedz vispārīgos ziņojumus Energoresursu informācijas sistēmā</w:t>
      </w:r>
      <w:r w:rsidR="00575136" w:rsidRPr="00307028">
        <w:rPr>
          <w:rFonts w:eastAsia="Times New Roman"/>
          <w:lang w:eastAsia="en-US"/>
        </w:rPr>
        <w:t xml:space="preserve"> </w:t>
      </w:r>
      <w:r w:rsidRPr="00307028">
        <w:rPr>
          <w:rFonts w:eastAsia="Times New Roman"/>
          <w:lang w:eastAsia="en-US"/>
        </w:rPr>
        <w:t>(ERIS). Vienlaikus EM norāda, ka ir veikts ievērojams darbs, samazinot plānoto rādītāju novirzes, taču tajos gadījumos, kad novirze ir atkarīga no ārējiem apstākļiem, EM to ietekmēt nevar.</w:t>
      </w:r>
    </w:p>
    <w:p w14:paraId="1D8AE6D8" w14:textId="77777777" w:rsidR="00267B87" w:rsidRDefault="00267B87" w:rsidP="00444618">
      <w:pPr>
        <w:spacing w:line="259" w:lineRule="auto"/>
        <w:jc w:val="center"/>
        <w:rPr>
          <w:rFonts w:eastAsia="Times New Roman"/>
          <w:b/>
          <w:bCs/>
          <w:i/>
          <w:iCs/>
          <w:sz w:val="22"/>
          <w:szCs w:val="22"/>
          <w:lang w:eastAsia="en-US"/>
        </w:rPr>
      </w:pPr>
    </w:p>
    <w:p w14:paraId="02773E27" w14:textId="77777777" w:rsidR="00267B87" w:rsidRDefault="00267B87" w:rsidP="00444618">
      <w:pPr>
        <w:spacing w:line="259" w:lineRule="auto"/>
        <w:jc w:val="center"/>
        <w:rPr>
          <w:rFonts w:eastAsia="Times New Roman"/>
          <w:b/>
          <w:bCs/>
          <w:i/>
          <w:iCs/>
          <w:sz w:val="22"/>
          <w:szCs w:val="22"/>
          <w:lang w:eastAsia="en-US"/>
        </w:rPr>
      </w:pPr>
    </w:p>
    <w:p w14:paraId="69AAD27B" w14:textId="77777777" w:rsidR="00267B87" w:rsidRDefault="00267B87" w:rsidP="00444618">
      <w:pPr>
        <w:spacing w:line="259" w:lineRule="auto"/>
        <w:jc w:val="center"/>
        <w:rPr>
          <w:rFonts w:eastAsia="Times New Roman"/>
          <w:b/>
          <w:bCs/>
          <w:i/>
          <w:iCs/>
          <w:sz w:val="22"/>
          <w:szCs w:val="22"/>
          <w:lang w:eastAsia="en-US"/>
        </w:rPr>
      </w:pPr>
    </w:p>
    <w:p w14:paraId="5CC14B91" w14:textId="77777777" w:rsidR="00267B87" w:rsidRDefault="00267B87" w:rsidP="00444618">
      <w:pPr>
        <w:spacing w:line="259" w:lineRule="auto"/>
        <w:jc w:val="center"/>
        <w:rPr>
          <w:rFonts w:eastAsia="Times New Roman"/>
          <w:b/>
          <w:bCs/>
          <w:i/>
          <w:iCs/>
          <w:sz w:val="22"/>
          <w:szCs w:val="22"/>
          <w:lang w:eastAsia="en-US"/>
        </w:rPr>
      </w:pPr>
    </w:p>
    <w:p w14:paraId="15DF5FB9" w14:textId="77777777" w:rsidR="00267B87" w:rsidRDefault="00267B87" w:rsidP="00444618">
      <w:pPr>
        <w:spacing w:line="259" w:lineRule="auto"/>
        <w:jc w:val="center"/>
        <w:rPr>
          <w:rFonts w:eastAsia="Times New Roman"/>
          <w:b/>
          <w:bCs/>
          <w:i/>
          <w:iCs/>
          <w:sz w:val="22"/>
          <w:szCs w:val="22"/>
          <w:lang w:eastAsia="en-US"/>
        </w:rPr>
      </w:pPr>
    </w:p>
    <w:p w14:paraId="5E7E422E" w14:textId="7E7CD409"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2.3.8. attēls</w:t>
      </w:r>
      <w:r w:rsidRPr="00307028">
        <w:rPr>
          <w:rFonts w:eastAsia="Times New Roman"/>
          <w:b/>
          <w:bCs/>
          <w:sz w:val="22"/>
          <w:szCs w:val="22"/>
          <w:lang w:eastAsia="en-US"/>
        </w:rPr>
        <w:t xml:space="preserve"> DRR skaits, kuriem ir konstatēta izpildes novirze no plāna par vairāk nekā 15%</w:t>
      </w:r>
    </w:p>
    <w:p w14:paraId="2CBDD6BF" w14:textId="77777777" w:rsidR="00555485" w:rsidRPr="00307028" w:rsidRDefault="00555485" w:rsidP="00555485">
      <w:pPr>
        <w:spacing w:after="120" w:line="259" w:lineRule="auto"/>
        <w:jc w:val="center"/>
        <w:rPr>
          <w:rFonts w:eastAsia="Times New Roman"/>
          <w:lang w:eastAsia="en-US"/>
        </w:rPr>
      </w:pPr>
      <w:r w:rsidRPr="00307028">
        <w:rPr>
          <w:rFonts w:eastAsia="Times New Roman"/>
          <w:noProof/>
          <w:lang w:eastAsia="en-US"/>
        </w:rPr>
        <w:drawing>
          <wp:inline distT="0" distB="0" distL="0" distR="0" wp14:anchorId="544B6C21" wp14:editId="52A457A5">
            <wp:extent cx="5591175" cy="1948070"/>
            <wp:effectExtent l="0" t="0" r="0" b="0"/>
            <wp:docPr id="763570148"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63F30A" w14:textId="03229F46" w:rsidR="0017150F" w:rsidRPr="000006F7" w:rsidRDefault="00555485" w:rsidP="000006F7">
      <w:pPr>
        <w:spacing w:line="259" w:lineRule="auto"/>
        <w:ind w:firstLine="720"/>
        <w:jc w:val="both"/>
        <w:rPr>
          <w:rFonts w:eastAsia="Times New Roman"/>
          <w:lang w:eastAsia="en-US"/>
        </w:rPr>
      </w:pPr>
      <w:r w:rsidRPr="00307028">
        <w:rPr>
          <w:rFonts w:eastAsia="Times New Roman"/>
          <w:lang w:eastAsia="en-US"/>
        </w:rPr>
        <w:t>2022. gadā EM ir 119 DRR, no kuriem 39,5% ir būtiska novirze no plāna. No tiem 37 DRR plāns ir izpildīts par vairāk nekā 15%, savukārt 10 DRR plāns nav izpildīts par vairāk nekā 15%. Salīdzinot ar iepriekšējo gadu, DRR skaits, kuriem plāns ir izpildīts par vairāk nekā 15%, ir samazinājies par 11,9%, savukārt DRR skaits, kuriem plāns nav izpildīts par vairāk nekā 15%, ir samazinājies par 33,3% (skatīt attēlu Nr. 2.3.8.).</w:t>
      </w:r>
    </w:p>
    <w:p w14:paraId="0CBAC106" w14:textId="77777777" w:rsidR="000006F7" w:rsidRDefault="000006F7" w:rsidP="00555485">
      <w:pPr>
        <w:spacing w:after="120" w:line="259" w:lineRule="auto"/>
        <w:jc w:val="both"/>
        <w:rPr>
          <w:rFonts w:eastAsia="Times New Roman"/>
          <w:b/>
          <w:bCs/>
          <w:lang w:eastAsia="en-US"/>
        </w:rPr>
      </w:pPr>
    </w:p>
    <w:p w14:paraId="57694011" w14:textId="6245041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Finanšu ministrija</w:t>
      </w:r>
    </w:p>
    <w:p w14:paraId="7E205A22" w14:textId="16ABD550" w:rsidR="00017993" w:rsidRPr="00307028" w:rsidRDefault="00555485" w:rsidP="00017993">
      <w:pPr>
        <w:spacing w:after="120" w:line="259" w:lineRule="auto"/>
        <w:ind w:firstLine="720"/>
        <w:jc w:val="both"/>
        <w:rPr>
          <w:rFonts w:eastAsia="Times New Roman"/>
          <w:lang w:eastAsia="en-US"/>
        </w:rPr>
      </w:pPr>
      <w:r w:rsidRPr="00307028">
        <w:rPr>
          <w:rFonts w:eastAsia="Times New Roman"/>
          <w:lang w:eastAsia="en-US"/>
        </w:rPr>
        <w:t>FM pamatbudžeta pamatfunkciju DRR izpilde 2022. gadā ir 93,5%, kas, salīdzinot ar citām ministrijām, ir vidējs rādītāj</w:t>
      </w:r>
      <w:r w:rsidR="00444618" w:rsidRPr="00307028">
        <w:rPr>
          <w:rFonts w:eastAsia="Times New Roman"/>
          <w:lang w:eastAsia="en-US"/>
        </w:rPr>
        <w:t>s</w:t>
      </w:r>
      <w:r w:rsidRPr="00307028">
        <w:rPr>
          <w:rFonts w:eastAsia="Times New Roman"/>
          <w:lang w:eastAsia="en-US"/>
        </w:rPr>
        <w:t>.</w:t>
      </w:r>
    </w:p>
    <w:p w14:paraId="5258AED6" w14:textId="7A8291CD" w:rsidR="00555485" w:rsidRPr="00307028" w:rsidRDefault="00555485" w:rsidP="00444618">
      <w:pPr>
        <w:spacing w:line="259" w:lineRule="auto"/>
        <w:ind w:firstLine="720"/>
        <w:jc w:val="both"/>
        <w:rPr>
          <w:rFonts w:eastAsia="Times New Roman"/>
          <w:b/>
          <w:bCs/>
          <w:sz w:val="22"/>
          <w:szCs w:val="22"/>
          <w:lang w:eastAsia="en-US"/>
        </w:rPr>
      </w:pPr>
      <w:r w:rsidRPr="00307028">
        <w:rPr>
          <w:rFonts w:eastAsia="Times New Roman"/>
          <w:b/>
          <w:bCs/>
          <w:i/>
          <w:iCs/>
          <w:sz w:val="22"/>
          <w:szCs w:val="22"/>
          <w:lang w:eastAsia="en-US"/>
        </w:rPr>
        <w:t>2.3.9. attēls</w:t>
      </w:r>
      <w:r w:rsidRPr="00307028">
        <w:rPr>
          <w:rFonts w:eastAsia="Times New Roman"/>
          <w:b/>
          <w:bCs/>
          <w:sz w:val="22"/>
          <w:szCs w:val="22"/>
          <w:lang w:eastAsia="en-US"/>
        </w:rPr>
        <w:t xml:space="preserve"> FM pamatbudžeta pamatfunkciju DRR un izdevumu izpildes līmenis (%)</w:t>
      </w:r>
    </w:p>
    <w:p w14:paraId="2F381C56"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094B6413" wp14:editId="2C4AEF5E">
            <wp:extent cx="5718810" cy="1939797"/>
            <wp:effectExtent l="0" t="0" r="0" b="3810"/>
            <wp:docPr id="182963" name="Chart 182963">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6A3EBDB"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2.3.9. redzama FM DRR izpildes korelācija ar izdevumu izpildes līmeni. Secināms, ka visos analizētajos gados DRR izpildes līmenis ir zemāks nekā izdevumu izpildes līmenis, izdevumu izpildes līmenim sasniedzot gandrīz 100%, bet DRR izpildes līmenim esot vidēji ap 90%. </w:t>
      </w:r>
    </w:p>
    <w:p w14:paraId="58413B34" w14:textId="39D7C15D" w:rsidR="00090B98" w:rsidRPr="00307028" w:rsidRDefault="00555485" w:rsidP="00DE4FDE">
      <w:pPr>
        <w:spacing w:after="120" w:line="259" w:lineRule="auto"/>
        <w:ind w:firstLine="720"/>
        <w:jc w:val="both"/>
        <w:rPr>
          <w:rFonts w:eastAsia="Times New Roman"/>
          <w:lang w:eastAsia="en-US"/>
        </w:rPr>
      </w:pPr>
      <w:r w:rsidRPr="00307028">
        <w:rPr>
          <w:rFonts w:eastAsia="Times New Roman"/>
          <w:lang w:eastAsia="en-US"/>
        </w:rPr>
        <w:t>FM DRR izpildes līmeni 2022. gadā būtiski ietekmēja DRR izpilde 74,7% apmērā budžeta apakšprogrammā 39.03.00 “Dārgmetālu izstrādājumu proves uzraudzība un pārbaude”, jo tika veikts mazāk</w:t>
      </w:r>
      <w:r w:rsidR="00575136" w:rsidRPr="00307028">
        <w:rPr>
          <w:rFonts w:eastAsia="Times New Roman"/>
          <w:lang w:eastAsia="en-US"/>
        </w:rPr>
        <w:t>s</w:t>
      </w:r>
      <w:r w:rsidRPr="00307028">
        <w:rPr>
          <w:rFonts w:eastAsia="Times New Roman"/>
          <w:lang w:eastAsia="en-US"/>
        </w:rPr>
        <w:t xml:space="preserve"> laboratorisk</w:t>
      </w:r>
      <w:r w:rsidR="0021454D" w:rsidRPr="00307028">
        <w:rPr>
          <w:rFonts w:eastAsia="Times New Roman"/>
          <w:lang w:eastAsia="en-US"/>
        </w:rPr>
        <w:t>o</w:t>
      </w:r>
      <w:r w:rsidRPr="00307028">
        <w:rPr>
          <w:rFonts w:eastAsia="Times New Roman"/>
          <w:lang w:eastAsia="en-US"/>
        </w:rPr>
        <w:t xml:space="preserve"> ekspertī</w:t>
      </w:r>
      <w:r w:rsidR="0021454D" w:rsidRPr="00307028">
        <w:rPr>
          <w:rFonts w:eastAsia="Times New Roman"/>
          <w:lang w:eastAsia="en-US"/>
        </w:rPr>
        <w:t>žu skaits</w:t>
      </w:r>
      <w:r w:rsidRPr="00307028">
        <w:rPr>
          <w:rFonts w:eastAsia="Times New Roman"/>
          <w:lang w:eastAsia="en-US"/>
        </w:rPr>
        <w:t xml:space="preserve"> nekā plānots saistībā ar ierobežotu tirgus uzraudzību Covid-19 pandēmijas periodā.</w:t>
      </w:r>
    </w:p>
    <w:p w14:paraId="70C18E77" w14:textId="77777777" w:rsidR="00267B87" w:rsidRDefault="00267B87" w:rsidP="00444618">
      <w:pPr>
        <w:spacing w:line="259" w:lineRule="auto"/>
        <w:jc w:val="center"/>
        <w:rPr>
          <w:rFonts w:eastAsia="Times New Roman"/>
          <w:b/>
          <w:bCs/>
          <w:i/>
          <w:iCs/>
          <w:sz w:val="22"/>
          <w:szCs w:val="22"/>
          <w:lang w:eastAsia="en-US"/>
        </w:rPr>
      </w:pPr>
    </w:p>
    <w:p w14:paraId="6810DAD4" w14:textId="77777777" w:rsidR="00267B87" w:rsidRDefault="00267B87" w:rsidP="00444618">
      <w:pPr>
        <w:spacing w:line="259" w:lineRule="auto"/>
        <w:jc w:val="center"/>
        <w:rPr>
          <w:rFonts w:eastAsia="Times New Roman"/>
          <w:b/>
          <w:bCs/>
          <w:i/>
          <w:iCs/>
          <w:sz w:val="22"/>
          <w:szCs w:val="22"/>
          <w:lang w:eastAsia="en-US"/>
        </w:rPr>
      </w:pPr>
    </w:p>
    <w:p w14:paraId="698DAA7E" w14:textId="77777777" w:rsidR="00267B87" w:rsidRDefault="00267B87" w:rsidP="00444618">
      <w:pPr>
        <w:spacing w:line="259" w:lineRule="auto"/>
        <w:jc w:val="center"/>
        <w:rPr>
          <w:rFonts w:eastAsia="Times New Roman"/>
          <w:b/>
          <w:bCs/>
          <w:i/>
          <w:iCs/>
          <w:sz w:val="22"/>
          <w:szCs w:val="22"/>
          <w:lang w:eastAsia="en-US"/>
        </w:rPr>
      </w:pPr>
    </w:p>
    <w:p w14:paraId="790717BF" w14:textId="77777777" w:rsidR="00267B87" w:rsidRDefault="00267B87" w:rsidP="00444618">
      <w:pPr>
        <w:spacing w:line="259" w:lineRule="auto"/>
        <w:jc w:val="center"/>
        <w:rPr>
          <w:rFonts w:eastAsia="Times New Roman"/>
          <w:b/>
          <w:bCs/>
          <w:i/>
          <w:iCs/>
          <w:sz w:val="22"/>
          <w:szCs w:val="22"/>
          <w:lang w:eastAsia="en-US"/>
        </w:rPr>
      </w:pPr>
    </w:p>
    <w:p w14:paraId="10CA573A" w14:textId="77777777" w:rsidR="00267B87" w:rsidRDefault="00267B87" w:rsidP="00444618">
      <w:pPr>
        <w:spacing w:line="259" w:lineRule="auto"/>
        <w:jc w:val="center"/>
        <w:rPr>
          <w:rFonts w:eastAsia="Times New Roman"/>
          <w:b/>
          <w:bCs/>
          <w:i/>
          <w:iCs/>
          <w:sz w:val="22"/>
          <w:szCs w:val="22"/>
          <w:lang w:eastAsia="en-US"/>
        </w:rPr>
      </w:pPr>
    </w:p>
    <w:p w14:paraId="1C84653F" w14:textId="77777777" w:rsidR="00267B87" w:rsidRDefault="00267B87" w:rsidP="00444618">
      <w:pPr>
        <w:spacing w:line="259" w:lineRule="auto"/>
        <w:jc w:val="center"/>
        <w:rPr>
          <w:rFonts w:eastAsia="Times New Roman"/>
          <w:b/>
          <w:bCs/>
          <w:i/>
          <w:iCs/>
          <w:sz w:val="22"/>
          <w:szCs w:val="22"/>
          <w:lang w:eastAsia="en-US"/>
        </w:rPr>
      </w:pPr>
    </w:p>
    <w:p w14:paraId="5F735D51" w14:textId="3D81180C"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2.3.10. attēls</w:t>
      </w:r>
      <w:r w:rsidRPr="00307028">
        <w:rPr>
          <w:rFonts w:eastAsia="Times New Roman"/>
          <w:b/>
          <w:bCs/>
          <w:sz w:val="22"/>
          <w:szCs w:val="22"/>
          <w:lang w:eastAsia="en-US"/>
        </w:rPr>
        <w:t xml:space="preserve"> DRR skaits, kuriem ir konstatēta izpildes novirze no plāna par vairāk nekā 15%</w:t>
      </w:r>
    </w:p>
    <w:p w14:paraId="67CFC883"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51CDA10B" wp14:editId="74BA9C42">
            <wp:extent cx="5591175" cy="2082507"/>
            <wp:effectExtent l="0" t="0" r="0" b="0"/>
            <wp:docPr id="1088372632"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94C2C7F" w14:textId="77777777"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FM ir 55 DRR, no kuriem 36,4% ir būtiska novirze no plāna. No tiem 13 DRR plāns ir izpildīts par vairāk nekā 15%, savukārt septiņiem DRR plāns nav izpildīts par vairāk nekā 15%. Salīdzinot ar iepriekšējo gadu, DRR skaits, kuriem plāns nav izpildīts par vairāk nekā 15%, ir pieaudzis par 75,0%, savukārt DRR skaits, kuriem plāns ir izpildīts par vairāk nekā 15%, ir pieaudzis par 30,0% (skatīt attēlu Nr. 2.3.10.).</w:t>
      </w:r>
    </w:p>
    <w:p w14:paraId="34220D40" w14:textId="77777777" w:rsidR="00017993" w:rsidRPr="00307028" w:rsidRDefault="00017993" w:rsidP="00444618">
      <w:pPr>
        <w:spacing w:line="259" w:lineRule="auto"/>
        <w:jc w:val="both"/>
        <w:rPr>
          <w:rFonts w:eastAsia="Times New Roman"/>
          <w:b/>
          <w:bCs/>
          <w:lang w:eastAsia="en-US"/>
        </w:rPr>
      </w:pPr>
    </w:p>
    <w:p w14:paraId="2D1EA103"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Iekšlietu ministrija</w:t>
      </w:r>
    </w:p>
    <w:p w14:paraId="7E095CE4" w14:textId="42B379C9" w:rsidR="00DE4FDE" w:rsidRPr="00307028" w:rsidRDefault="00555485" w:rsidP="00D85401">
      <w:pPr>
        <w:spacing w:after="120" w:line="259" w:lineRule="auto"/>
        <w:ind w:firstLine="720"/>
        <w:jc w:val="both"/>
        <w:rPr>
          <w:rFonts w:eastAsia="Times New Roman"/>
          <w:lang w:eastAsia="en-US"/>
        </w:rPr>
      </w:pPr>
      <w:r w:rsidRPr="00307028">
        <w:rPr>
          <w:rFonts w:eastAsia="Times New Roman"/>
          <w:lang w:eastAsia="en-US"/>
        </w:rPr>
        <w:t>IeM pamatbudžeta pamatfunkciju DRR izpilde 2022. gadā ir 84,9%, kas, salīdzinot ar citām ministrijām, ir viens no zemākajiem rādītājiem.</w:t>
      </w:r>
    </w:p>
    <w:p w14:paraId="10844927" w14:textId="77777777"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2.3.11. attēls</w:t>
      </w:r>
      <w:r w:rsidRPr="00307028">
        <w:rPr>
          <w:rFonts w:eastAsia="Times New Roman"/>
          <w:b/>
          <w:bCs/>
          <w:sz w:val="22"/>
          <w:szCs w:val="22"/>
          <w:lang w:eastAsia="en-US"/>
        </w:rPr>
        <w:t xml:space="preserve"> IeM pamatbudžeta pamatfunkciju DRR un izdevumu izpildes līmenis (%)</w:t>
      </w:r>
    </w:p>
    <w:p w14:paraId="3DF72985"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42810E0C" wp14:editId="6C04C6B0">
            <wp:extent cx="5718810" cy="1976796"/>
            <wp:effectExtent l="0" t="0" r="0" b="4445"/>
            <wp:docPr id="835826296" name="Chart 835826296">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E00B0AD"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2.3.11. redzama IeM DRR izpildes korelācija ar izdevumu izpildes līmeni. Secināms, ka visos analizētajos gados DRR izpildes līmenis ir krietni zemāks nekā izdevumu izpildes līmenis. Lielākās atšķirības ir vērojamas no 2020. gadā, kur izdevumu izpildes līmenis ir tuvu 100%, bet DRR izpildes līmenis nesasniedz 85%.</w:t>
      </w:r>
    </w:p>
    <w:p w14:paraId="0B86C321" w14:textId="23D73F82"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IeM DRR izpildes līmeni 2022. gadā būtiski ietekmēja DRR izpilde 67,3% apmērā budžeta programmā 42.00.00 “Iekšējās drošības biroja darbība” saistībā ar mazāku amatpersonu skaitu, pret kurām kriminālprocesi nosūtīti kriminālvajāšanas uzsākšanai par noziedzīgu nodarījumu, un 72,0% apmērā budžeta apakšprogrammā 40.01.00 “Administrēšana”, jo inovatīvu iepirkuma metožu īpatsvars bija zemāks nekā plānots.</w:t>
      </w:r>
    </w:p>
    <w:p w14:paraId="4BF87A24" w14:textId="38360BA4"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IeM norāda, ka analizē tendences un atbilstoši situācijai precizē DRR plānu vai īsteno pasākumus, kas DRR uzlabo. Vienlaikus </w:t>
      </w:r>
      <w:r w:rsidR="0021454D" w:rsidRPr="00307028">
        <w:rPr>
          <w:rFonts w:eastAsia="Times New Roman"/>
          <w:lang w:eastAsia="en-US"/>
        </w:rPr>
        <w:t xml:space="preserve">IeM </w:t>
      </w:r>
      <w:r w:rsidRPr="00307028">
        <w:rPr>
          <w:rFonts w:eastAsia="Times New Roman"/>
          <w:lang w:eastAsia="en-US"/>
        </w:rPr>
        <w:t>norāda, ka, analizējot esošās tendences, jau 2023.</w:t>
      </w:r>
      <w:r w:rsidR="00267B87">
        <w:rPr>
          <w:rFonts w:eastAsia="Times New Roman"/>
          <w:lang w:eastAsia="en-US"/>
        </w:rPr>
        <w:t> </w:t>
      </w:r>
      <w:r w:rsidRPr="00307028">
        <w:rPr>
          <w:rFonts w:eastAsia="Times New Roman"/>
          <w:lang w:eastAsia="en-US"/>
        </w:rPr>
        <w:t>gada budžeta paskaidrojuma sagatavošanas procesā ir precizēti DRR 2023.</w:t>
      </w:r>
      <w:r w:rsidR="0021454D" w:rsidRPr="00307028">
        <w:rPr>
          <w:rFonts w:eastAsia="Times New Roman"/>
          <w:lang w:eastAsia="en-US"/>
        </w:rPr>
        <w:t xml:space="preserve"> </w:t>
      </w:r>
      <w:r w:rsidRPr="00307028">
        <w:rPr>
          <w:rFonts w:eastAsia="Times New Roman"/>
          <w:lang w:eastAsia="en-US"/>
        </w:rPr>
        <w:t xml:space="preserve">gadam un turpmākajam periodam un ka arī turpmākajos budžeta paskaidrojumos tiks precizēti rezultatīvie </w:t>
      </w:r>
      <w:r w:rsidRPr="00307028">
        <w:rPr>
          <w:rFonts w:eastAsia="Times New Roman"/>
          <w:lang w:eastAsia="en-US"/>
        </w:rPr>
        <w:lastRenderedPageBreak/>
        <w:t>rādītāji, k</w:t>
      </w:r>
      <w:r w:rsidR="0021454D" w:rsidRPr="00307028">
        <w:rPr>
          <w:rFonts w:eastAsia="Times New Roman"/>
          <w:lang w:eastAsia="en-US"/>
        </w:rPr>
        <w:t>as</w:t>
      </w:r>
      <w:r w:rsidRPr="00307028">
        <w:rPr>
          <w:rFonts w:eastAsia="Times New Roman"/>
          <w:lang w:eastAsia="en-US"/>
        </w:rPr>
        <w:t xml:space="preserve"> izriet no IeM iestāžu aktuālajām stratēģijām, tādējādi tiecoties novērst neatbilstības un nodrošināt DRR izpildi atbilstoši plānotajam.</w:t>
      </w:r>
    </w:p>
    <w:p w14:paraId="167296EA" w14:textId="77777777"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2.3.12. attēls</w:t>
      </w:r>
      <w:r w:rsidRPr="00307028">
        <w:rPr>
          <w:rFonts w:eastAsia="Times New Roman"/>
          <w:b/>
          <w:bCs/>
          <w:sz w:val="22"/>
          <w:szCs w:val="22"/>
          <w:lang w:eastAsia="en-US"/>
        </w:rPr>
        <w:t xml:space="preserve"> DRR skaits, kuriem ir konstatēta izpildes novirze no plāna par vairāk nekā 15%</w:t>
      </w:r>
    </w:p>
    <w:p w14:paraId="45144EB2"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0E473019" wp14:editId="5C0CE0C2">
            <wp:extent cx="5591175" cy="1855227"/>
            <wp:effectExtent l="0" t="0" r="0" b="0"/>
            <wp:docPr id="1945964042"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09CE96F" w14:textId="2A211B42" w:rsidR="000C3AB3" w:rsidRPr="0017150F" w:rsidRDefault="00555485" w:rsidP="0017150F">
      <w:pPr>
        <w:spacing w:line="259" w:lineRule="auto"/>
        <w:ind w:firstLine="720"/>
        <w:jc w:val="both"/>
        <w:rPr>
          <w:rFonts w:eastAsia="Times New Roman"/>
          <w:lang w:eastAsia="en-US"/>
        </w:rPr>
      </w:pPr>
      <w:r w:rsidRPr="00307028">
        <w:rPr>
          <w:rFonts w:eastAsia="Times New Roman"/>
          <w:lang w:eastAsia="en-US"/>
        </w:rPr>
        <w:t>2022. gadā IeM ir 116 DRR, no kuriem 69,0% ir būtiska novirze no plāna. No tiem 42 DRR plāns ir izpildīts par vairāk nekā 15%, savukārt 38 DRR plāns nav izpildīts par vairāk nekā 15%. Salīdzinot ar iepriekšējo gadu, DRR skaits, kuriem plāns nav izpildīts par vairāk nekā 15%, ir samazinājies par 7,3%, savukārt DRR skaits, kuriem plāns ir izpildīts par vairāk nekā 15%, ir pieaudzis par 40,0% (skatīt attēlu Nr. 2.3.12.).</w:t>
      </w:r>
    </w:p>
    <w:p w14:paraId="50F6E7A0" w14:textId="77777777" w:rsidR="007A7EFC" w:rsidRDefault="007A7EFC" w:rsidP="00555485">
      <w:pPr>
        <w:spacing w:after="120" w:line="259" w:lineRule="auto"/>
        <w:jc w:val="both"/>
        <w:rPr>
          <w:rFonts w:eastAsia="Times New Roman"/>
          <w:b/>
          <w:bCs/>
          <w:lang w:eastAsia="en-US"/>
        </w:rPr>
      </w:pPr>
    </w:p>
    <w:p w14:paraId="394E7913" w14:textId="0F7685C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Izglītības un zinātnes ministrija</w:t>
      </w:r>
    </w:p>
    <w:p w14:paraId="12879B15"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IZM pamatbudžeta pamatfunkciju DRR izpilde 2022. gadā ir 91,2%, kas, salīdzinot ar citām ministrijā, ir vidējs rādītājs.</w:t>
      </w:r>
    </w:p>
    <w:p w14:paraId="77552B8C" w14:textId="77777777" w:rsidR="00555485" w:rsidRPr="00307028" w:rsidRDefault="00555485" w:rsidP="00444618">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2.3.13. attēls</w:t>
      </w:r>
      <w:r w:rsidRPr="00307028">
        <w:rPr>
          <w:rFonts w:eastAsia="Times New Roman"/>
          <w:b/>
          <w:bCs/>
          <w:sz w:val="22"/>
          <w:szCs w:val="22"/>
          <w:lang w:eastAsia="en-US"/>
        </w:rPr>
        <w:t xml:space="preserve"> IZM pamatbudžeta pamatfunkciju DRR un izdevumu izpildes līmenis (%)</w:t>
      </w:r>
    </w:p>
    <w:p w14:paraId="19749F89"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75175CB9" wp14:editId="1C4D14C7">
            <wp:extent cx="5718810" cy="2013794"/>
            <wp:effectExtent l="0" t="0" r="0" b="5715"/>
            <wp:docPr id="1211629199" name="Chart 1211629199">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19000C"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2.3.13. redzama IZM DRR izpildes korelācija ar izdevumu izpildes līmeni. Secināms, ka visos analizētajos gados DRR izpildes līmenis ir zemāks nekā izdevumu izpildes līmenis, izdevumu izpildes līmenim sasniedzot gandrīz 100%, bet DRR izpildes līmenim esot vidēji ap 90%. </w:t>
      </w:r>
    </w:p>
    <w:p w14:paraId="4C34C8D4" w14:textId="483D9023" w:rsidR="00272A6C" w:rsidRPr="00307028" w:rsidRDefault="00555485" w:rsidP="00DE4FDE">
      <w:pPr>
        <w:spacing w:after="120" w:line="259" w:lineRule="auto"/>
        <w:ind w:firstLine="720"/>
        <w:jc w:val="both"/>
        <w:rPr>
          <w:rFonts w:eastAsia="Times New Roman"/>
          <w:lang w:eastAsia="en-US"/>
        </w:rPr>
      </w:pPr>
      <w:r w:rsidRPr="00307028">
        <w:rPr>
          <w:rFonts w:eastAsia="Times New Roman"/>
          <w:lang w:eastAsia="en-US"/>
        </w:rPr>
        <w:t>IZM DRR izpildes līmeni 2022. gadā būtiski ietekmēja DRR izpilde 38,7% apmērā budžeta apakšprogrammā 09.12.00 “Latvijas Sporta muzejs”, jo samazinājās muzeja apmeklētāju skaits saistībā ar Covid-19 infekcijas izplatības ierobežošanas pasākumiem un 50,0% apmērā budžeta apakšprogrammā 03.08.00 “Augstākās izglītības padome”, jo netika akreditētas iestādes un apstiprināta profesoru padome.</w:t>
      </w:r>
    </w:p>
    <w:p w14:paraId="413AD005" w14:textId="77777777" w:rsidR="00267B87" w:rsidRDefault="00267B87" w:rsidP="00272A6C">
      <w:pPr>
        <w:spacing w:line="259" w:lineRule="auto"/>
        <w:jc w:val="center"/>
        <w:rPr>
          <w:rFonts w:eastAsia="Times New Roman"/>
          <w:b/>
          <w:bCs/>
          <w:i/>
          <w:iCs/>
          <w:sz w:val="22"/>
          <w:szCs w:val="22"/>
          <w:lang w:eastAsia="en-US"/>
        </w:rPr>
      </w:pPr>
    </w:p>
    <w:p w14:paraId="476739BF" w14:textId="77777777" w:rsidR="00267B87" w:rsidRDefault="00267B87" w:rsidP="00272A6C">
      <w:pPr>
        <w:spacing w:line="259" w:lineRule="auto"/>
        <w:jc w:val="center"/>
        <w:rPr>
          <w:rFonts w:eastAsia="Times New Roman"/>
          <w:b/>
          <w:bCs/>
          <w:i/>
          <w:iCs/>
          <w:sz w:val="22"/>
          <w:szCs w:val="22"/>
          <w:lang w:eastAsia="en-US"/>
        </w:rPr>
      </w:pPr>
    </w:p>
    <w:p w14:paraId="19C39CB8" w14:textId="084B2F6E" w:rsidR="00555485" w:rsidRPr="00307028" w:rsidRDefault="00555485" w:rsidP="00272A6C">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2.3.14. attēls</w:t>
      </w:r>
      <w:r w:rsidRPr="00307028">
        <w:rPr>
          <w:rFonts w:eastAsia="Times New Roman"/>
          <w:b/>
          <w:bCs/>
          <w:sz w:val="22"/>
          <w:szCs w:val="22"/>
          <w:lang w:eastAsia="en-US"/>
        </w:rPr>
        <w:t xml:space="preserve"> DRR skaits, kuriem ir konstatēta izpildes novirze no plāna par vairāk nekā 15%</w:t>
      </w:r>
    </w:p>
    <w:p w14:paraId="005FEFB4"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5422DB9A" wp14:editId="584F7D75">
            <wp:extent cx="5591175" cy="2082507"/>
            <wp:effectExtent l="0" t="0" r="0" b="0"/>
            <wp:docPr id="1586527102"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B7B69FC" w14:textId="6B9C6B7E"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IZM ir 197 DRR, no kuriem 41,1% ir būtiska novirze no plāna. No tiem 48</w:t>
      </w:r>
      <w:r w:rsidR="00267B87">
        <w:rPr>
          <w:rFonts w:eastAsia="Times New Roman"/>
          <w:lang w:eastAsia="en-US"/>
        </w:rPr>
        <w:t> </w:t>
      </w:r>
      <w:r w:rsidRPr="00307028">
        <w:rPr>
          <w:rFonts w:eastAsia="Times New Roman"/>
          <w:lang w:eastAsia="en-US"/>
        </w:rPr>
        <w:t>DRR plāns ir izpildīts par vairāk nekā 15%, savukārt 33 DRR plāns nav izpildīts par vairāk nekā 15%. Salīdzinot ar iepriekšējo gadu, DRR skaits, kuriem plāns nav izpildīts par vairāk nekā 15%, ir pieaudzis par 13,8%, savukārt DRR skaits, kuriem plāns ir izpildīts par vairāk nekā 15%, ir pieaudzis par 26,3% (skatīt attēlu Nr. 2.3.14.).</w:t>
      </w:r>
    </w:p>
    <w:p w14:paraId="7C69FF98" w14:textId="77777777" w:rsidR="0017150F" w:rsidRPr="00307028" w:rsidRDefault="0017150F" w:rsidP="00D85401">
      <w:pPr>
        <w:spacing w:line="259" w:lineRule="auto"/>
        <w:jc w:val="both"/>
        <w:rPr>
          <w:rFonts w:eastAsia="Times New Roman"/>
          <w:lang w:eastAsia="en-US"/>
        </w:rPr>
      </w:pPr>
    </w:p>
    <w:p w14:paraId="6B841E7D"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Kultūras ministrija</w:t>
      </w:r>
    </w:p>
    <w:p w14:paraId="469296E6" w14:textId="77777777" w:rsidR="00555485" w:rsidRPr="00307028" w:rsidRDefault="00555485" w:rsidP="00555485">
      <w:pPr>
        <w:spacing w:after="160" w:line="259" w:lineRule="auto"/>
        <w:ind w:firstLine="720"/>
        <w:jc w:val="both"/>
        <w:rPr>
          <w:rFonts w:eastAsia="Times New Roman"/>
          <w:lang w:eastAsia="en-US"/>
        </w:rPr>
      </w:pPr>
      <w:r w:rsidRPr="00307028">
        <w:rPr>
          <w:rFonts w:eastAsia="Times New Roman"/>
          <w:lang w:eastAsia="en-US"/>
        </w:rPr>
        <w:t>KM pamatbudžeta pamatfunkciju DRR izpilde 2022. gadā ir 90,5%, kas, salīdzinot ar citām ministrijām, ir vidējs rādītājs.</w:t>
      </w:r>
    </w:p>
    <w:p w14:paraId="00B3C834" w14:textId="77777777" w:rsidR="00555485" w:rsidRPr="00307028" w:rsidRDefault="00555485" w:rsidP="00272A6C">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2.3.15. attēls</w:t>
      </w:r>
      <w:r w:rsidRPr="00307028">
        <w:rPr>
          <w:rFonts w:eastAsia="Times New Roman"/>
          <w:b/>
          <w:bCs/>
          <w:sz w:val="22"/>
          <w:szCs w:val="22"/>
          <w:lang w:eastAsia="en-US"/>
        </w:rPr>
        <w:t xml:space="preserve"> KM pamatbudžeta pamatfunkciju DRR un izdevumu izpildes līmenis (%)</w:t>
      </w:r>
    </w:p>
    <w:p w14:paraId="0C1433C8"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7C8CDB86" wp14:editId="42CEA4B5">
            <wp:extent cx="5718810" cy="1976795"/>
            <wp:effectExtent l="0" t="0" r="0" b="4445"/>
            <wp:docPr id="2093574396" name="Chart 2093574396">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E133EAB"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2.3.15. redzama KM DRR izpildes korelācija ar izdevumu izpildes līmeni. Secināms, ka visos analizētajos gados DRR izpildes līmenis ir zemāks nekā izdevumu izpildes līmenis. Lielākas atšķirības ir vērojamas 2020. un 2021. gadā, kur izdevumu izpildes līmenis ir gandrīz 100%, bet DRR izpildes līmenis nesasniedz 90%.</w:t>
      </w:r>
    </w:p>
    <w:p w14:paraId="7C906701" w14:textId="442DA034" w:rsidR="00272A6C" w:rsidRPr="00307028" w:rsidRDefault="00555485" w:rsidP="00DE4FDE">
      <w:pPr>
        <w:spacing w:after="120" w:line="259" w:lineRule="auto"/>
        <w:ind w:firstLine="720"/>
        <w:jc w:val="both"/>
        <w:rPr>
          <w:rFonts w:eastAsia="Times New Roman"/>
          <w:lang w:eastAsia="en-US"/>
        </w:rPr>
      </w:pPr>
      <w:r w:rsidRPr="00307028">
        <w:rPr>
          <w:rFonts w:eastAsia="Times New Roman"/>
          <w:lang w:eastAsia="en-US"/>
        </w:rPr>
        <w:t>KM DRR izpildes līmeni 2022. gadā būtiski ietekmēja DRR izpilde 70,4% apmērā budžeta apakšprogrammā 25.02.00 “Valsts kultūrkapitāla fonda programmu un projektu konkursi”, jo tika atbalstīt</w:t>
      </w:r>
      <w:r w:rsidR="0021454D" w:rsidRPr="00307028">
        <w:rPr>
          <w:rFonts w:eastAsia="Times New Roman"/>
          <w:lang w:eastAsia="en-US"/>
        </w:rPr>
        <w:t>s</w:t>
      </w:r>
      <w:r w:rsidRPr="00307028">
        <w:rPr>
          <w:rFonts w:eastAsia="Times New Roman"/>
          <w:lang w:eastAsia="en-US"/>
        </w:rPr>
        <w:t xml:space="preserve"> mazāk</w:t>
      </w:r>
      <w:r w:rsidR="0021454D" w:rsidRPr="00307028">
        <w:rPr>
          <w:rFonts w:eastAsia="Times New Roman"/>
          <w:lang w:eastAsia="en-US"/>
        </w:rPr>
        <w:t>s</w:t>
      </w:r>
      <w:r w:rsidRPr="00307028">
        <w:rPr>
          <w:rFonts w:eastAsia="Times New Roman"/>
          <w:lang w:eastAsia="en-US"/>
        </w:rPr>
        <w:t xml:space="preserve"> projekt</w:t>
      </w:r>
      <w:r w:rsidR="0021454D" w:rsidRPr="00307028">
        <w:rPr>
          <w:rFonts w:eastAsia="Times New Roman"/>
          <w:lang w:eastAsia="en-US"/>
        </w:rPr>
        <w:t>u skaits</w:t>
      </w:r>
      <w:r w:rsidRPr="00307028">
        <w:rPr>
          <w:rFonts w:eastAsia="Times New Roman"/>
          <w:lang w:eastAsia="en-US"/>
        </w:rPr>
        <w:t xml:space="preserve"> un profesionālās radošās personas nekā plānots, un 80,6% apmērā budžeta apakšprogrammā 25.01.00 “Valsts kultūrkapitāla fonda darbības nodrošināšana”, jo mazāk tika organizēti projektu konkursi un izvērtēti iesniegtie projekti.</w:t>
      </w:r>
    </w:p>
    <w:p w14:paraId="7C7B0554" w14:textId="77777777" w:rsidR="00267B87" w:rsidRDefault="00267B87" w:rsidP="00272A6C">
      <w:pPr>
        <w:spacing w:line="259" w:lineRule="auto"/>
        <w:jc w:val="center"/>
        <w:rPr>
          <w:rFonts w:eastAsia="Times New Roman"/>
          <w:b/>
          <w:bCs/>
          <w:i/>
          <w:iCs/>
          <w:sz w:val="22"/>
          <w:szCs w:val="22"/>
          <w:lang w:eastAsia="en-US"/>
        </w:rPr>
      </w:pPr>
    </w:p>
    <w:p w14:paraId="09AF5337" w14:textId="77777777" w:rsidR="00267B87" w:rsidRDefault="00267B87" w:rsidP="00272A6C">
      <w:pPr>
        <w:spacing w:line="259" w:lineRule="auto"/>
        <w:jc w:val="center"/>
        <w:rPr>
          <w:rFonts w:eastAsia="Times New Roman"/>
          <w:b/>
          <w:bCs/>
          <w:i/>
          <w:iCs/>
          <w:sz w:val="22"/>
          <w:szCs w:val="22"/>
          <w:lang w:eastAsia="en-US"/>
        </w:rPr>
      </w:pPr>
    </w:p>
    <w:p w14:paraId="0674A669" w14:textId="77777777" w:rsidR="00267B87" w:rsidRDefault="00267B87" w:rsidP="00272A6C">
      <w:pPr>
        <w:spacing w:line="259" w:lineRule="auto"/>
        <w:jc w:val="center"/>
        <w:rPr>
          <w:rFonts w:eastAsia="Times New Roman"/>
          <w:b/>
          <w:bCs/>
          <w:i/>
          <w:iCs/>
          <w:sz w:val="22"/>
          <w:szCs w:val="22"/>
          <w:lang w:eastAsia="en-US"/>
        </w:rPr>
      </w:pPr>
    </w:p>
    <w:p w14:paraId="281ABBEB" w14:textId="26181F47" w:rsidR="00555485" w:rsidRPr="00307028" w:rsidRDefault="00555485" w:rsidP="00272A6C">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2.3.16. attēls</w:t>
      </w:r>
      <w:r w:rsidRPr="00307028">
        <w:rPr>
          <w:rFonts w:eastAsia="Times New Roman"/>
          <w:b/>
          <w:bCs/>
          <w:sz w:val="22"/>
          <w:szCs w:val="22"/>
          <w:lang w:eastAsia="en-US"/>
        </w:rPr>
        <w:t xml:space="preserve"> DRR skaits, kuriem ir konstatēta izpildes novirze no plāna par vairāk nekā 15%</w:t>
      </w:r>
    </w:p>
    <w:p w14:paraId="24A7F8A5"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0C918581" wp14:editId="45BB5FDC">
            <wp:extent cx="5591175" cy="1950367"/>
            <wp:effectExtent l="0" t="0" r="0" b="0"/>
            <wp:docPr id="1767375231"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AFA965A" w14:textId="3850A056"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KM ir 101 DRR, no kuriem 42,6% ir būtiska novirze no plāna. No tiem 20</w:t>
      </w:r>
      <w:r w:rsidR="00267B87">
        <w:rPr>
          <w:rFonts w:eastAsia="Times New Roman"/>
          <w:lang w:eastAsia="en-US"/>
        </w:rPr>
        <w:t> </w:t>
      </w:r>
      <w:r w:rsidRPr="00307028">
        <w:rPr>
          <w:rFonts w:eastAsia="Times New Roman"/>
          <w:lang w:eastAsia="en-US"/>
        </w:rPr>
        <w:t>DRR plāns ir izpildīts par vairāk nekā 15%, savukārt 23 DRR plāns nav izpildīts par vairāk nekā 15%. Salīdzinot ar iepriekšējo gadu, DRR skaits, kuriem plāns nav izpildīts par vairāk nekā 15%, ir pieaudzis par 35,3%, savukārt DRR skaits, kuriem plāns ir izpildīts par vairāk nekā 15%, ir samazinājies par 4,8% (skatīt attēlu Nr. 2.3.16.).</w:t>
      </w:r>
    </w:p>
    <w:p w14:paraId="5694B90F" w14:textId="77777777" w:rsidR="00017993" w:rsidRPr="00307028" w:rsidRDefault="00017993" w:rsidP="00272A6C">
      <w:pPr>
        <w:spacing w:line="259" w:lineRule="auto"/>
        <w:jc w:val="both"/>
        <w:rPr>
          <w:rFonts w:eastAsia="Times New Roman"/>
          <w:b/>
          <w:bCs/>
          <w:lang w:eastAsia="en-US"/>
        </w:rPr>
      </w:pPr>
    </w:p>
    <w:p w14:paraId="3505C82D"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Labklājības ministrija</w:t>
      </w:r>
    </w:p>
    <w:p w14:paraId="7FDA26CF" w14:textId="6AFA835A" w:rsidR="00DE4FDE" w:rsidRPr="00307028" w:rsidRDefault="00555485" w:rsidP="000C3AB3">
      <w:pPr>
        <w:spacing w:after="120" w:line="259" w:lineRule="auto"/>
        <w:ind w:firstLine="720"/>
        <w:jc w:val="both"/>
        <w:rPr>
          <w:rFonts w:eastAsia="Times New Roman"/>
          <w:lang w:eastAsia="en-US"/>
        </w:rPr>
      </w:pPr>
      <w:r w:rsidRPr="00307028">
        <w:rPr>
          <w:rFonts w:eastAsia="Times New Roman"/>
          <w:lang w:eastAsia="en-US"/>
        </w:rPr>
        <w:t>LM pamatbudžeta pamatfunkciju DRR izpilde 2022.</w:t>
      </w:r>
      <w:r w:rsidRPr="00307028">
        <w:rPr>
          <w:rFonts w:eastAsia="Times New Roman"/>
          <w:szCs w:val="22"/>
          <w:lang w:eastAsia="en-US"/>
        </w:rPr>
        <w:t> </w:t>
      </w:r>
      <w:r w:rsidRPr="00307028">
        <w:rPr>
          <w:rFonts w:eastAsia="Times New Roman"/>
          <w:lang w:eastAsia="en-US"/>
        </w:rPr>
        <w:t>gadā ir 88,1%, kas, salīdzinot ar citām ministrijām, ir vidējs rādītājs.</w:t>
      </w:r>
    </w:p>
    <w:p w14:paraId="77676971" w14:textId="77777777" w:rsidR="00555485" w:rsidRPr="00307028" w:rsidRDefault="00555485" w:rsidP="00272A6C">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2.3.17. attēls</w:t>
      </w:r>
      <w:r w:rsidRPr="00307028">
        <w:rPr>
          <w:rFonts w:eastAsia="Times New Roman"/>
          <w:b/>
          <w:bCs/>
          <w:sz w:val="22"/>
          <w:szCs w:val="22"/>
          <w:lang w:eastAsia="en-US"/>
        </w:rPr>
        <w:t xml:space="preserve"> LM pamatbudžeta pamatfunkciju DRR un izdevumu izpildes līmenis (%)</w:t>
      </w:r>
    </w:p>
    <w:p w14:paraId="55451DEB"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40594507" wp14:editId="3BB9E9AC">
            <wp:extent cx="5718810" cy="1881656"/>
            <wp:effectExtent l="0" t="0" r="0" b="4445"/>
            <wp:docPr id="318764426" name="Chart 318764426">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799A29A"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2.3.17. redzama LM DRR izpildes korelācija ar izdevumu izpildes līmeni. Secināms, ka visos analizētajos gados DRR izpildes līmenis ir krietni zemāks nekā izdevumu izpildes līmenis, izdevumu izpildes līmenim sasniedzot gandrīz 100%, bet DRR izpildes līmenim esot zem 90%. </w:t>
      </w:r>
    </w:p>
    <w:p w14:paraId="3BFFCCCE" w14:textId="45FB0B52"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LM DRR izpildes līmeni 2022. gadā būtiski ietekmēja DRR izpilde 73,3% apmērā budžeta apakšprogrammā 22.02.00 “Valsts programma bērnu un ģimenes stāvokļa uzlabošanai”, jo netika sniegts mentora atbalsts ārpusģimenes aprūpē esošajiem bērniem (vecumā no 17</w:t>
      </w:r>
      <w:r w:rsidR="0021454D" w:rsidRPr="00307028">
        <w:rPr>
          <w:rFonts w:eastAsia="Times New Roman"/>
          <w:lang w:eastAsia="en-US"/>
        </w:rPr>
        <w:t xml:space="preserve"> līdz </w:t>
      </w:r>
      <w:r w:rsidRPr="00307028">
        <w:rPr>
          <w:rFonts w:eastAsia="Times New Roman"/>
          <w:lang w:eastAsia="en-US"/>
        </w:rPr>
        <w:t>19 gadiem), un 76,2% apmērā budžeta apakšprogrammā 05.01.00 “Sociālās rehabilitācijas valsts programmas”, jo no psihoaktīvām vielām atkarīgiem bērniem netika sniegta sociālā rehabilitācija institūcijā, kā arī pilngadīgām personām – dzīvesvietā.</w:t>
      </w:r>
    </w:p>
    <w:p w14:paraId="5F60D306"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LM norāda, ka 2022. gada budžeta procesa izpildes gaitā analizēja DRR izpildes tendences un tika apzināti atsevišķi DRR, kuriem izpildes rādītāji nesasniegs plānotos apmērus. Līdz ar to 2022. gadā LM sagatavoja un iesniedza izskatīšanai MK priekšlikumus līdzekļu </w:t>
      </w:r>
      <w:r w:rsidRPr="00307028">
        <w:rPr>
          <w:rFonts w:eastAsia="Times New Roman"/>
          <w:lang w:eastAsia="en-US"/>
        </w:rPr>
        <w:lastRenderedPageBreak/>
        <w:t>pārdalei starp pasākumiem, veicot līdzekļu pārdali no atsevišķiem pasākumiem, kuriem tika plānota neizpilde, uz pasākumiem, kuriem finansējums bija nepietiekošs.</w:t>
      </w:r>
    </w:p>
    <w:p w14:paraId="208C855E" w14:textId="77777777" w:rsidR="00555485" w:rsidRPr="00307028" w:rsidRDefault="00555485" w:rsidP="00272A6C">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2.3.18. attēls</w:t>
      </w:r>
      <w:r w:rsidRPr="00307028">
        <w:rPr>
          <w:rFonts w:eastAsia="Times New Roman"/>
          <w:b/>
          <w:bCs/>
          <w:sz w:val="22"/>
          <w:szCs w:val="22"/>
          <w:lang w:eastAsia="en-US"/>
        </w:rPr>
        <w:t xml:space="preserve"> DRR skaits, kuriem ir konstatēta izpildes novirze no plāna par vairāk nekā 15%</w:t>
      </w:r>
    </w:p>
    <w:p w14:paraId="49E5281C"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664633F0" wp14:editId="2E4370D4">
            <wp:extent cx="5591175" cy="1987366"/>
            <wp:effectExtent l="0" t="0" r="0" b="0"/>
            <wp:docPr id="1407020837"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F69719C" w14:textId="64804DCE" w:rsidR="000C3AB3" w:rsidRPr="00307028" w:rsidRDefault="00555485" w:rsidP="00017993">
      <w:pPr>
        <w:spacing w:line="259" w:lineRule="auto"/>
        <w:ind w:firstLine="720"/>
        <w:jc w:val="both"/>
        <w:rPr>
          <w:rFonts w:eastAsia="Times New Roman"/>
          <w:lang w:eastAsia="en-US"/>
        </w:rPr>
      </w:pPr>
      <w:r w:rsidRPr="00307028">
        <w:rPr>
          <w:rFonts w:eastAsia="Times New Roman"/>
          <w:lang w:eastAsia="en-US"/>
        </w:rPr>
        <w:t>2022. gadā LM ir 194 DRR, no kuriem 48,5% ir būtiska novirze no plāna. No tiem 49</w:t>
      </w:r>
      <w:r w:rsidR="00267B87">
        <w:rPr>
          <w:rFonts w:eastAsia="Times New Roman"/>
          <w:lang w:eastAsia="en-US"/>
        </w:rPr>
        <w:t> </w:t>
      </w:r>
      <w:r w:rsidRPr="00307028">
        <w:rPr>
          <w:rFonts w:eastAsia="Times New Roman"/>
          <w:lang w:eastAsia="en-US"/>
        </w:rPr>
        <w:t>DRR plāns ir izpildīts par vairāk nekā 15%, savukārt 45 DRR plāns nav izpildīts par vairāk nekā 15%. Salīdzinot ar iepriekšējo gadu, DRR skaits, kuriem plāns nav izpildīts par vairāk nekā 15%, ir nemainīgs, savukārt DRR skaits, kuriem plāns ir izpildīts par vairāk nekā 15%, ir pieaudzis par 11,4% (skatīt attēlu Nr. 2.3.18.).</w:t>
      </w:r>
    </w:p>
    <w:p w14:paraId="6F722FDD" w14:textId="77777777" w:rsidR="00580DD6" w:rsidRDefault="00580DD6" w:rsidP="00555485">
      <w:pPr>
        <w:spacing w:after="120" w:line="259" w:lineRule="auto"/>
        <w:jc w:val="both"/>
        <w:rPr>
          <w:rFonts w:eastAsia="Times New Roman"/>
          <w:b/>
          <w:bCs/>
          <w:lang w:eastAsia="en-US"/>
        </w:rPr>
      </w:pPr>
    </w:p>
    <w:p w14:paraId="07FC254D" w14:textId="7E0DB8A9"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Satiksmes ministrija</w:t>
      </w:r>
    </w:p>
    <w:p w14:paraId="6F2FB99C" w14:textId="77777777" w:rsidR="00555485" w:rsidRPr="00307028" w:rsidRDefault="00555485" w:rsidP="00555485">
      <w:pPr>
        <w:spacing w:after="160" w:line="259" w:lineRule="auto"/>
        <w:ind w:firstLine="720"/>
        <w:jc w:val="both"/>
        <w:rPr>
          <w:rFonts w:eastAsia="Times New Roman"/>
          <w:lang w:eastAsia="en-US"/>
        </w:rPr>
      </w:pPr>
      <w:r w:rsidRPr="00307028">
        <w:rPr>
          <w:rFonts w:eastAsia="Times New Roman"/>
          <w:lang w:eastAsia="en-US"/>
        </w:rPr>
        <w:t>SM pamatbudžeta pamatfunkciju DRR izpilde 2022. gadā ir 95,4%, kas, salīdzinot ar citām ministrijām, ir samērā augsts rādītājs.</w:t>
      </w:r>
    </w:p>
    <w:p w14:paraId="14F0902F"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2.3.19. attēls</w:t>
      </w:r>
      <w:r w:rsidRPr="00307028">
        <w:rPr>
          <w:rFonts w:eastAsia="Times New Roman"/>
          <w:b/>
          <w:bCs/>
          <w:sz w:val="22"/>
          <w:szCs w:val="22"/>
          <w:lang w:eastAsia="en-US"/>
        </w:rPr>
        <w:t xml:space="preserve"> SM pamatbudžeta pamatfunkciju DRR un izdevumu izpildes līmenis (%)</w:t>
      </w:r>
    </w:p>
    <w:p w14:paraId="6BD80DF3"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6C4C4B68" wp14:editId="45F5BF2E">
            <wp:extent cx="5718810" cy="2013794"/>
            <wp:effectExtent l="0" t="0" r="0" b="5715"/>
            <wp:docPr id="808724430" name="Chart 808724430">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9C09EE"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 xml:space="preserve">Attēlā Nr. 2.3.19. redzama SM DRR izpildes korelācija ar izdevumu izpildes līmeni. Secināms, ka visos analizētajos gados DRR izpildes līmenis ir zemāks nekā izdevumu izpildes līmenis. Lielākas atšķirības ir vērojamas 2021. gadā, kur izdevumu izpildes līmenis ir gandrīz 100%, bet DRR izpildes līmenis ir zem 80%. </w:t>
      </w:r>
    </w:p>
    <w:p w14:paraId="0FA94C5C" w14:textId="7EE79F32" w:rsidR="00F52674" w:rsidRPr="00307028" w:rsidRDefault="00555485" w:rsidP="00DE4FDE">
      <w:pPr>
        <w:spacing w:after="120" w:line="259" w:lineRule="auto"/>
        <w:ind w:right="-1" w:firstLine="720"/>
        <w:jc w:val="both"/>
        <w:rPr>
          <w:rFonts w:eastAsia="Times New Roman"/>
          <w:lang w:eastAsia="en-US"/>
        </w:rPr>
      </w:pPr>
      <w:r w:rsidRPr="00307028">
        <w:rPr>
          <w:rFonts w:eastAsia="Times New Roman"/>
          <w:lang w:eastAsia="en-US"/>
        </w:rPr>
        <w:t>SM DRR izpildes līmeni 2022. gadā būtiski ietekmēja DRR izpilde 88,4% apmērā budžeta apakšprogrammā 31.08.00 “Transferts plānošanas reģioniem sabiedriskā transporta pakalpojumu nodrošināšanai’, jo plānošanas reģioni izsniedza mazāk</w:t>
      </w:r>
      <w:r w:rsidR="00D31B77" w:rsidRPr="00307028">
        <w:rPr>
          <w:rFonts w:eastAsia="Times New Roman"/>
          <w:lang w:eastAsia="en-US"/>
        </w:rPr>
        <w:t xml:space="preserve">u skaitu </w:t>
      </w:r>
      <w:r w:rsidRPr="00307028">
        <w:rPr>
          <w:rFonts w:eastAsia="Times New Roman"/>
          <w:lang w:eastAsia="en-US"/>
        </w:rPr>
        <w:t>licen</w:t>
      </w:r>
      <w:r w:rsidR="00D31B77" w:rsidRPr="00307028">
        <w:rPr>
          <w:rFonts w:eastAsia="Times New Roman"/>
          <w:lang w:eastAsia="en-US"/>
        </w:rPr>
        <w:t>ču</w:t>
      </w:r>
      <w:r w:rsidRPr="00307028">
        <w:rPr>
          <w:rFonts w:eastAsia="Times New Roman"/>
          <w:lang w:eastAsia="en-US"/>
        </w:rPr>
        <w:t xml:space="preserve"> par pasažieru komercpārvadājumiem ar taksometriem nekā plānots, kā arī tika apsekot</w:t>
      </w:r>
      <w:r w:rsidR="00D31B77" w:rsidRPr="00307028">
        <w:rPr>
          <w:rFonts w:eastAsia="Times New Roman"/>
          <w:lang w:eastAsia="en-US"/>
        </w:rPr>
        <w:t>s</w:t>
      </w:r>
      <w:r w:rsidRPr="00307028">
        <w:rPr>
          <w:rFonts w:eastAsia="Times New Roman"/>
          <w:lang w:eastAsia="en-US"/>
        </w:rPr>
        <w:t xml:space="preserve"> un uzraudzīts mazāk</w:t>
      </w:r>
      <w:r w:rsidR="00D31B77" w:rsidRPr="00307028">
        <w:rPr>
          <w:rFonts w:eastAsia="Times New Roman"/>
          <w:lang w:eastAsia="en-US"/>
        </w:rPr>
        <w:t>s</w:t>
      </w:r>
      <w:r w:rsidRPr="00307028">
        <w:rPr>
          <w:rFonts w:eastAsia="Times New Roman"/>
          <w:lang w:eastAsia="en-US"/>
        </w:rPr>
        <w:t xml:space="preserve"> pieturviet</w:t>
      </w:r>
      <w:r w:rsidR="00D31B77" w:rsidRPr="00307028">
        <w:rPr>
          <w:rFonts w:eastAsia="Times New Roman"/>
          <w:lang w:eastAsia="en-US"/>
        </w:rPr>
        <w:t>u skaits</w:t>
      </w:r>
      <w:r w:rsidRPr="00307028">
        <w:rPr>
          <w:rFonts w:eastAsia="Times New Roman"/>
          <w:lang w:eastAsia="en-US"/>
        </w:rPr>
        <w:t xml:space="preserve"> nekā plānots.</w:t>
      </w:r>
    </w:p>
    <w:p w14:paraId="0F88C202" w14:textId="77777777" w:rsidR="00267B87" w:rsidRDefault="00267B87" w:rsidP="00F52674">
      <w:pPr>
        <w:spacing w:line="259" w:lineRule="auto"/>
        <w:jc w:val="center"/>
        <w:rPr>
          <w:rFonts w:eastAsia="Times New Roman"/>
          <w:b/>
          <w:bCs/>
          <w:i/>
          <w:iCs/>
          <w:sz w:val="22"/>
          <w:szCs w:val="22"/>
          <w:lang w:eastAsia="en-US"/>
        </w:rPr>
      </w:pPr>
    </w:p>
    <w:p w14:paraId="47506D11" w14:textId="77777777" w:rsidR="00267B87" w:rsidRDefault="00267B87" w:rsidP="00F52674">
      <w:pPr>
        <w:spacing w:line="259" w:lineRule="auto"/>
        <w:jc w:val="center"/>
        <w:rPr>
          <w:rFonts w:eastAsia="Times New Roman"/>
          <w:b/>
          <w:bCs/>
          <w:i/>
          <w:iCs/>
          <w:sz w:val="22"/>
          <w:szCs w:val="22"/>
          <w:lang w:eastAsia="en-US"/>
        </w:rPr>
      </w:pPr>
    </w:p>
    <w:p w14:paraId="3C9DEA79" w14:textId="0C878D9D"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2.3.20. attēls</w:t>
      </w:r>
      <w:r w:rsidRPr="00307028">
        <w:rPr>
          <w:rFonts w:eastAsia="Times New Roman"/>
          <w:b/>
          <w:bCs/>
          <w:sz w:val="22"/>
          <w:szCs w:val="22"/>
          <w:lang w:eastAsia="en-US"/>
        </w:rPr>
        <w:t xml:space="preserve"> DRR skaits, kuriem ir konstatēta izpildes novirze no plāna par vairāk nekā 15%</w:t>
      </w:r>
    </w:p>
    <w:p w14:paraId="113903A5"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7FB41ED9" wp14:editId="3C10748D">
            <wp:extent cx="5591175" cy="2135362"/>
            <wp:effectExtent l="0" t="0" r="0" b="0"/>
            <wp:docPr id="643451597"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28F14B4" w14:textId="6B5C6321" w:rsidR="000C3AB3" w:rsidRPr="00307028" w:rsidRDefault="00555485" w:rsidP="00D85401">
      <w:pPr>
        <w:spacing w:line="259" w:lineRule="auto"/>
        <w:ind w:firstLine="720"/>
        <w:jc w:val="both"/>
        <w:rPr>
          <w:rFonts w:eastAsia="Times New Roman"/>
          <w:lang w:eastAsia="en-US"/>
        </w:rPr>
      </w:pPr>
      <w:r w:rsidRPr="00307028">
        <w:rPr>
          <w:rFonts w:eastAsia="Times New Roman"/>
          <w:lang w:eastAsia="en-US"/>
        </w:rPr>
        <w:t>2022. gadā SM ir 45 DRR, no kuriem 28,9% ir būtiska novirze no plāna. No tiem 10</w:t>
      </w:r>
      <w:r w:rsidR="00267B87">
        <w:rPr>
          <w:rFonts w:eastAsia="Times New Roman"/>
          <w:lang w:eastAsia="en-US"/>
        </w:rPr>
        <w:t> </w:t>
      </w:r>
      <w:r w:rsidRPr="00307028">
        <w:rPr>
          <w:rFonts w:eastAsia="Times New Roman"/>
          <w:lang w:eastAsia="en-US"/>
        </w:rPr>
        <w:t>DRR plāns ir izpildīts par vairāk nekā 15%, savukārt trīs DRR plāns nav izpildīts par vairāk nekā 15%. Salīdzinot ar iepriekšējo gadu, DRR skaits, kuriem plāns nav izpildīts par vairāk nekā 15%, ir samazinājies par 80,0%, savukārt DRR skaits, kuriem plāns ir izpildīts par vairāk nekā 15%, ir samazinājies par 16,7% (skatīt attēlu Nr. 2.3.20.).</w:t>
      </w:r>
    </w:p>
    <w:p w14:paraId="46A9A113" w14:textId="77777777" w:rsidR="00017993" w:rsidRPr="00307028" w:rsidRDefault="00017993" w:rsidP="00555485">
      <w:pPr>
        <w:spacing w:after="120" w:line="259" w:lineRule="auto"/>
        <w:jc w:val="both"/>
        <w:rPr>
          <w:rFonts w:eastAsia="Times New Roman"/>
          <w:b/>
          <w:bCs/>
          <w:lang w:eastAsia="en-US"/>
        </w:rPr>
      </w:pPr>
    </w:p>
    <w:p w14:paraId="72F60066" w14:textId="0A1AF159"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Tieslietu ministrija</w:t>
      </w:r>
    </w:p>
    <w:p w14:paraId="627A3506"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TM pamatbudžeta pamatfunkciju DRR izpilde 2022. gadā ir 83,8%, kas, salīdzinot ar citām ministrijām, ir viens no zemākajiem rādītājiem.</w:t>
      </w:r>
    </w:p>
    <w:p w14:paraId="05511DA5"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2.3.21. attēls</w:t>
      </w:r>
      <w:r w:rsidRPr="00307028">
        <w:rPr>
          <w:rFonts w:eastAsia="Times New Roman"/>
          <w:b/>
          <w:bCs/>
          <w:sz w:val="22"/>
          <w:szCs w:val="22"/>
          <w:lang w:eastAsia="en-US"/>
        </w:rPr>
        <w:t xml:space="preserve"> TM pamatbudžeta pamatfunkciju DRR un izdevumu izpildes līmenis (%)</w:t>
      </w:r>
    </w:p>
    <w:p w14:paraId="13EAFD17"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5E5419AA" wp14:editId="5B6983CB">
            <wp:extent cx="5718810" cy="2188217"/>
            <wp:effectExtent l="0" t="0" r="0" b="2540"/>
            <wp:docPr id="972862994" name="Chart 972862994">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8FC0D09"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2.3.21. redzama TM DRR izpildes korelācija ar izdevumu izpildes līmeni. Secināms, ka visos analizētajos gados DRR izpildes līmenis ir krietni zemāks nekā izdevumu izpildes līmenis, izdevumu izpildes līmenim esot virs 90%, bet DRR līmenim nesasniedzot 90%.</w:t>
      </w:r>
    </w:p>
    <w:p w14:paraId="687394B8" w14:textId="64BB6851" w:rsidR="00F52674" w:rsidRPr="00307028" w:rsidRDefault="00555485" w:rsidP="00DE4FDE">
      <w:pPr>
        <w:spacing w:after="120" w:line="259" w:lineRule="auto"/>
        <w:ind w:firstLine="720"/>
        <w:jc w:val="both"/>
        <w:rPr>
          <w:rFonts w:eastAsia="Times New Roman"/>
          <w:lang w:eastAsia="en-US"/>
        </w:rPr>
      </w:pPr>
      <w:r w:rsidRPr="00307028">
        <w:rPr>
          <w:rFonts w:eastAsia="Times New Roman"/>
          <w:lang w:eastAsia="en-US"/>
        </w:rPr>
        <w:t>TM DRR izpildes līmeni 2022. gadā būtiski ietekmēja DRR izpilde 0% apmērā budžeta apakšprogrammā 06.05.00 “Maksātnespējas procesa izmaksas”, jo netika pieņemti lēmumi par administratora atlīdzības un pārējo administrācijas izmaksu segšanu, un 40,6% apmērā budžeta apakšprogrammā 06.04.00 “Darbinieku prasījumu garantiju fonds”, jo no darbinieku prasījumu garantiju fonda tika apmierināt</w:t>
      </w:r>
      <w:r w:rsidR="00D31B77" w:rsidRPr="00307028">
        <w:rPr>
          <w:rFonts w:eastAsia="Times New Roman"/>
          <w:lang w:eastAsia="en-US"/>
        </w:rPr>
        <w:t>s</w:t>
      </w:r>
      <w:r w:rsidRPr="00307028">
        <w:rPr>
          <w:rFonts w:eastAsia="Times New Roman"/>
          <w:lang w:eastAsia="en-US"/>
        </w:rPr>
        <w:t xml:space="preserve"> mazāk</w:t>
      </w:r>
      <w:r w:rsidR="00D31B77" w:rsidRPr="00307028">
        <w:rPr>
          <w:rFonts w:eastAsia="Times New Roman"/>
          <w:lang w:eastAsia="en-US"/>
        </w:rPr>
        <w:t>s</w:t>
      </w:r>
      <w:r w:rsidRPr="00307028">
        <w:rPr>
          <w:rFonts w:eastAsia="Times New Roman"/>
          <w:lang w:eastAsia="en-US"/>
        </w:rPr>
        <w:t xml:space="preserve"> darbinieku prasījum</w:t>
      </w:r>
      <w:r w:rsidR="00D31B77" w:rsidRPr="00307028">
        <w:rPr>
          <w:rFonts w:eastAsia="Times New Roman"/>
          <w:lang w:eastAsia="en-US"/>
        </w:rPr>
        <w:t>u skaits</w:t>
      </w:r>
      <w:r w:rsidRPr="00307028">
        <w:rPr>
          <w:rFonts w:eastAsia="Times New Roman"/>
          <w:lang w:eastAsia="en-US"/>
        </w:rPr>
        <w:t xml:space="preserve"> nekā plānots.</w:t>
      </w:r>
    </w:p>
    <w:p w14:paraId="327D50D9" w14:textId="77777777" w:rsidR="00580DD6" w:rsidRDefault="00580DD6" w:rsidP="00F52674">
      <w:pPr>
        <w:spacing w:line="259" w:lineRule="auto"/>
        <w:jc w:val="center"/>
        <w:rPr>
          <w:rFonts w:eastAsia="Times New Roman"/>
          <w:b/>
          <w:bCs/>
          <w:i/>
          <w:iCs/>
          <w:sz w:val="22"/>
          <w:szCs w:val="22"/>
          <w:lang w:eastAsia="en-US"/>
        </w:rPr>
      </w:pPr>
    </w:p>
    <w:p w14:paraId="0BCAD389" w14:textId="77777777" w:rsidR="00580DD6" w:rsidRDefault="00580DD6" w:rsidP="00F52674">
      <w:pPr>
        <w:spacing w:line="259" w:lineRule="auto"/>
        <w:jc w:val="center"/>
        <w:rPr>
          <w:rFonts w:eastAsia="Times New Roman"/>
          <w:b/>
          <w:bCs/>
          <w:i/>
          <w:iCs/>
          <w:sz w:val="22"/>
          <w:szCs w:val="22"/>
          <w:lang w:eastAsia="en-US"/>
        </w:rPr>
      </w:pPr>
    </w:p>
    <w:p w14:paraId="0E0085BD" w14:textId="0C935905"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2.3.22. attēls</w:t>
      </w:r>
      <w:r w:rsidRPr="00307028">
        <w:rPr>
          <w:rFonts w:eastAsia="Times New Roman"/>
          <w:b/>
          <w:bCs/>
          <w:sz w:val="22"/>
          <w:szCs w:val="22"/>
          <w:lang w:eastAsia="en-US"/>
        </w:rPr>
        <w:t xml:space="preserve"> DRR skaits, kuriem ir konstatēta izpildes novirze no plāna par vairāk nekā 15%</w:t>
      </w:r>
    </w:p>
    <w:p w14:paraId="451768E5" w14:textId="77777777" w:rsidR="00555485" w:rsidRPr="00307028" w:rsidRDefault="00555485" w:rsidP="00555485">
      <w:pPr>
        <w:spacing w:after="120" w:line="259" w:lineRule="auto"/>
        <w:jc w:val="both"/>
        <w:rPr>
          <w:rFonts w:eastAsia="Times New Roman"/>
          <w:lang w:eastAsia="en-US"/>
        </w:rPr>
      </w:pPr>
      <w:r w:rsidRPr="00307028">
        <w:rPr>
          <w:rFonts w:eastAsia="Times New Roman"/>
          <w:noProof/>
          <w:lang w:eastAsia="en-US"/>
        </w:rPr>
        <w:drawing>
          <wp:inline distT="0" distB="0" distL="0" distR="0" wp14:anchorId="79F1F84E" wp14:editId="52CFC850">
            <wp:extent cx="5591175" cy="2093077"/>
            <wp:effectExtent l="0" t="0" r="0" b="2540"/>
            <wp:docPr id="1441803978" name="Chart 1441803978">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E1FECBD" w14:textId="7756D7DB"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TM ir 132 DRR, no kuriem 52,3% ir būtiska novirze no plāna. No tiem 21</w:t>
      </w:r>
      <w:r w:rsidR="00267B87">
        <w:rPr>
          <w:rFonts w:eastAsia="Times New Roman"/>
          <w:lang w:eastAsia="en-US"/>
        </w:rPr>
        <w:t> </w:t>
      </w:r>
      <w:r w:rsidRPr="00307028">
        <w:rPr>
          <w:rFonts w:eastAsia="Times New Roman"/>
          <w:lang w:eastAsia="en-US"/>
        </w:rPr>
        <w:t>DRR plāns ir izpildīts par vairāk nekā 15%, savukārt 48 DRR plāns nav izpildīts par vairāk nekā 15%. Salīdzinot ar iepriekšējo gadu, DRR skaits, kuriem plāns nav izpildīts par vairāk nekā 15%, ir samazinājies par 2,0%, savukārt DRR skaits, kuriem plāns ir izpildīts par vairāk nekā 15%, ir samazinājies par 30,0% (skatīt attēlu Nr. 2.3.22.).</w:t>
      </w:r>
    </w:p>
    <w:p w14:paraId="1872736D" w14:textId="77777777" w:rsidR="00017993" w:rsidRPr="00307028" w:rsidRDefault="00017993" w:rsidP="00580DD6">
      <w:pPr>
        <w:spacing w:after="120" w:line="259" w:lineRule="auto"/>
        <w:jc w:val="both"/>
        <w:rPr>
          <w:rFonts w:eastAsia="Times New Roman"/>
          <w:b/>
          <w:bCs/>
          <w:lang w:eastAsia="en-US"/>
        </w:rPr>
      </w:pPr>
    </w:p>
    <w:p w14:paraId="6F348756"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Vides aizsardzības un reģionālās attīstības ministrija</w:t>
      </w:r>
    </w:p>
    <w:p w14:paraId="1F84A90B" w14:textId="48C682B1" w:rsidR="00DE4FDE" w:rsidRPr="00307028" w:rsidRDefault="00555485" w:rsidP="000C3AB3">
      <w:pPr>
        <w:spacing w:after="120" w:line="259" w:lineRule="auto"/>
        <w:ind w:firstLine="720"/>
        <w:jc w:val="both"/>
        <w:rPr>
          <w:rFonts w:eastAsia="Times New Roman"/>
          <w:lang w:eastAsia="en-US"/>
        </w:rPr>
      </w:pPr>
      <w:r w:rsidRPr="00307028">
        <w:rPr>
          <w:rFonts w:eastAsia="Times New Roman"/>
          <w:lang w:eastAsia="en-US"/>
        </w:rPr>
        <w:t>VARAM pamatbudžeta pamatfunkciju DRR izpilde 2022. gadā ir 96,1%, kas, salīdzinot ar citām ministrijām, ir viens no augstākajiem rādītājiem.</w:t>
      </w:r>
    </w:p>
    <w:p w14:paraId="1B6B453C"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2.3.23. attēls</w:t>
      </w:r>
      <w:r w:rsidRPr="00307028">
        <w:rPr>
          <w:rFonts w:eastAsia="Times New Roman"/>
          <w:b/>
          <w:bCs/>
          <w:sz w:val="22"/>
          <w:szCs w:val="22"/>
          <w:lang w:eastAsia="en-US"/>
        </w:rPr>
        <w:t xml:space="preserve"> VARAM pamatbudžeta pamatfunkciju DRR un izdevumu izpildes līmenis (%)</w:t>
      </w:r>
    </w:p>
    <w:p w14:paraId="7D4BDF44"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08448832" wp14:editId="4829A58E">
            <wp:extent cx="5718810" cy="2283358"/>
            <wp:effectExtent l="0" t="0" r="0" b="3175"/>
            <wp:docPr id="56752745" name="Chart 56752745">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C1370D" w14:textId="77777777" w:rsidR="00555485" w:rsidRPr="00307028" w:rsidRDefault="00555485" w:rsidP="00F52674">
      <w:pPr>
        <w:spacing w:after="120" w:line="259" w:lineRule="auto"/>
        <w:ind w:firstLine="720"/>
        <w:jc w:val="both"/>
        <w:rPr>
          <w:rFonts w:eastAsia="Times New Roman"/>
          <w:lang w:eastAsia="en-US"/>
        </w:rPr>
      </w:pPr>
      <w:r w:rsidRPr="00307028">
        <w:rPr>
          <w:rFonts w:eastAsia="Times New Roman"/>
          <w:lang w:eastAsia="en-US"/>
        </w:rPr>
        <w:t>Attēlā Nr. 2.3.23. redzama VARAM DRR izpildes korelācija ar izdevumu izpildes līmeni. Secināms, ka visos analizētajos gados DRR izpildes līmenis ir līdzīgs ar izdevumu izpildes līmeni, 2022. gadā pat apsteidzot izdevumu izpildes līmeni.</w:t>
      </w:r>
    </w:p>
    <w:p w14:paraId="53C9F32F" w14:textId="2B20D824" w:rsidR="00580DD6" w:rsidRPr="007A7EFC" w:rsidRDefault="00555485" w:rsidP="007A7EFC">
      <w:pPr>
        <w:spacing w:after="160" w:line="259" w:lineRule="auto"/>
        <w:ind w:right="-1" w:firstLine="720"/>
        <w:jc w:val="both"/>
        <w:rPr>
          <w:rFonts w:eastAsia="Times New Roman"/>
          <w:lang w:eastAsia="en-US"/>
        </w:rPr>
      </w:pPr>
      <w:r w:rsidRPr="00307028">
        <w:rPr>
          <w:rFonts w:eastAsia="Times New Roman"/>
          <w:lang w:eastAsia="en-US"/>
        </w:rPr>
        <w:t>VARAM DRR izpildes līmeni 2022. gadā būtiski ietekmēja DRR izpilde 90,0% apmērā budžeta apakšprogrammā 21.20.00 “Iemaksas starptautiskajās organizācijās”, jo bija par vienu</w:t>
      </w:r>
      <w:r w:rsidR="00F240E3" w:rsidRPr="00307028">
        <w:rPr>
          <w:rFonts w:eastAsia="Times New Roman"/>
          <w:lang w:eastAsia="en-US"/>
        </w:rPr>
        <w:t xml:space="preserve"> </w:t>
      </w:r>
      <w:r w:rsidRPr="00307028">
        <w:rPr>
          <w:rFonts w:eastAsia="Times New Roman"/>
          <w:lang w:eastAsia="en-US"/>
        </w:rPr>
        <w:t>starptautisko organizāciju, kurā veiktas iemaksas, mazāk nekā sākotnēji tika plānots.</w:t>
      </w:r>
    </w:p>
    <w:p w14:paraId="0031ED01" w14:textId="77777777" w:rsidR="00267B87" w:rsidRDefault="00267B87" w:rsidP="00F52674">
      <w:pPr>
        <w:spacing w:line="259" w:lineRule="auto"/>
        <w:jc w:val="center"/>
        <w:rPr>
          <w:rFonts w:eastAsia="Times New Roman"/>
          <w:b/>
          <w:bCs/>
          <w:i/>
          <w:iCs/>
          <w:sz w:val="22"/>
          <w:szCs w:val="22"/>
          <w:lang w:eastAsia="en-US"/>
        </w:rPr>
      </w:pPr>
    </w:p>
    <w:p w14:paraId="2B03AD42" w14:textId="77777777" w:rsidR="00267B87" w:rsidRDefault="00267B87" w:rsidP="00F52674">
      <w:pPr>
        <w:spacing w:line="259" w:lineRule="auto"/>
        <w:jc w:val="center"/>
        <w:rPr>
          <w:rFonts w:eastAsia="Times New Roman"/>
          <w:b/>
          <w:bCs/>
          <w:i/>
          <w:iCs/>
          <w:sz w:val="22"/>
          <w:szCs w:val="22"/>
          <w:lang w:eastAsia="en-US"/>
        </w:rPr>
      </w:pPr>
    </w:p>
    <w:p w14:paraId="5F5D6913" w14:textId="77777777" w:rsidR="00267B87" w:rsidRDefault="00267B87" w:rsidP="00F52674">
      <w:pPr>
        <w:spacing w:line="259" w:lineRule="auto"/>
        <w:jc w:val="center"/>
        <w:rPr>
          <w:rFonts w:eastAsia="Times New Roman"/>
          <w:b/>
          <w:bCs/>
          <w:i/>
          <w:iCs/>
          <w:sz w:val="22"/>
          <w:szCs w:val="22"/>
          <w:lang w:eastAsia="en-US"/>
        </w:rPr>
      </w:pPr>
    </w:p>
    <w:p w14:paraId="7316DAD4" w14:textId="77777777" w:rsidR="00267B87" w:rsidRDefault="00267B87" w:rsidP="00F52674">
      <w:pPr>
        <w:spacing w:line="259" w:lineRule="auto"/>
        <w:jc w:val="center"/>
        <w:rPr>
          <w:rFonts w:eastAsia="Times New Roman"/>
          <w:b/>
          <w:bCs/>
          <w:i/>
          <w:iCs/>
          <w:sz w:val="22"/>
          <w:szCs w:val="22"/>
          <w:lang w:eastAsia="en-US"/>
        </w:rPr>
      </w:pPr>
    </w:p>
    <w:p w14:paraId="0146336C" w14:textId="77777777" w:rsidR="00267B87" w:rsidRDefault="00267B87" w:rsidP="00F52674">
      <w:pPr>
        <w:spacing w:line="259" w:lineRule="auto"/>
        <w:jc w:val="center"/>
        <w:rPr>
          <w:rFonts w:eastAsia="Times New Roman"/>
          <w:b/>
          <w:bCs/>
          <w:i/>
          <w:iCs/>
          <w:sz w:val="22"/>
          <w:szCs w:val="22"/>
          <w:lang w:eastAsia="en-US"/>
        </w:rPr>
      </w:pPr>
    </w:p>
    <w:p w14:paraId="5C80D54F" w14:textId="4ED5F5DE"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2.3.24. attēls</w:t>
      </w:r>
      <w:r w:rsidRPr="00307028">
        <w:rPr>
          <w:rFonts w:eastAsia="Times New Roman"/>
          <w:b/>
          <w:bCs/>
          <w:sz w:val="22"/>
          <w:szCs w:val="22"/>
          <w:lang w:eastAsia="en-US"/>
        </w:rPr>
        <w:t xml:space="preserve"> DRR skaits, kuriem ir konstatēta izpildes novirze no plāna par vairāk nekā 15%</w:t>
      </w:r>
    </w:p>
    <w:p w14:paraId="5584118A"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00C105B1" wp14:editId="08040742">
            <wp:extent cx="5591175" cy="2108934"/>
            <wp:effectExtent l="0" t="0" r="0" b="5715"/>
            <wp:docPr id="2004112132"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A1ACCE" w14:textId="77777777"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VARAM ir 139 DRR, no kuriem 38,8% ir būtiska novirze no plāna. No tiem 44 DRR plāns ir izpildīts par vairāk nekā 15%, savukārt 10 DRR plāns nav izpildīts par vairāk nekā 15%. Salīdzinot ar iepriekšējo gadu, DRR skaits, kuriem plāns nav izpildīts par vairāk nekā 15%, ir samazinājies par 16,7%, savukārt DRR skaits, kuriem plāns ir izpildīts par vairāk nekā 15%, ir pieaudzis par 18,9% (skatīt attēlu Nr. 2.3.24.).</w:t>
      </w:r>
    </w:p>
    <w:p w14:paraId="41EEB7FD" w14:textId="77777777" w:rsidR="00017993" w:rsidRPr="00307028" w:rsidRDefault="00017993" w:rsidP="00580DD6">
      <w:pPr>
        <w:spacing w:after="120" w:line="259" w:lineRule="auto"/>
        <w:jc w:val="both"/>
        <w:rPr>
          <w:rFonts w:eastAsia="Times New Roman"/>
          <w:b/>
          <w:bCs/>
          <w:lang w:eastAsia="en-US"/>
        </w:rPr>
      </w:pPr>
    </w:p>
    <w:p w14:paraId="1C33634C"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Veselības ministrija</w:t>
      </w:r>
    </w:p>
    <w:p w14:paraId="362B07B0" w14:textId="01DA98B8" w:rsidR="00DE4FDE" w:rsidRPr="00307028" w:rsidRDefault="00555485" w:rsidP="000C3AB3">
      <w:pPr>
        <w:spacing w:after="120" w:line="259" w:lineRule="auto"/>
        <w:ind w:firstLine="720"/>
        <w:jc w:val="both"/>
        <w:rPr>
          <w:rFonts w:eastAsia="Times New Roman"/>
          <w:lang w:eastAsia="en-US"/>
        </w:rPr>
      </w:pPr>
      <w:r w:rsidRPr="00307028">
        <w:rPr>
          <w:rFonts w:eastAsia="Times New Roman"/>
          <w:lang w:eastAsia="en-US"/>
        </w:rPr>
        <w:t>VM pamatbudžeta pamatfunkciju DRR izpilde 2022. gadā ir 96,2%, kas, salīdzinot ar citām ministrijām, ir visaugstākais rādītājs.</w:t>
      </w:r>
    </w:p>
    <w:p w14:paraId="7B4D89C2"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2.3.25. attēls</w:t>
      </w:r>
      <w:r w:rsidRPr="00307028">
        <w:rPr>
          <w:rFonts w:eastAsia="Times New Roman"/>
          <w:b/>
          <w:bCs/>
          <w:sz w:val="22"/>
          <w:szCs w:val="22"/>
          <w:lang w:eastAsia="en-US"/>
        </w:rPr>
        <w:t xml:space="preserve"> VM pamatbudžeta pamatfunkciju DRR un izdevumu izpildes līmenis (%)</w:t>
      </w:r>
    </w:p>
    <w:p w14:paraId="68AADEDF"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1D972C0C" wp14:editId="4B8188C3">
            <wp:extent cx="5718810" cy="2050793"/>
            <wp:effectExtent l="0" t="0" r="0" b="6985"/>
            <wp:docPr id="1881205932" name="Chart 1881205932">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E34F38A"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2.3.25. redzama VM DRR izpildes korelācija ar izdevumu izpildes līmeni. Secināms, ka visos analizētajos gados DRR izpildes līmenis ir zemāks nekā izdevumu izpildes līmenis, izdevumu izpildes līmenim sasniedzot gandrīz 100%, bet DRR izpildes līmenim esot tikai nedaudz virs 90%, izņemto 2022. gadu, kad DRR izpildes līmenis ir būtiski pieaudzis, tuvojoties izdevumu izpildes līmenim.</w:t>
      </w:r>
    </w:p>
    <w:p w14:paraId="4ED7934D" w14:textId="36AE6249" w:rsidR="00F52674" w:rsidRPr="00307028" w:rsidRDefault="00555485" w:rsidP="000C3AB3">
      <w:pPr>
        <w:spacing w:after="120" w:line="259" w:lineRule="auto"/>
        <w:ind w:firstLine="720"/>
        <w:jc w:val="both"/>
        <w:rPr>
          <w:rFonts w:eastAsia="Times New Roman"/>
          <w:lang w:eastAsia="en-US"/>
        </w:rPr>
      </w:pPr>
      <w:r w:rsidRPr="00307028">
        <w:rPr>
          <w:rFonts w:eastAsia="Times New Roman"/>
          <w:lang w:eastAsia="en-US"/>
        </w:rPr>
        <w:t xml:space="preserve">VM DRR izpildes līmeni 2022. gadā būtiski ietekmēja DRR izpilde 87,5% apmērā budžeta apakšprogrammā 46.03.00 “Slimību profilakses nodrošināšana”, jo sabiedrības veselības pētījumu rezultātu ziņojumu </w:t>
      </w:r>
      <w:r w:rsidR="00EF5654" w:rsidRPr="00307028">
        <w:rPr>
          <w:rFonts w:eastAsia="Times New Roman"/>
          <w:lang w:eastAsia="en-US"/>
        </w:rPr>
        <w:t xml:space="preserve">skaits </w:t>
      </w:r>
      <w:r w:rsidRPr="00307028">
        <w:rPr>
          <w:rFonts w:eastAsia="Times New Roman"/>
          <w:lang w:eastAsia="en-US"/>
        </w:rPr>
        <w:t>bija mazāk</w:t>
      </w:r>
      <w:r w:rsidR="00EF5654" w:rsidRPr="00307028">
        <w:rPr>
          <w:rFonts w:eastAsia="Times New Roman"/>
          <w:lang w:eastAsia="en-US"/>
        </w:rPr>
        <w:t>s</w:t>
      </w:r>
      <w:r w:rsidRPr="00307028">
        <w:rPr>
          <w:rFonts w:eastAsia="Times New Roman"/>
          <w:lang w:eastAsia="en-US"/>
        </w:rPr>
        <w:t xml:space="preserve"> nekā plānots, kā arī 89,7% apmērā apakšprogrammā 02.03.00 “Augstākā medicīnas izglītība”, jo medicīnas doktora grādu ieguvušo </w:t>
      </w:r>
      <w:r w:rsidR="00EF5654" w:rsidRPr="00307028">
        <w:rPr>
          <w:rFonts w:eastAsia="Times New Roman"/>
          <w:lang w:eastAsia="en-US"/>
        </w:rPr>
        <w:t xml:space="preserve">skaits </w:t>
      </w:r>
      <w:r w:rsidRPr="00307028">
        <w:rPr>
          <w:rFonts w:eastAsia="Times New Roman"/>
          <w:lang w:eastAsia="en-US"/>
        </w:rPr>
        <w:t>bija mazāk</w:t>
      </w:r>
      <w:r w:rsidR="00EF5654" w:rsidRPr="00307028">
        <w:rPr>
          <w:rFonts w:eastAsia="Times New Roman"/>
          <w:lang w:eastAsia="en-US"/>
        </w:rPr>
        <w:t>s</w:t>
      </w:r>
      <w:r w:rsidRPr="00307028">
        <w:rPr>
          <w:rFonts w:eastAsia="Times New Roman"/>
          <w:lang w:eastAsia="en-US"/>
        </w:rPr>
        <w:t xml:space="preserve"> nekā sākotnēji plānots.</w:t>
      </w:r>
    </w:p>
    <w:p w14:paraId="0DF97FFD" w14:textId="77777777" w:rsidR="00580DD6" w:rsidRDefault="00580DD6" w:rsidP="00F52674">
      <w:pPr>
        <w:spacing w:line="259" w:lineRule="auto"/>
        <w:jc w:val="center"/>
        <w:rPr>
          <w:rFonts w:eastAsia="Times New Roman"/>
          <w:b/>
          <w:bCs/>
          <w:i/>
          <w:iCs/>
          <w:sz w:val="22"/>
          <w:szCs w:val="22"/>
          <w:lang w:eastAsia="en-US"/>
        </w:rPr>
      </w:pPr>
    </w:p>
    <w:p w14:paraId="6A71DEC9" w14:textId="77777777" w:rsidR="00580DD6" w:rsidRDefault="00580DD6" w:rsidP="00F52674">
      <w:pPr>
        <w:spacing w:line="259" w:lineRule="auto"/>
        <w:jc w:val="center"/>
        <w:rPr>
          <w:rFonts w:eastAsia="Times New Roman"/>
          <w:b/>
          <w:bCs/>
          <w:i/>
          <w:iCs/>
          <w:sz w:val="22"/>
          <w:szCs w:val="22"/>
          <w:lang w:eastAsia="en-US"/>
        </w:rPr>
      </w:pPr>
    </w:p>
    <w:p w14:paraId="7151DF81" w14:textId="37AFB2F9"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lastRenderedPageBreak/>
        <w:t>2.3.26. attēls</w:t>
      </w:r>
      <w:r w:rsidRPr="00307028">
        <w:rPr>
          <w:rFonts w:eastAsia="Times New Roman"/>
          <w:b/>
          <w:bCs/>
          <w:sz w:val="22"/>
          <w:szCs w:val="22"/>
          <w:lang w:eastAsia="en-US"/>
        </w:rPr>
        <w:t xml:space="preserve"> DRR skaits, kuriem ir konstatēta izpildes novirze no plāna par vairāk nekā 15%</w:t>
      </w:r>
    </w:p>
    <w:p w14:paraId="6CF8391E"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43686C1B" wp14:editId="18082014">
            <wp:extent cx="5591175" cy="2066650"/>
            <wp:effectExtent l="0" t="0" r="0" b="0"/>
            <wp:docPr id="1159929487"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9B42B6A" w14:textId="1F8F95F0" w:rsidR="00555485" w:rsidRPr="00307028" w:rsidRDefault="00555485" w:rsidP="00555485">
      <w:pPr>
        <w:spacing w:line="259" w:lineRule="auto"/>
        <w:ind w:firstLine="720"/>
        <w:jc w:val="both"/>
        <w:rPr>
          <w:rFonts w:eastAsia="Times New Roman"/>
          <w:lang w:eastAsia="en-US"/>
        </w:rPr>
      </w:pPr>
      <w:r w:rsidRPr="00307028">
        <w:rPr>
          <w:rFonts w:eastAsia="Times New Roman"/>
          <w:lang w:eastAsia="en-US"/>
        </w:rPr>
        <w:t>2022. gadā VM ir 100 DRR, no kuriem 28,0% ir būtiska novirze no plāna. No tiem 19</w:t>
      </w:r>
      <w:r w:rsidR="00267B87">
        <w:rPr>
          <w:rFonts w:eastAsia="Times New Roman"/>
          <w:lang w:eastAsia="en-US"/>
        </w:rPr>
        <w:t> </w:t>
      </w:r>
      <w:r w:rsidRPr="00307028">
        <w:rPr>
          <w:rFonts w:eastAsia="Times New Roman"/>
          <w:lang w:eastAsia="en-US"/>
        </w:rPr>
        <w:t>DRR plāns ir izpildīts par vairāk nekā 15%, savukārt 9 DRR plāns nav izpildīts par vairāk nekā 15%. Salīdzinot ar iepriekšējo gadu, DRR skaits, kuriem plāns nav izpildīts par vairāk nekā 15%, ir samazinājies par 47,1%, savukārt DRR skaits, kuriem plāns ir izpildīts par vairāk nekā 15%, ir nemainīgs (skatīt attēlu Nr. 2.3.26.).</w:t>
      </w:r>
    </w:p>
    <w:p w14:paraId="0F2F27C5" w14:textId="77777777" w:rsidR="00017993" w:rsidRPr="00307028" w:rsidRDefault="00017993" w:rsidP="00580DD6">
      <w:pPr>
        <w:spacing w:after="120" w:line="259" w:lineRule="auto"/>
        <w:ind w:firstLine="720"/>
        <w:jc w:val="both"/>
        <w:rPr>
          <w:rFonts w:eastAsia="Times New Roman"/>
          <w:lang w:eastAsia="en-US"/>
        </w:rPr>
      </w:pPr>
    </w:p>
    <w:p w14:paraId="68498BD7" w14:textId="77777777" w:rsidR="00555485" w:rsidRPr="00307028" w:rsidRDefault="00555485" w:rsidP="00555485">
      <w:pPr>
        <w:spacing w:after="120" w:line="259" w:lineRule="auto"/>
        <w:jc w:val="both"/>
        <w:rPr>
          <w:rFonts w:eastAsia="Times New Roman"/>
          <w:b/>
          <w:bCs/>
          <w:lang w:eastAsia="en-US"/>
        </w:rPr>
      </w:pPr>
      <w:r w:rsidRPr="00307028">
        <w:rPr>
          <w:rFonts w:eastAsia="Times New Roman"/>
          <w:b/>
          <w:bCs/>
          <w:lang w:eastAsia="en-US"/>
        </w:rPr>
        <w:t>Zemkopības ministrija</w:t>
      </w:r>
    </w:p>
    <w:p w14:paraId="6886A27A"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ZM pamatbudžeta pamatfunkciju DRR izpilde 2022. gadā ir 92,9%, kas, salīdzinot ar citām ministrijām, ir vidējs rādītājs.</w:t>
      </w:r>
    </w:p>
    <w:p w14:paraId="10140754"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2.3.27. attēls</w:t>
      </w:r>
      <w:r w:rsidRPr="00307028">
        <w:rPr>
          <w:rFonts w:eastAsia="Times New Roman"/>
          <w:b/>
          <w:bCs/>
          <w:sz w:val="22"/>
          <w:szCs w:val="22"/>
          <w:lang w:eastAsia="en-US"/>
        </w:rPr>
        <w:t xml:space="preserve"> ZM pamatbudžeta pamatfunkciju DRR un izdevumu izpildes līmenis (%)</w:t>
      </w:r>
    </w:p>
    <w:p w14:paraId="6B69CF4B" w14:textId="77777777" w:rsidR="00555485" w:rsidRPr="00307028" w:rsidRDefault="00555485" w:rsidP="00555485">
      <w:pPr>
        <w:spacing w:after="160" w:line="259" w:lineRule="auto"/>
        <w:jc w:val="both"/>
        <w:rPr>
          <w:rFonts w:eastAsia="Times New Roman"/>
          <w:lang w:eastAsia="en-US"/>
        </w:rPr>
      </w:pPr>
      <w:r w:rsidRPr="00307028">
        <w:rPr>
          <w:rFonts w:eastAsia="Times New Roman"/>
          <w:noProof/>
          <w:lang w:eastAsia="en-US"/>
        </w:rPr>
        <w:drawing>
          <wp:inline distT="0" distB="0" distL="0" distR="0" wp14:anchorId="0AC351B2" wp14:editId="0221D683">
            <wp:extent cx="5718810" cy="2283358"/>
            <wp:effectExtent l="0" t="0" r="0" b="3175"/>
            <wp:docPr id="1221750895" name="Chart 1221750895">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5426FC6" w14:textId="77777777"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Attēlā Nr. 2.3.27. redzama ZM DRR izpildes korelācija ar izdevumu izpildes līmeni. Secināms, ka visos analizētajos gados DRR izpildes līmenis ir zemāks nekā izdevumu izpildes līmenis, izdevumu izpildes līmenim sasniedzot gandrīz 100%, bet DRR izpildes līmenim esot tikai nedaudz virs 90%. Tomēr jāsaka, ka 2022. gadā DRR izpildes līmenis salīdzinājumā ar iepriekšējo gadu ir ievērojami pieaudzis, pietuvojoties izdevumu izpildes līmenim.</w:t>
      </w:r>
    </w:p>
    <w:p w14:paraId="70C6DEC3" w14:textId="1271FB24"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t>ZM DRR izpildes līmeni 2022. gadā būtiski ietekmēja DRR izpilde 70,8% apmērā budžeta apakšprogrammā 22.01.00 “Profesionālā izglītība</w:t>
      </w:r>
      <w:r w:rsidR="00EF5654" w:rsidRPr="00307028">
        <w:rPr>
          <w:rFonts w:eastAsia="Times New Roman"/>
          <w:lang w:eastAsia="en-US"/>
        </w:rPr>
        <w:t>”</w:t>
      </w:r>
      <w:r w:rsidRPr="00307028">
        <w:rPr>
          <w:rFonts w:eastAsia="Times New Roman"/>
          <w:lang w:eastAsia="en-US"/>
        </w:rPr>
        <w:t>, jo bija mazāk</w:t>
      </w:r>
      <w:r w:rsidR="00EF5654" w:rsidRPr="00307028">
        <w:rPr>
          <w:rFonts w:eastAsia="Times New Roman"/>
          <w:lang w:eastAsia="en-US"/>
        </w:rPr>
        <w:t>s</w:t>
      </w:r>
      <w:r w:rsidRPr="00307028">
        <w:rPr>
          <w:rFonts w:eastAsia="Times New Roman"/>
          <w:lang w:eastAsia="en-US"/>
        </w:rPr>
        <w:t xml:space="preserve"> pirmā līmeņa profesionālo augstāko izglītību sagatavoto speciālistu (absolventu)</w:t>
      </w:r>
      <w:r w:rsidR="00EF5654" w:rsidRPr="00307028">
        <w:rPr>
          <w:rFonts w:eastAsia="Times New Roman"/>
          <w:lang w:eastAsia="en-US"/>
        </w:rPr>
        <w:t xml:space="preserve"> skaits</w:t>
      </w:r>
      <w:r w:rsidRPr="00307028">
        <w:rPr>
          <w:rFonts w:eastAsia="Times New Roman"/>
          <w:lang w:eastAsia="en-US"/>
        </w:rPr>
        <w:t>, kuri finansēti no dotācijas, un 73,4% apmērā budžeta apakšprogrammā 24.01.00 “Meža resursu valsts uzraudzība”, jo nodzēsto meža ugunsgrēku skaits un platība bija mazāka nekā plānots.</w:t>
      </w:r>
    </w:p>
    <w:p w14:paraId="185CC4E5" w14:textId="2CF10150" w:rsidR="00555485" w:rsidRPr="00307028" w:rsidRDefault="00555485" w:rsidP="00555485">
      <w:pPr>
        <w:spacing w:after="120" w:line="259" w:lineRule="auto"/>
        <w:ind w:firstLine="720"/>
        <w:jc w:val="both"/>
        <w:rPr>
          <w:rFonts w:eastAsia="Times New Roman"/>
          <w:lang w:eastAsia="en-US"/>
        </w:rPr>
      </w:pPr>
      <w:r w:rsidRPr="00307028">
        <w:rPr>
          <w:rFonts w:eastAsia="Times New Roman"/>
          <w:lang w:eastAsia="en-US"/>
        </w:rPr>
        <w:lastRenderedPageBreak/>
        <w:t xml:space="preserve">ZM norāda, ka meža ugunsgrēku skaits ir atkarīgs no metroloģiskajiem laika apstākļiem un cilvēka darbības vai bezdarbības mežā, kā arī no VMD nodarbināto operatīvas darbības rezultāta un pēdējos gados veiktajām investīcijām meža ugunsapsardzībā, kas ļauj operatīvi reaģēt un nodzēst meža un purva ugunsgrēkus. Vienlaikus </w:t>
      </w:r>
      <w:r w:rsidR="00EF5654" w:rsidRPr="00307028">
        <w:rPr>
          <w:rFonts w:eastAsia="Times New Roman"/>
          <w:lang w:eastAsia="en-US"/>
        </w:rPr>
        <w:t xml:space="preserve">ZM </w:t>
      </w:r>
      <w:r w:rsidRPr="00307028">
        <w:rPr>
          <w:rFonts w:eastAsia="Times New Roman"/>
          <w:lang w:eastAsia="en-US"/>
        </w:rPr>
        <w:t>norāda, ka, ja finanšu resursi nav iztērēti tieši meža ugunsgrēkos, tad par atlikušo finansējumu tiek atjaunots inventārs, individuālie aizsardzības līdzekļi, pamatlīdzekļi – viss kas nepieciešams meža ugunsdzēsībai turpmākajā periodā.</w:t>
      </w:r>
    </w:p>
    <w:p w14:paraId="39FA47F4" w14:textId="77777777" w:rsidR="00555485" w:rsidRPr="00307028" w:rsidRDefault="00555485" w:rsidP="00F52674">
      <w:pPr>
        <w:spacing w:line="259" w:lineRule="auto"/>
        <w:jc w:val="center"/>
        <w:rPr>
          <w:rFonts w:eastAsia="Times New Roman"/>
          <w:b/>
          <w:bCs/>
          <w:sz w:val="22"/>
          <w:szCs w:val="22"/>
          <w:lang w:eastAsia="en-US"/>
        </w:rPr>
      </w:pPr>
      <w:r w:rsidRPr="00307028">
        <w:rPr>
          <w:rFonts w:eastAsia="Times New Roman"/>
          <w:b/>
          <w:bCs/>
          <w:i/>
          <w:iCs/>
          <w:sz w:val="22"/>
          <w:szCs w:val="22"/>
          <w:lang w:eastAsia="en-US"/>
        </w:rPr>
        <w:t>2.3.28. attēls</w:t>
      </w:r>
      <w:r w:rsidRPr="00307028">
        <w:rPr>
          <w:rFonts w:eastAsia="Times New Roman"/>
          <w:b/>
          <w:bCs/>
          <w:sz w:val="22"/>
          <w:szCs w:val="22"/>
          <w:lang w:eastAsia="en-US"/>
        </w:rPr>
        <w:t xml:space="preserve"> DRR skaits, kuriem ir konstatēta izpildes novirze no plāna par vairāk nekā 15%</w:t>
      </w:r>
    </w:p>
    <w:p w14:paraId="51A72F69" w14:textId="77777777" w:rsidR="00555485" w:rsidRPr="00307028" w:rsidRDefault="00555485" w:rsidP="00555485">
      <w:pPr>
        <w:spacing w:after="160" w:line="259" w:lineRule="auto"/>
        <w:jc w:val="center"/>
        <w:rPr>
          <w:rFonts w:eastAsia="Times New Roman"/>
          <w:lang w:eastAsia="en-US"/>
        </w:rPr>
      </w:pPr>
      <w:r w:rsidRPr="00307028">
        <w:rPr>
          <w:rFonts w:eastAsia="Times New Roman"/>
          <w:noProof/>
          <w:lang w:eastAsia="en-US"/>
        </w:rPr>
        <w:drawing>
          <wp:inline distT="0" distB="0" distL="0" distR="0" wp14:anchorId="672EFF95" wp14:editId="110FE67A">
            <wp:extent cx="5591175" cy="2066650"/>
            <wp:effectExtent l="0" t="0" r="0" b="0"/>
            <wp:docPr id="176738862" name="Chart 1">
              <a:extLst xmlns:a="http://schemas.openxmlformats.org/drawingml/2006/main">
                <a:ext uri="{FF2B5EF4-FFF2-40B4-BE49-F238E27FC236}">
                  <a16:creationId xmlns:a16="http://schemas.microsoft.com/office/drawing/2014/main" id="{4E9A46F9-9841-4EE2-BC41-CA2CA80BD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D74FE94" w14:textId="2C3CA2DC" w:rsidR="00555485" w:rsidRPr="00307028" w:rsidRDefault="00017993" w:rsidP="00017993">
      <w:pPr>
        <w:spacing w:after="120" w:line="259" w:lineRule="auto"/>
        <w:ind w:firstLine="720"/>
        <w:jc w:val="both"/>
        <w:rPr>
          <w:rFonts w:eastAsia="Times New Roman"/>
          <w:lang w:eastAsia="en-US"/>
        </w:rPr>
      </w:pPr>
      <w:r w:rsidRPr="00307028">
        <w:rPr>
          <w:noProof/>
          <w:lang w:eastAsia="en-US"/>
        </w:rPr>
        <mc:AlternateContent>
          <mc:Choice Requires="wps">
            <w:drawing>
              <wp:anchor distT="0" distB="0" distL="114300" distR="114300" simplePos="0" relativeHeight="251728896" behindDoc="0" locked="0" layoutInCell="1" allowOverlap="1" wp14:anchorId="40EFB96E" wp14:editId="177A47C9">
                <wp:simplePos x="0" y="0"/>
                <wp:positionH relativeFrom="margin">
                  <wp:align>right</wp:align>
                </wp:positionH>
                <wp:positionV relativeFrom="paragraph">
                  <wp:posOffset>1019531</wp:posOffset>
                </wp:positionV>
                <wp:extent cx="5762625" cy="314325"/>
                <wp:effectExtent l="0" t="0" r="9525" b="9525"/>
                <wp:wrapTopAndBottom/>
                <wp:docPr id="1752075437" name="Rectangle 1752075437"/>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6F1681DE" w14:textId="70CC09CE" w:rsidR="00090B98" w:rsidRPr="00307028" w:rsidRDefault="00090B98" w:rsidP="002E7E07">
                            <w:pPr>
                              <w:rPr>
                                <w:b/>
                                <w:bCs/>
                                <w:color w:val="000000" w:themeColor="text1"/>
                              </w:rPr>
                            </w:pPr>
                            <w:r w:rsidRPr="00307028">
                              <w:rPr>
                                <w:b/>
                                <w:bCs/>
                              </w:rPr>
                              <w:t>SECINĀJUMS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FB96E" id="Rectangle 1752075437" o:spid="_x0000_s1034" style="position:absolute;left:0;text-align:left;margin-left:402.55pt;margin-top:80.3pt;width:453.75pt;height:24.7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" fillcolor="#85c2e0" stroked="f" strokeweight="2pt">
                <v:textbox>
                  <w:txbxContent>
                    <w:p w14:paraId="6F1681DE" w14:textId="70CC09CE" w:rsidR="00090B98" w:rsidRPr="00307028" w:rsidRDefault="00090B98" w:rsidP="002E7E07">
                      <w:pPr>
                        <w:rPr>
                          <w:b/>
                          <w:bCs/>
                          <w:color w:val="000000" w:themeColor="text1"/>
                        </w:rPr>
                      </w:pPr>
                      <w:r w:rsidRPr="00307028">
                        <w:rPr>
                          <w:b/>
                          <w:bCs/>
                        </w:rPr>
                        <w:t>SECINĀJUMS</w:t>
                      </w:r>
                    </w:p>
                  </w:txbxContent>
                </v:textbox>
                <w10:wrap type="topAndBottom" anchorx="margin"/>
              </v:rect>
            </w:pict>
          </mc:Fallback>
        </mc:AlternateContent>
      </w:r>
      <w:r w:rsidR="00555485" w:rsidRPr="00307028">
        <w:rPr>
          <w:rFonts w:eastAsia="Times New Roman"/>
          <w:lang w:eastAsia="en-US"/>
        </w:rPr>
        <w:t>2022. gadā ZM ir 72 DRR, no kuriem 29,2% ir būtiska novirze no plāna. No tiem 11</w:t>
      </w:r>
      <w:r w:rsidR="00267B87">
        <w:rPr>
          <w:rFonts w:eastAsia="Times New Roman"/>
          <w:lang w:eastAsia="en-US"/>
        </w:rPr>
        <w:t> </w:t>
      </w:r>
      <w:r w:rsidR="00555485" w:rsidRPr="00307028">
        <w:rPr>
          <w:rFonts w:eastAsia="Times New Roman"/>
          <w:lang w:eastAsia="en-US"/>
        </w:rPr>
        <w:t>DRR plāns ir izpildīts par vairāk nekā 15%, savukārt 10 DRR plāns nav izpildīts par vairāk nekā 15%. Salīdzinot ar iepriekšējo gadu, DRR skaits, kuriem plāns nav izpildīts par vairāk nekā 15%, ir samazinājies par 37,5%, savukārt DRR skaits, kuriem plāns ir izpildīts par vairāk nekā 15%, ir samazinājies par 8,3% (skatīt attēlu Nr. 2.3.28.).</w:t>
      </w:r>
    </w:p>
    <w:p w14:paraId="6C57503A" w14:textId="4C507506" w:rsidR="00555485" w:rsidRPr="00307028" w:rsidRDefault="00555485" w:rsidP="00017993">
      <w:pPr>
        <w:spacing w:before="120" w:after="120" w:line="259" w:lineRule="auto"/>
        <w:ind w:firstLine="720"/>
        <w:jc w:val="both"/>
        <w:rPr>
          <w:rFonts w:eastAsia="Times New Roman"/>
          <w:lang w:eastAsia="en-US"/>
        </w:rPr>
      </w:pPr>
      <w:r w:rsidRPr="00307028">
        <w:rPr>
          <w:rFonts w:eastAsia="Times New Roman"/>
          <w:lang w:eastAsia="en-US"/>
        </w:rPr>
        <w:t>Vidējā resoru DRR izpilde 2022. gadā ir 90,0%. Lielākajai daļai resoru DRR izpildes līmenis analizētajos gados ir zemāks nekā izdevumu izpildes līmenis. Kopējais DRR izpildes līmenis 2020. un 2021. gadā ir zem 90%, bet 2018., 2019. un 2022. gadā DRR izpildes līmenis ir nedaudz virs 90%. Savukārt izdevumu izpildes līmenis visos aplūkotajos gados ir ievērojami virs 90%, atsevišķos gados pat tuvu 100%. Līdz ar to resoriem jānodrošina, ka DRR izpildes līmenis pakāpeniski sasniedz izdevumu izpildes līmeni.</w:t>
      </w:r>
    </w:p>
    <w:p w14:paraId="07EB46E7" w14:textId="77777777" w:rsidR="00D165C8" w:rsidRPr="00307028" w:rsidRDefault="00D165C8" w:rsidP="00017993">
      <w:pPr>
        <w:spacing w:line="259" w:lineRule="auto"/>
        <w:jc w:val="both"/>
        <w:rPr>
          <w:rFonts w:eastAsia="Times New Roman"/>
          <w:lang w:eastAsia="en-US"/>
        </w:rPr>
      </w:pPr>
    </w:p>
    <w:p w14:paraId="63B860D9" w14:textId="78D6BD55" w:rsidR="00BD3847" w:rsidRPr="00307028" w:rsidRDefault="00BD3847" w:rsidP="00060267">
      <w:pPr>
        <w:pStyle w:val="Heading3"/>
        <w:ind w:left="0"/>
      </w:pPr>
      <w:bookmarkStart w:id="120" w:name="_Toc142492928"/>
      <w:r w:rsidRPr="00307028">
        <w:t xml:space="preserve">2.4. Atsevišķu funkciju horizontāla </w:t>
      </w:r>
      <w:r w:rsidR="0008137A" w:rsidRPr="00307028">
        <w:t>pārskatīšana</w:t>
      </w:r>
      <w:bookmarkStart w:id="121" w:name="_Hlk139553314"/>
      <w:bookmarkEnd w:id="120"/>
    </w:p>
    <w:p w14:paraId="57C4950A" w14:textId="3F5FC7F0" w:rsidR="007917E2" w:rsidRPr="00307028" w:rsidRDefault="0008137A" w:rsidP="0017150F">
      <w:pPr>
        <w:pStyle w:val="Heading5"/>
      </w:pPr>
      <w:r w:rsidRPr="00307028">
        <w:t xml:space="preserve">2.4.1. </w:t>
      </w:r>
      <w:r w:rsidR="00153CC3" w:rsidRPr="00307028">
        <w:t>Izveidoto un uzturēto mobilo lietotņu un to izmaksu analīze</w:t>
      </w:r>
    </w:p>
    <w:p w14:paraId="0B996A04" w14:textId="5AECDEC2" w:rsidR="0016333F" w:rsidRPr="00307028" w:rsidRDefault="0016333F" w:rsidP="000C3AB3">
      <w:pPr>
        <w:shd w:val="clear" w:color="auto" w:fill="FFFFFF"/>
        <w:spacing w:before="120" w:after="120" w:line="259" w:lineRule="auto"/>
        <w:ind w:firstLine="720"/>
        <w:jc w:val="both"/>
        <w:rPr>
          <w:rFonts w:eastAsia="Times New Roman"/>
          <w:lang w:eastAsia="lv-LV"/>
        </w:rPr>
      </w:pPr>
      <w:r w:rsidRPr="00307028">
        <w:rPr>
          <w:rFonts w:eastAsia="Times New Roman"/>
          <w:lang w:eastAsia="lv-LV"/>
        </w:rPr>
        <w:t>Interneta lietotāju skaits Latvijā ik gadu pieaug</w:t>
      </w:r>
      <w:r w:rsidR="00EF5654" w:rsidRPr="00307028">
        <w:rPr>
          <w:rFonts w:eastAsia="Times New Roman"/>
          <w:lang w:eastAsia="lv-LV"/>
        </w:rPr>
        <w:t xml:space="preserve"> </w:t>
      </w:r>
      <w:r w:rsidR="00EF5654" w:rsidRPr="00307028">
        <w:rPr>
          <w:rFonts w:eastAsia="Times New Roman"/>
          <w:lang w:eastAsia="en-US"/>
        </w:rPr>
        <w:t>–</w:t>
      </w:r>
      <w:r w:rsidRPr="00307028">
        <w:rPr>
          <w:rFonts w:eastAsia="Times New Roman"/>
          <w:lang w:eastAsia="lv-LV"/>
        </w:rPr>
        <w:t xml:space="preserve"> no 2019. gada sākuma līdz 2022. gada sākumam vērojams 6,3% pieaugums iedzīvotāju skaitā, kuri regulāri (vismaz reizi nedēļā) lieto internetu. Visbiežāk iedzīvotāji sadarbībā ar valsts vai sabiedrisko pakalpojumu sniedzējiem</w:t>
      </w:r>
      <w:r w:rsidRPr="00307028">
        <w:rPr>
          <w:rFonts w:eastAsia="Times New Roman"/>
          <w:b/>
          <w:bCs/>
          <w:lang w:eastAsia="lv-LV"/>
        </w:rPr>
        <w:t xml:space="preserve"> </w:t>
      </w:r>
      <w:r w:rsidRPr="00307028">
        <w:rPr>
          <w:rFonts w:eastAsia="Times New Roman"/>
          <w:lang w:eastAsia="lv-LV"/>
        </w:rPr>
        <w:t>izmantojot internetu, iegūst informāciju no tīmekļa vietnēm vai mobilajām lietotnēm (Attēls Nr. 2.4.1.1.).</w:t>
      </w:r>
    </w:p>
    <w:p w14:paraId="1784D17B" w14:textId="5FFC5D7F" w:rsidR="0016333F" w:rsidRPr="00307028" w:rsidRDefault="00EC4BFE" w:rsidP="00427388">
      <w:pPr>
        <w:shd w:val="clear" w:color="auto" w:fill="FFFFFF"/>
        <w:spacing w:before="120" w:after="120" w:line="259" w:lineRule="auto"/>
        <w:jc w:val="center"/>
        <w:rPr>
          <w:rFonts w:eastAsia="Times New Roman"/>
          <w:sz w:val="22"/>
          <w:szCs w:val="22"/>
          <w:lang w:eastAsia="lv-LV"/>
        </w:rPr>
      </w:pPr>
      <w:r w:rsidRPr="00307028">
        <w:rPr>
          <w:rFonts w:eastAsia="Times New Roman"/>
          <w:noProof/>
          <w:sz w:val="22"/>
          <w:szCs w:val="22"/>
          <w:lang w:eastAsia="lv-LV"/>
        </w:rPr>
        <w:lastRenderedPageBreak/>
        <w:drawing>
          <wp:anchor distT="0" distB="0" distL="114300" distR="114300" simplePos="0" relativeHeight="251715584" behindDoc="0" locked="0" layoutInCell="1" allowOverlap="1" wp14:anchorId="20196AE7" wp14:editId="39C76FAC">
            <wp:simplePos x="0" y="0"/>
            <wp:positionH relativeFrom="margin">
              <wp:align>left</wp:align>
            </wp:positionH>
            <wp:positionV relativeFrom="paragraph">
              <wp:posOffset>393954</wp:posOffset>
            </wp:positionV>
            <wp:extent cx="5695950" cy="2705100"/>
            <wp:effectExtent l="0" t="0" r="0" b="0"/>
            <wp:wrapThrough wrapText="bothSides">
              <wp:wrapPolygon edited="0">
                <wp:start x="0" y="0"/>
                <wp:lineTo x="0" y="21448"/>
                <wp:lineTo x="21528" y="21448"/>
                <wp:lineTo x="21528" y="0"/>
                <wp:lineTo x="0" y="0"/>
              </wp:wrapPolygon>
            </wp:wrapThrough>
            <wp:docPr id="1948757878" name="Chart 1">
              <a:extLst xmlns:a="http://schemas.openxmlformats.org/drawingml/2006/main">
                <a:ext uri="{FF2B5EF4-FFF2-40B4-BE49-F238E27FC236}">
                  <a16:creationId xmlns:a16="http://schemas.microsoft.com/office/drawing/2014/main" id="{8433D02B-36CD-474A-AA02-F7621DE4B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16333F" w:rsidRPr="00307028">
        <w:rPr>
          <w:rFonts w:eastAsia="Times New Roman"/>
          <w:b/>
          <w:bCs/>
          <w:i/>
          <w:iCs/>
          <w:sz w:val="22"/>
          <w:szCs w:val="22"/>
          <w:lang w:eastAsia="lv-LV"/>
        </w:rPr>
        <w:t>2.4.1.1. attēls</w:t>
      </w:r>
      <w:r w:rsidR="0016333F" w:rsidRPr="00307028">
        <w:rPr>
          <w:rFonts w:eastAsia="Times New Roman"/>
          <w:sz w:val="22"/>
          <w:szCs w:val="22"/>
          <w:lang w:eastAsia="lv-LV"/>
        </w:rPr>
        <w:t xml:space="preserve"> </w:t>
      </w:r>
      <w:r w:rsidR="0016333F" w:rsidRPr="00307028">
        <w:rPr>
          <w:rFonts w:eastAsia="Times New Roman"/>
          <w:b/>
          <w:bCs/>
          <w:sz w:val="22"/>
          <w:szCs w:val="22"/>
          <w:lang w:eastAsia="lv-LV"/>
        </w:rPr>
        <w:t>Iedzīvotāji, kuri regulāri lieto internetu un sadarbība ar valsts vai sabiedrisko pakalpojumu sniedzējiem izmantojot internetu (% no iedzīvotāju kopskaita)</w:t>
      </w:r>
      <w:r w:rsidR="0016333F" w:rsidRPr="00307028">
        <w:rPr>
          <w:rFonts w:eastAsia="Times New Roman"/>
          <w:b/>
          <w:bCs/>
          <w:sz w:val="22"/>
          <w:szCs w:val="22"/>
          <w:vertAlign w:val="superscript"/>
          <w:lang w:eastAsia="lv-LV"/>
        </w:rPr>
        <w:footnoteReference w:id="17"/>
      </w:r>
      <w:r w:rsidR="0016333F" w:rsidRPr="00307028">
        <w:rPr>
          <w:rFonts w:eastAsia="Times New Roman"/>
          <w:b/>
          <w:bCs/>
          <w:sz w:val="22"/>
          <w:szCs w:val="22"/>
          <w:vertAlign w:val="superscript"/>
          <w:lang w:eastAsia="lv-LV"/>
        </w:rPr>
        <w:t>,</w:t>
      </w:r>
      <w:r w:rsidR="0016333F" w:rsidRPr="00307028">
        <w:rPr>
          <w:rFonts w:eastAsia="Times New Roman"/>
          <w:b/>
          <w:bCs/>
          <w:sz w:val="22"/>
          <w:szCs w:val="22"/>
          <w:vertAlign w:val="superscript"/>
          <w:lang w:eastAsia="lv-LV"/>
        </w:rPr>
        <w:footnoteReference w:id="18"/>
      </w:r>
    </w:p>
    <w:p w14:paraId="08CCCC07" w14:textId="369722D5" w:rsidR="0016333F" w:rsidRPr="00307028" w:rsidRDefault="0016333F" w:rsidP="00427388">
      <w:pPr>
        <w:shd w:val="clear" w:color="auto" w:fill="FFFFFF"/>
        <w:spacing w:before="120" w:after="120" w:line="259" w:lineRule="auto"/>
        <w:ind w:firstLine="720"/>
        <w:jc w:val="both"/>
        <w:rPr>
          <w:rFonts w:eastAsia="Times New Roman"/>
          <w:lang w:eastAsia="lv-LV"/>
        </w:rPr>
      </w:pPr>
      <w:r w:rsidRPr="00307028">
        <w:rPr>
          <w:rFonts w:eastAsia="Times New Roman"/>
          <w:lang w:eastAsia="lv-LV"/>
        </w:rPr>
        <w:t>Mobilā lietotne ir</w:t>
      </w:r>
      <w:r w:rsidR="00F240E3" w:rsidRPr="00307028">
        <w:rPr>
          <w:rFonts w:eastAsia="Times New Roman"/>
          <w:lang w:eastAsia="lv-LV"/>
        </w:rPr>
        <w:t xml:space="preserve"> </w:t>
      </w:r>
      <w:r w:rsidRPr="00307028">
        <w:rPr>
          <w:rFonts w:eastAsia="Times New Roman"/>
          <w:lang w:eastAsia="lv-LV"/>
        </w:rPr>
        <w:t>programmatūra, kas izmantojama dažādās viedierīcēs</w:t>
      </w:r>
      <w:r w:rsidRPr="00307028">
        <w:rPr>
          <w:rFonts w:eastAsia="Times New Roman"/>
          <w:lang w:eastAsia="lv-LV"/>
        </w:rPr>
        <w:softHyphen/>
        <w:t xml:space="preserve"> lietotājam ērtā vietā un laikā, un sniedz dažādu pakalpojumu e-vides izmantošanu bez interneta pārlūka starpniecības, taču lielai daļai lietotņu nepieciešams interneta pieslēgums (piekļuve </w:t>
      </w:r>
      <w:r w:rsidRPr="00307028">
        <w:rPr>
          <w:rFonts w:eastAsia="Times New Roman"/>
          <w:i/>
          <w:iCs/>
          <w:lang w:eastAsia="lv-LV"/>
        </w:rPr>
        <w:t>WiFi</w:t>
      </w:r>
      <w:r w:rsidRPr="00307028">
        <w:rPr>
          <w:rFonts w:eastAsia="Times New Roman"/>
          <w:lang w:eastAsia="lv-LV"/>
        </w:rPr>
        <w:t> tīklam vai mobilajiem datiem). Ar lietotņu palīdzību iespējams pielāgot viedierīces katra lietotāja individuālajām vēlmēm un vajadzībām. </w:t>
      </w:r>
    </w:p>
    <w:p w14:paraId="33BBDD25" w14:textId="77777777" w:rsidR="0016333F" w:rsidRPr="00307028" w:rsidRDefault="0016333F" w:rsidP="00427388">
      <w:pPr>
        <w:shd w:val="clear" w:color="auto" w:fill="FFFFFF"/>
        <w:spacing w:before="120" w:after="120" w:line="259" w:lineRule="auto"/>
        <w:ind w:firstLine="720"/>
        <w:jc w:val="both"/>
        <w:rPr>
          <w:rFonts w:eastAsia="Times New Roman"/>
          <w:lang w:eastAsia="lv-LV"/>
        </w:rPr>
      </w:pPr>
      <w:r w:rsidRPr="00307028">
        <w:rPr>
          <w:rFonts w:eastAsia="Times New Roman"/>
          <w:lang w:eastAsia="lv-LV"/>
        </w:rPr>
        <w:t xml:space="preserve">Arvien izplatītāka kļūst mobilo lietotņu lietošana ne tikai izklaidei un savstarpējai saziņai, bet arī uzņēmumu, pašvaldību un valsts iestāžu funkciju nodrošināšanā un sabiedrības informēšanā. </w:t>
      </w:r>
    </w:p>
    <w:p w14:paraId="491F9B8C" w14:textId="280DFC10" w:rsidR="0016333F" w:rsidRPr="00307028" w:rsidRDefault="0016333F" w:rsidP="00427388">
      <w:pPr>
        <w:spacing w:before="120" w:after="120" w:line="259" w:lineRule="auto"/>
        <w:jc w:val="both"/>
        <w:rPr>
          <w:rFonts w:eastAsiaTheme="minorHAnsi"/>
          <w:lang w:eastAsia="lv-LV"/>
        </w:rPr>
      </w:pPr>
      <w:r w:rsidRPr="00307028">
        <w:rPr>
          <w:rFonts w:eastAsiaTheme="minorHAnsi"/>
          <w:lang w:eastAsia="en-US"/>
        </w:rPr>
        <w:tab/>
        <w:t>2020. gada 14. jūlija MK noteikumi Nr. 455 “Kārtība, kādā iestādes ievieto informāciju internetā” (turpmāk – MK noteikumi Nr. 455) nosaka kārtību, kādā iestādes</w:t>
      </w:r>
      <w:r w:rsidR="00DC6B33" w:rsidRPr="00307028">
        <w:rPr>
          <w:rStyle w:val="FootnoteReference"/>
          <w:rFonts w:eastAsiaTheme="minorHAnsi"/>
          <w:lang w:eastAsia="en-US"/>
        </w:rPr>
        <w:footnoteReference w:id="19"/>
      </w:r>
      <w:r w:rsidR="00DC6B33" w:rsidRPr="00307028">
        <w:rPr>
          <w:rFonts w:eastAsiaTheme="minorHAnsi"/>
          <w:lang w:eastAsia="en-US"/>
        </w:rPr>
        <w:t xml:space="preserve"> </w:t>
      </w:r>
      <w:r w:rsidRPr="00307028">
        <w:rPr>
          <w:rFonts w:eastAsiaTheme="minorHAnsi"/>
          <w:lang w:eastAsia="en-US"/>
        </w:rPr>
        <w:t xml:space="preserve">ievieto informāciju internetā. </w:t>
      </w:r>
      <w:r w:rsidRPr="00307028">
        <w:rPr>
          <w:rFonts w:eastAsiaTheme="minorHAnsi"/>
          <w:lang w:eastAsia="lv-LV"/>
        </w:rPr>
        <w:t>Iestāde nodrošina tās kompetencē esošās informācijas pieejamību iestādes oficiālajā tīmekļvietnē vai pārraugošās iestādes oficiālajā tīmekļvietnē un mobilajā lietotnē (ja tāda izveidota), izņemot informāciju, kas ir klasificējama kā</w:t>
      </w:r>
      <w:r w:rsidRPr="00307028">
        <w:rPr>
          <w:rFonts w:eastAsiaTheme="minorHAnsi"/>
          <w:lang w:eastAsia="en-US"/>
        </w:rPr>
        <w:t xml:space="preserve"> </w:t>
      </w:r>
      <w:r w:rsidRPr="00307028">
        <w:rPr>
          <w:rFonts w:eastAsiaTheme="minorHAnsi"/>
          <w:lang w:eastAsia="lv-LV"/>
        </w:rPr>
        <w:t>ierobežotas pieejamības informācija vai valsts noslēpums vai nav publicējama atbilstoši speciālajiem normatīvajiem aktiem.</w:t>
      </w:r>
      <w:r w:rsidRPr="00307028">
        <w:rPr>
          <w:rFonts w:eastAsiaTheme="minorHAnsi"/>
          <w:lang w:eastAsia="en-US"/>
        </w:rPr>
        <w:t xml:space="preserve"> </w:t>
      </w:r>
      <w:r w:rsidRPr="00307028">
        <w:rPr>
          <w:rFonts w:eastAsiaTheme="minorHAnsi"/>
          <w:lang w:eastAsia="lv-LV"/>
        </w:rPr>
        <w:t>Iestāde informāciju oficiālajā tīmekļvietnē un mobilajā lietotnē veido saturiski, strukturāli un vizuāli viegli saprotamu un uztveramu lietotājam</w:t>
      </w:r>
      <w:r w:rsidRPr="00307028">
        <w:rPr>
          <w:rFonts w:eastAsiaTheme="minorHAnsi"/>
          <w:lang w:eastAsia="en-US"/>
        </w:rPr>
        <w:t xml:space="preserve">, </w:t>
      </w:r>
      <w:r w:rsidRPr="00307028">
        <w:rPr>
          <w:rFonts w:eastAsiaTheme="minorHAnsi"/>
          <w:lang w:eastAsia="lv-LV"/>
        </w:rPr>
        <w:t>nodrošina lietotājam iespēju uzdot jautājumu, iesniegt priekšlikumu vai sūdzību vai sniegt atsauksmi.</w:t>
      </w:r>
    </w:p>
    <w:p w14:paraId="5C9F3228" w14:textId="77777777" w:rsidR="0016333F" w:rsidRPr="00307028" w:rsidRDefault="0016333F" w:rsidP="00427388">
      <w:pPr>
        <w:spacing w:before="120" w:after="120" w:line="259" w:lineRule="auto"/>
        <w:jc w:val="both"/>
        <w:rPr>
          <w:rFonts w:eastAsiaTheme="minorHAnsi"/>
          <w:lang w:eastAsia="lv-LV"/>
        </w:rPr>
      </w:pPr>
      <w:r w:rsidRPr="00307028">
        <w:rPr>
          <w:rFonts w:eastAsiaTheme="minorHAnsi"/>
          <w:lang w:eastAsia="en-US"/>
        </w:rPr>
        <w:tab/>
        <w:t>MK noteikumu Nr. 455 22. un 26. </w:t>
      </w:r>
      <w:r w:rsidRPr="00307028">
        <w:rPr>
          <w:rFonts w:eastAsiaTheme="minorHAnsi"/>
          <w:lang w:eastAsia="lv-LV"/>
        </w:rPr>
        <w:t>punkts nosaka, ka iestāde nodrošina tīmekļvietnes un mobilās lietotnes piekļūstamību, ievērojot šādus principus:</w:t>
      </w:r>
    </w:p>
    <w:p w14:paraId="625422BD" w14:textId="77777777" w:rsidR="0016333F" w:rsidRPr="00307028" w:rsidRDefault="0016333F" w:rsidP="00427388">
      <w:pPr>
        <w:shd w:val="clear" w:color="auto" w:fill="FFFFFF"/>
        <w:spacing w:before="120" w:after="120" w:line="259" w:lineRule="auto"/>
        <w:ind w:left="600"/>
        <w:jc w:val="both"/>
        <w:rPr>
          <w:rFonts w:eastAsia="Times New Roman"/>
          <w:lang w:eastAsia="lv-LV"/>
        </w:rPr>
      </w:pPr>
      <w:r w:rsidRPr="00307028">
        <w:rPr>
          <w:rFonts w:eastAsia="Times New Roman"/>
          <w:lang w:eastAsia="lv-LV"/>
        </w:rPr>
        <w:t>1. uztveramība – informācija un lietotāja saskarnes sastāvdaļas tiek pasniegtas lietotājiem viegli uztveramā veidā;</w:t>
      </w:r>
    </w:p>
    <w:p w14:paraId="50C59050" w14:textId="77777777" w:rsidR="0016333F" w:rsidRPr="00307028" w:rsidRDefault="0016333F" w:rsidP="00427388">
      <w:pPr>
        <w:shd w:val="clear" w:color="auto" w:fill="FFFFFF"/>
        <w:spacing w:before="120" w:after="120" w:line="259" w:lineRule="auto"/>
        <w:ind w:left="600"/>
        <w:jc w:val="both"/>
        <w:rPr>
          <w:rFonts w:eastAsia="Times New Roman"/>
          <w:lang w:eastAsia="lv-LV"/>
        </w:rPr>
      </w:pPr>
      <w:r w:rsidRPr="00307028">
        <w:rPr>
          <w:rFonts w:eastAsia="Times New Roman"/>
          <w:lang w:eastAsia="lv-LV"/>
        </w:rPr>
        <w:t>2. darbināmība – lietotāja saskarnes sastāvdaļas un navigācija ir darbināma;</w:t>
      </w:r>
    </w:p>
    <w:p w14:paraId="463E3D3B" w14:textId="77777777" w:rsidR="0016333F" w:rsidRPr="00307028" w:rsidRDefault="0016333F" w:rsidP="00427388">
      <w:pPr>
        <w:shd w:val="clear" w:color="auto" w:fill="FFFFFF"/>
        <w:spacing w:before="120" w:after="120" w:line="259" w:lineRule="auto"/>
        <w:ind w:left="600"/>
        <w:jc w:val="both"/>
        <w:rPr>
          <w:rFonts w:eastAsia="Times New Roman"/>
          <w:lang w:eastAsia="lv-LV"/>
        </w:rPr>
      </w:pPr>
      <w:r w:rsidRPr="00307028">
        <w:rPr>
          <w:rFonts w:eastAsia="Times New Roman"/>
          <w:lang w:eastAsia="lv-LV"/>
        </w:rPr>
        <w:t>3. saprotamība – informācijai un lietotāja saskarnes izmantošanai jābūt saprotamai;</w:t>
      </w:r>
    </w:p>
    <w:p w14:paraId="5CBFD70D" w14:textId="77777777" w:rsidR="0016333F" w:rsidRPr="00307028" w:rsidRDefault="0016333F" w:rsidP="00427388">
      <w:pPr>
        <w:shd w:val="clear" w:color="auto" w:fill="FFFFFF"/>
        <w:spacing w:before="120" w:after="120" w:line="259" w:lineRule="auto"/>
        <w:ind w:left="601"/>
        <w:jc w:val="both"/>
        <w:rPr>
          <w:rFonts w:eastAsia="Times New Roman"/>
          <w:lang w:eastAsia="lv-LV"/>
        </w:rPr>
      </w:pPr>
      <w:r w:rsidRPr="00307028">
        <w:rPr>
          <w:rFonts w:eastAsia="Times New Roman"/>
          <w:lang w:eastAsia="lv-LV"/>
        </w:rPr>
        <w:lastRenderedPageBreak/>
        <w:t>4. robustums – saturs ir pietiekami robusts, lai dažādi lietotāju aģenti (tostarp atbalsta tehnoloģijas) to varētu ticami interpretēt.</w:t>
      </w:r>
    </w:p>
    <w:p w14:paraId="46A9E6AA" w14:textId="5EABEEDF" w:rsidR="0016333F" w:rsidRPr="00307028" w:rsidRDefault="0016333F" w:rsidP="00427388">
      <w:pPr>
        <w:shd w:val="clear" w:color="auto" w:fill="FFFFFF"/>
        <w:spacing w:before="120" w:after="120" w:line="259" w:lineRule="auto"/>
        <w:ind w:firstLine="601"/>
        <w:jc w:val="both"/>
        <w:rPr>
          <w:rFonts w:eastAsia="Times New Roman"/>
          <w:lang w:eastAsia="lv-LV"/>
        </w:rPr>
      </w:pPr>
      <w:r w:rsidRPr="00307028">
        <w:rPr>
          <w:rFonts w:eastAsia="Times New Roman"/>
          <w:lang w:eastAsia="lv-LV"/>
        </w:rPr>
        <w:t>Nodrošinot piekļūstamības prasību īstenošanas uzraudzību</w:t>
      </w:r>
      <w:r w:rsidR="00EF5654" w:rsidRPr="00307028">
        <w:rPr>
          <w:rFonts w:eastAsia="Times New Roman"/>
          <w:lang w:eastAsia="lv-LV"/>
        </w:rPr>
        <w:t>,</w:t>
      </w:r>
      <w:r w:rsidRPr="00307028">
        <w:rPr>
          <w:rFonts w:eastAsia="Times New Roman"/>
          <w:lang w:eastAsia="lv-LV"/>
        </w:rPr>
        <w:t xml:space="preserve"> iestāde tai piederošajās tīmekļvietnēs un mobilajās lietotnēs publicē un uztur aktuālu piekļūstamības paziņojumu. VARAM sadarbībā ar nevalstiskajām organizācijām reizi gadā līdz attiecīgā gada 31. decembrim nosaka tīmekļvietņu vienkāršotās izvērtēšanas un tīmekļvietņu un mobilo lietotņu padziļinātās izvērtēšanas izlases kopas nākamajam gadam un informē par to izlasē iekļautās iestādes, reizi gadā līdz attiecīgā gada 22. decembrim nodrošina tīmekļvietņu un mobilo lietotņu padziļinātu izvērtēšanu un informē attiecīgās iestādes par izvērtējuma rezultātiem, kā arī reizi trijos gados nodrošina ziņojuma sniegšanu EK.</w:t>
      </w:r>
    </w:p>
    <w:p w14:paraId="7F02D288" w14:textId="2F6A9AE8" w:rsidR="0016333F" w:rsidRPr="00307028" w:rsidRDefault="0016333F" w:rsidP="00427388">
      <w:pPr>
        <w:widowControl w:val="0"/>
        <w:suppressLineNumbers/>
        <w:spacing w:before="120" w:after="120" w:line="259" w:lineRule="auto"/>
        <w:ind w:firstLine="567"/>
        <w:jc w:val="both"/>
        <w:rPr>
          <w:rFonts w:eastAsia="Times New Roman"/>
          <w:lang w:eastAsia="lv-LV"/>
        </w:rPr>
      </w:pPr>
      <w:r w:rsidRPr="00307028">
        <w:rPr>
          <w:rFonts w:eastAsia="Times New Roman"/>
          <w:shd w:val="clear" w:color="auto" w:fill="FFFFFF"/>
          <w:lang w:eastAsia="lv-LV"/>
        </w:rPr>
        <w:t xml:space="preserve">VARAM 2022. gada 30. aprīļa </w:t>
      </w:r>
      <w:r w:rsidRPr="00307028">
        <w:rPr>
          <w:rFonts w:eastAsia="Times New Roman"/>
          <w:lang w:eastAsia="lv-LV"/>
        </w:rPr>
        <w:t>informatīvajā ziņojumā</w:t>
      </w:r>
      <w:r w:rsidRPr="00307028">
        <w:rPr>
          <w:rFonts w:eastAsia="Times New Roman"/>
          <w:vertAlign w:val="superscript"/>
          <w:lang w:eastAsia="lv-LV"/>
        </w:rPr>
        <w:footnoteReference w:id="20"/>
      </w:r>
      <w:r w:rsidRPr="00307028">
        <w:rPr>
          <w:rFonts w:eastAsia="Times New Roman"/>
          <w:lang w:eastAsia="lv-LV"/>
        </w:rPr>
        <w:t xml:space="preserve"> </w:t>
      </w:r>
      <w:r w:rsidRPr="00307028">
        <w:rPr>
          <w:rFonts w:eastAsia="PMingLiU"/>
          <w:iCs/>
          <w:lang w:eastAsia="lv-LV"/>
        </w:rPr>
        <w:t xml:space="preserve">par publisko personu tīmekļvietņu un mobilo lietotņu piekļūstamību 2021. gada periodā norāda, ka </w:t>
      </w:r>
      <w:r w:rsidRPr="00307028">
        <w:rPr>
          <w:rFonts w:eastAsia="Times New Roman"/>
          <w:lang w:eastAsia="lv-LV"/>
        </w:rPr>
        <w:t xml:space="preserve">ir veidota vienkāršotās izvērtēšanas tīmekļvietņu izlase (113 tīmekļvietnes) un padziļinātās izvērtēšanas izlase (16 tīmekļvietnes un astoņas mobilās lietotnes). Šajā izlasē iekļauto tīmekļvietņu piekļūstamības izvērtējumi ņemami par pamatu, lai konstatētu statistisko situāciju valstī. Padziļinātā izvērtēšana saskaņā ar MK noteikumu Nr. 445 26.2.2. punktu veicama ar VARAM resursiem, </w:t>
      </w:r>
      <w:r w:rsidR="00EF5654" w:rsidRPr="00307028">
        <w:rPr>
          <w:rFonts w:eastAsia="Times New Roman"/>
          <w:lang w:eastAsia="lv-LV"/>
        </w:rPr>
        <w:t xml:space="preserve">taču </w:t>
      </w:r>
      <w:r w:rsidRPr="00307028">
        <w:rPr>
          <w:rFonts w:eastAsia="Times New Roman"/>
          <w:lang w:eastAsia="lv-LV"/>
        </w:rPr>
        <w:t>diemžēl 2021. gada valsts budžetā netika rasta iespēja līdzekļu piešķiršanai šim mērķim. Šāds finansējums padziļinātam izvērtējumam paredzams katru gadu. Mobilo lietotņu piekļūstamība nosakāma padziļinātās izvērtēšanas ietvaros, līdz ar to 2021. gadā nav pieejami dati par mobilajām lietotnēm un šī aktivitāte tika paredzēta 2022. un 2023. gada ietvaros.</w:t>
      </w:r>
    </w:p>
    <w:p w14:paraId="2A53B640" w14:textId="43D84CFE" w:rsidR="0016333F" w:rsidRPr="00307028" w:rsidRDefault="0016333F" w:rsidP="00427388">
      <w:pPr>
        <w:widowControl w:val="0"/>
        <w:suppressLineNumbers/>
        <w:spacing w:before="120" w:after="120" w:line="259" w:lineRule="auto"/>
        <w:ind w:firstLine="567"/>
        <w:jc w:val="both"/>
        <w:rPr>
          <w:rFonts w:eastAsia="Times New Roman"/>
          <w:b/>
          <w:bCs/>
          <w:lang w:eastAsia="lv-LV"/>
        </w:rPr>
      </w:pPr>
      <w:r w:rsidRPr="00307028">
        <w:rPr>
          <w:rFonts w:eastAsia="Times New Roman"/>
          <w:lang w:eastAsia="lv-LV"/>
        </w:rPr>
        <w:t>Izdevumu pārskatīšanas darba grupas sanāksmē VARAM informēja, ka</w:t>
      </w:r>
      <w:r w:rsidRPr="00307028">
        <w:rPr>
          <w:rFonts w:eastAsia="Times New Roman"/>
          <w:bCs/>
          <w:lang w:eastAsia="lv-LV"/>
        </w:rPr>
        <w:t xml:space="preserve"> ir sagatavots Informatīvais ziņojums par publisko personu tīmekļvietņu un mobilo lietotņu piekļūstamību</w:t>
      </w:r>
      <w:r w:rsidR="00F240E3" w:rsidRPr="00307028">
        <w:rPr>
          <w:rFonts w:eastAsia="Times New Roman"/>
          <w:bCs/>
          <w:lang w:eastAsia="lv-LV"/>
        </w:rPr>
        <w:t xml:space="preserve"> </w:t>
      </w:r>
      <w:r w:rsidRPr="00307028">
        <w:rPr>
          <w:rFonts w:eastAsia="Times New Roman"/>
          <w:bCs/>
          <w:lang w:eastAsia="lv-LV"/>
        </w:rPr>
        <w:t xml:space="preserve">2022. gada periodā, bet </w:t>
      </w:r>
      <w:r w:rsidRPr="00307028">
        <w:rPr>
          <w:rFonts w:eastAsia="Times New Roman"/>
          <w:b/>
          <w:bCs/>
          <w:lang w:eastAsia="lv-LV"/>
        </w:rPr>
        <w:t>padziļinātā izvērtēšana nav veikta, jo nepieciešamais finansējums, lai to veiktu</w:t>
      </w:r>
      <w:r w:rsidR="00EF5654" w:rsidRPr="00307028">
        <w:rPr>
          <w:rFonts w:eastAsia="Times New Roman"/>
          <w:b/>
          <w:bCs/>
          <w:lang w:eastAsia="lv-LV"/>
        </w:rPr>
        <w:t xml:space="preserve"> pirmo reizi</w:t>
      </w:r>
      <w:r w:rsidRPr="00307028">
        <w:rPr>
          <w:rFonts w:eastAsia="Times New Roman"/>
          <w:b/>
          <w:bCs/>
          <w:lang w:eastAsia="lv-LV"/>
        </w:rPr>
        <w:t xml:space="preserve">, tika rasts tikai šogad. </w:t>
      </w:r>
    </w:p>
    <w:p w14:paraId="17AE12B5" w14:textId="11BCFA6C" w:rsidR="0016333F" w:rsidRPr="00307028" w:rsidRDefault="0016333F" w:rsidP="00427388">
      <w:pPr>
        <w:spacing w:before="120" w:after="120" w:line="259" w:lineRule="auto"/>
        <w:ind w:firstLine="720"/>
        <w:jc w:val="both"/>
        <w:rPr>
          <w:rFonts w:eastAsiaTheme="minorHAnsi"/>
          <w:b/>
          <w:bCs/>
          <w:lang w:eastAsia="en-US"/>
        </w:rPr>
      </w:pPr>
      <w:r w:rsidRPr="00307028">
        <w:rPr>
          <w:rFonts w:eastAsiaTheme="minorHAnsi"/>
          <w:lang w:eastAsia="en-US"/>
        </w:rPr>
        <w:t>VARAM Latvijas Atvērto datu portālā</w:t>
      </w:r>
      <w:r w:rsidRPr="00307028">
        <w:rPr>
          <w:rFonts w:eastAsiaTheme="minorHAnsi"/>
          <w:vertAlign w:val="superscript"/>
          <w:lang w:eastAsia="en-US"/>
        </w:rPr>
        <w:footnoteReference w:id="21"/>
      </w:r>
      <w:r w:rsidRPr="00307028">
        <w:rPr>
          <w:rFonts w:eastAsiaTheme="minorHAnsi"/>
          <w:lang w:eastAsia="en-US"/>
        </w:rPr>
        <w:t xml:space="preserve"> 2020. gada 31. augustā publicējusi apkopotu informāciju par valsts un pašvaldību iestāžu mobilajām lietotnēm, šo mobilo lietotņu mērķiem, kā arī informācija par iestāžu mobilo lietotņu pēdējo pārveidi un lejupielādes un izmantošanas reižu skaitu. Apkopojumā iekļautas 36 mobilās lietotnes, tajā skaitā mobilās lietotnes dublējas (nav apvienota informācija par Android un iOS operētājsistēmām). VARAM</w:t>
      </w:r>
      <w:r w:rsidR="00EF5654" w:rsidRPr="00307028">
        <w:rPr>
          <w:rFonts w:eastAsiaTheme="minorHAnsi"/>
          <w:lang w:eastAsia="en-US"/>
        </w:rPr>
        <w:t xml:space="preserve"> norāda</w:t>
      </w:r>
      <w:r w:rsidRPr="00307028">
        <w:rPr>
          <w:rFonts w:eastAsiaTheme="minorHAnsi"/>
          <w:lang w:eastAsia="en-US"/>
        </w:rPr>
        <w:t xml:space="preserve">, </w:t>
      </w:r>
      <w:r w:rsidR="00EF5654" w:rsidRPr="00307028">
        <w:rPr>
          <w:rFonts w:eastAsiaTheme="minorHAnsi"/>
          <w:lang w:eastAsia="en-US"/>
        </w:rPr>
        <w:t xml:space="preserve">ka </w:t>
      </w:r>
      <w:r w:rsidRPr="00307028">
        <w:rPr>
          <w:rFonts w:eastAsiaTheme="minorHAnsi"/>
          <w:lang w:eastAsia="en-US"/>
        </w:rPr>
        <w:t xml:space="preserve">turpmāk tiks uzlabota mobilo lietotņu apkopojuma metodika, un saraksts ar iestāžu mobilajām lietotnēm tiks pilnveidots. Papildus informācijā norādīts, ka datu atjaunošanas biežums ir reizi gadā, </w:t>
      </w:r>
      <w:r w:rsidRPr="00307028">
        <w:rPr>
          <w:rFonts w:eastAsiaTheme="minorHAnsi"/>
          <w:b/>
          <w:bCs/>
          <w:lang w:eastAsia="en-US"/>
        </w:rPr>
        <w:t xml:space="preserve">tomēr dati nav atjaunoti, daļa no mobilajām lietotnēm vairs nav aktīvas, nav iekļautas visas iestāžu iekšējās mobilās lietotnes, informācija ir nepilnīga un novecojusi, kā arī, ņemot vērā publicēšanas datumu, nav iekļautas jaunākās mobilās lietotnes. </w:t>
      </w:r>
      <w:r w:rsidRPr="00307028">
        <w:rPr>
          <w:rFonts w:eastAsiaTheme="minorHAnsi"/>
          <w:lang w:eastAsia="en-US"/>
        </w:rPr>
        <w:t>Izdevumu pārskatīšanas darba grupas sanāksmē VARAM norādīja, ka tiek strādāts pie IS VIRSIS attīstības, lai iestādes pašas tajā varētu ievadīt datus par mobilajām lietotnēm, un vienlaikus tiek gatavoti arī grozījumi MK noteikumos, nosakot datu ievadīšanu kā obligātu prasību.</w:t>
      </w:r>
    </w:p>
    <w:p w14:paraId="0C105C56" w14:textId="77777777" w:rsidR="0016333F" w:rsidRPr="00307028" w:rsidRDefault="0016333F" w:rsidP="00427388">
      <w:pPr>
        <w:spacing w:before="120" w:after="120" w:line="259" w:lineRule="auto"/>
        <w:ind w:firstLine="720"/>
        <w:jc w:val="both"/>
        <w:rPr>
          <w:rFonts w:eastAsiaTheme="minorHAnsi"/>
          <w:b/>
          <w:bCs/>
          <w:u w:val="single"/>
          <w:lang w:eastAsia="en-US"/>
        </w:rPr>
      </w:pPr>
      <w:r w:rsidRPr="00307028">
        <w:rPr>
          <w:rFonts w:eastAsiaTheme="minorHAnsi"/>
          <w:b/>
          <w:bCs/>
          <w:u w:val="single"/>
          <w:lang w:eastAsia="en-US"/>
        </w:rPr>
        <w:t>Mobilo lietotņu izvērtējums</w:t>
      </w:r>
    </w:p>
    <w:p w14:paraId="6AB2F3A8" w14:textId="5C0E8450" w:rsidR="0016333F" w:rsidRPr="00307028" w:rsidRDefault="0016333F" w:rsidP="00427388">
      <w:pPr>
        <w:spacing w:before="120" w:after="120" w:line="259" w:lineRule="auto"/>
        <w:ind w:firstLine="720"/>
        <w:jc w:val="both"/>
        <w:rPr>
          <w:rFonts w:eastAsiaTheme="minorHAnsi"/>
          <w:lang w:eastAsia="en-US"/>
        </w:rPr>
      </w:pPr>
      <w:r w:rsidRPr="00307028">
        <w:rPr>
          <w:rFonts w:eastAsiaTheme="minorHAnsi"/>
          <w:lang w:eastAsia="en-US"/>
        </w:rPr>
        <w:t xml:space="preserve">Lai noskaidrotu aktuālāko informāciju, FM izdevumu pārskatīšanas ietvaros 2023. gada janvārī nosūtīja aptauju ministrijām par </w:t>
      </w:r>
      <w:bookmarkStart w:id="122" w:name="_Hlk133585722"/>
      <w:r w:rsidRPr="00307028">
        <w:rPr>
          <w:rFonts w:eastAsiaTheme="minorHAnsi"/>
          <w:lang w:eastAsia="en-US"/>
        </w:rPr>
        <w:t xml:space="preserve">to padotībā esošo valsts budžeta iestāžu </w:t>
      </w:r>
      <w:bookmarkEnd w:id="122"/>
      <w:r w:rsidRPr="00307028">
        <w:rPr>
          <w:rFonts w:eastAsiaTheme="minorHAnsi"/>
          <w:lang w:eastAsia="en-US"/>
        </w:rPr>
        <w:t xml:space="preserve">un kapitālsabiedrību, kurās ministrija ir kapitāldaļu turētāja, izveidotajām un uzturētajām mobilajām lietotnēm. </w:t>
      </w:r>
    </w:p>
    <w:p w14:paraId="6E3A5882" w14:textId="77777777" w:rsidR="0016333F" w:rsidRPr="00307028" w:rsidRDefault="0016333F" w:rsidP="00427388">
      <w:pPr>
        <w:spacing w:before="120" w:after="120" w:line="259" w:lineRule="auto"/>
        <w:ind w:firstLine="720"/>
        <w:jc w:val="both"/>
        <w:rPr>
          <w:rFonts w:eastAsiaTheme="minorHAnsi"/>
          <w:lang w:eastAsia="en-US"/>
        </w:rPr>
      </w:pPr>
      <w:r w:rsidRPr="00307028">
        <w:rPr>
          <w:rFonts w:eastAsiaTheme="minorHAnsi"/>
          <w:lang w:eastAsia="en-US"/>
        </w:rPr>
        <w:lastRenderedPageBreak/>
        <w:t xml:space="preserve">FM mobilo lietotņu apkopojumā nav iekļautas mobilās lietotnes, kuras: </w:t>
      </w:r>
    </w:p>
    <w:p w14:paraId="4F626352" w14:textId="77777777" w:rsidR="0016333F" w:rsidRPr="00307028" w:rsidRDefault="0016333F" w:rsidP="00183D1A">
      <w:pPr>
        <w:numPr>
          <w:ilvl w:val="0"/>
          <w:numId w:val="12"/>
        </w:numPr>
        <w:spacing w:before="120" w:after="120" w:line="259" w:lineRule="auto"/>
        <w:ind w:left="1134" w:hanging="425"/>
        <w:jc w:val="both"/>
        <w:rPr>
          <w:rFonts w:eastAsiaTheme="minorHAnsi"/>
          <w:lang w:eastAsia="en-US"/>
        </w:rPr>
      </w:pPr>
      <w:r w:rsidRPr="00307028">
        <w:rPr>
          <w:rFonts w:eastAsiaTheme="minorHAnsi"/>
          <w:lang w:eastAsia="en-US"/>
        </w:rPr>
        <w:t>paredzētas iestāžu darbības nodrošināšanai, un tās izmanto tikai iestādes darbinieki, veicot amata pienākumus;</w:t>
      </w:r>
    </w:p>
    <w:p w14:paraId="0C891071" w14:textId="77777777" w:rsidR="0016333F" w:rsidRPr="00307028" w:rsidRDefault="0016333F" w:rsidP="00183D1A">
      <w:pPr>
        <w:numPr>
          <w:ilvl w:val="0"/>
          <w:numId w:val="12"/>
        </w:numPr>
        <w:spacing w:before="120" w:after="120" w:line="259" w:lineRule="auto"/>
        <w:ind w:left="1134" w:hanging="425"/>
        <w:jc w:val="both"/>
        <w:rPr>
          <w:rFonts w:eastAsiaTheme="minorHAnsi"/>
          <w:lang w:eastAsia="en-US"/>
        </w:rPr>
      </w:pPr>
      <w:r w:rsidRPr="00307028">
        <w:rPr>
          <w:rFonts w:eastAsiaTheme="minorHAnsi"/>
          <w:lang w:eastAsia="en-US"/>
        </w:rPr>
        <w:t>ir izveidotas, bet vēl nav palaistas ekspluatācijā;</w:t>
      </w:r>
    </w:p>
    <w:p w14:paraId="014875C1" w14:textId="77777777" w:rsidR="0016333F" w:rsidRPr="00307028" w:rsidRDefault="0016333F" w:rsidP="00183D1A">
      <w:pPr>
        <w:numPr>
          <w:ilvl w:val="0"/>
          <w:numId w:val="12"/>
        </w:numPr>
        <w:spacing w:before="120" w:after="120" w:line="259" w:lineRule="auto"/>
        <w:ind w:left="1134" w:hanging="425"/>
        <w:jc w:val="both"/>
        <w:rPr>
          <w:rFonts w:eastAsiaTheme="minorHAnsi"/>
          <w:lang w:eastAsia="en-US"/>
        </w:rPr>
      </w:pPr>
      <w:r w:rsidRPr="00307028">
        <w:rPr>
          <w:rFonts w:eastAsiaTheme="minorHAnsi"/>
          <w:lang w:eastAsia="en-US"/>
        </w:rPr>
        <w:t>nav izveidojušas ministrijas, to padotībā esošās valsts budžeta iestādes un kapitālsabiedrības, kurās ministrija ir kapitāldaļu turētāja, bet to funkcijas ir iekļautas mobilajā lietotnē kopā ar citu iestāžu vai uzņēmumu funkcijām;</w:t>
      </w:r>
    </w:p>
    <w:p w14:paraId="53DA1127" w14:textId="20485545" w:rsidR="0016333F" w:rsidRPr="00307028" w:rsidRDefault="0016333F" w:rsidP="00183D1A">
      <w:pPr>
        <w:numPr>
          <w:ilvl w:val="0"/>
          <w:numId w:val="12"/>
        </w:numPr>
        <w:spacing w:before="120" w:after="120" w:line="259" w:lineRule="auto"/>
        <w:ind w:left="1134" w:hanging="425"/>
        <w:jc w:val="both"/>
        <w:rPr>
          <w:rFonts w:eastAsiaTheme="minorHAnsi"/>
          <w:lang w:eastAsia="en-US"/>
        </w:rPr>
      </w:pPr>
      <w:r w:rsidRPr="00307028">
        <w:rPr>
          <w:rFonts w:eastAsiaTheme="minorHAnsi"/>
          <w:lang w:eastAsia="en-US"/>
        </w:rPr>
        <w:t xml:space="preserve">ir likvidētas. </w:t>
      </w:r>
    </w:p>
    <w:p w14:paraId="3D27746C" w14:textId="520B6026" w:rsidR="0016333F" w:rsidRPr="00307028" w:rsidRDefault="0016333F" w:rsidP="00427388">
      <w:pPr>
        <w:spacing w:before="120" w:after="120" w:line="259" w:lineRule="auto"/>
        <w:ind w:firstLine="851"/>
        <w:jc w:val="both"/>
        <w:rPr>
          <w:rFonts w:asciiTheme="minorHAnsi" w:eastAsiaTheme="minorHAnsi" w:hAnsiTheme="minorHAnsi" w:cstheme="minorBidi"/>
          <w:sz w:val="22"/>
          <w:szCs w:val="22"/>
          <w:lang w:eastAsia="en-US"/>
        </w:rPr>
      </w:pPr>
      <w:bookmarkStart w:id="123" w:name="_Hlk133585653"/>
      <w:r w:rsidRPr="00307028">
        <w:rPr>
          <w:rFonts w:eastAsiaTheme="minorHAnsi"/>
          <w:lang w:eastAsia="en-US"/>
        </w:rPr>
        <w:t xml:space="preserve">Apkopojot ministriju sniegto informāciju, secināts, ka informācija iesniegta kopā par 45 šādām mobilajām lietotnēm. </w:t>
      </w:r>
      <w:bookmarkEnd w:id="123"/>
      <w:r w:rsidRPr="00307028">
        <w:rPr>
          <w:rFonts w:eastAsiaTheme="minorHAnsi"/>
          <w:lang w:eastAsia="en-US"/>
        </w:rPr>
        <w:t>Visvairāk (astoņas) mobilās lietotnes ir SM pārraudzībā, t.sk. septiņas ir SM kapitālsabiedrību mobilās lietotnes. Kopumā visvairāk (26) mobilās lietotnes ir ministriju padotībā esošajām valsts budžeta iestādēm (Attēls Nr. 2.4.1.2.).</w:t>
      </w:r>
    </w:p>
    <w:p w14:paraId="2DAA18FE" w14:textId="473932E3" w:rsidR="0016333F" w:rsidRPr="00307028" w:rsidRDefault="0049133D" w:rsidP="00F55F97">
      <w:pPr>
        <w:spacing w:line="259" w:lineRule="auto"/>
        <w:jc w:val="center"/>
        <w:rPr>
          <w:rFonts w:eastAsiaTheme="minorHAnsi"/>
          <w:b/>
          <w:bCs/>
          <w:lang w:eastAsia="en-US"/>
        </w:rPr>
      </w:pPr>
      <w:r w:rsidRPr="00307028">
        <w:rPr>
          <w:rFonts w:eastAsiaTheme="minorHAnsi"/>
          <w:b/>
          <w:bCs/>
          <w:i/>
          <w:iCs/>
          <w:noProof/>
          <w:sz w:val="22"/>
          <w:szCs w:val="22"/>
          <w:lang w:eastAsia="en-US"/>
        </w:rPr>
        <w:drawing>
          <wp:anchor distT="0" distB="0" distL="114300" distR="114300" simplePos="0" relativeHeight="251716608" behindDoc="0" locked="0" layoutInCell="1" allowOverlap="1" wp14:anchorId="5031A369" wp14:editId="6D9D5EC9">
            <wp:simplePos x="0" y="0"/>
            <wp:positionH relativeFrom="margin">
              <wp:align>left</wp:align>
            </wp:positionH>
            <wp:positionV relativeFrom="paragraph">
              <wp:posOffset>436880</wp:posOffset>
            </wp:positionV>
            <wp:extent cx="5876925" cy="2730500"/>
            <wp:effectExtent l="0" t="0" r="9525" b="12700"/>
            <wp:wrapThrough wrapText="bothSides">
              <wp:wrapPolygon edited="0">
                <wp:start x="0" y="0"/>
                <wp:lineTo x="0" y="21550"/>
                <wp:lineTo x="21565" y="21550"/>
                <wp:lineTo x="21565" y="0"/>
                <wp:lineTo x="0" y="0"/>
              </wp:wrapPolygon>
            </wp:wrapThrough>
            <wp:docPr id="873622154" name="Chart 1">
              <a:extLst xmlns:a="http://schemas.openxmlformats.org/drawingml/2006/main">
                <a:ext uri="{FF2B5EF4-FFF2-40B4-BE49-F238E27FC236}">
                  <a16:creationId xmlns:a16="http://schemas.microsoft.com/office/drawing/2014/main" id="{A6802F5B-16D8-4194-9BDE-11CBA5D58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16333F" w:rsidRPr="00307028">
        <w:rPr>
          <w:rFonts w:eastAsiaTheme="minorHAnsi"/>
          <w:b/>
          <w:bCs/>
          <w:i/>
          <w:iCs/>
          <w:noProof/>
          <w:sz w:val="22"/>
          <w:szCs w:val="22"/>
          <w:lang w:eastAsia="en-US"/>
        </w:rPr>
        <mc:AlternateContent>
          <mc:Choice Requires="wps">
            <w:drawing>
              <wp:anchor distT="0" distB="0" distL="114300" distR="114300" simplePos="0" relativeHeight="251722752" behindDoc="0" locked="0" layoutInCell="1" allowOverlap="1" wp14:anchorId="11209D7E" wp14:editId="66B7A415">
                <wp:simplePos x="0" y="0"/>
                <wp:positionH relativeFrom="column">
                  <wp:posOffset>2806700</wp:posOffset>
                </wp:positionH>
                <wp:positionV relativeFrom="paragraph">
                  <wp:posOffset>1212850</wp:posOffset>
                </wp:positionV>
                <wp:extent cx="1758950" cy="279400"/>
                <wp:effectExtent l="0" t="0" r="0" b="6350"/>
                <wp:wrapNone/>
                <wp:docPr id="12139999" name="Rectangle 3"/>
                <wp:cNvGraphicFramePr/>
                <a:graphic xmlns:a="http://schemas.openxmlformats.org/drawingml/2006/main">
                  <a:graphicData uri="http://schemas.microsoft.com/office/word/2010/wordprocessingShape">
                    <wps:wsp>
                      <wps:cNvSpPr/>
                      <wps:spPr>
                        <a:xfrm>
                          <a:off x="0" y="0"/>
                          <a:ext cx="1758950" cy="279400"/>
                        </a:xfrm>
                        <a:prstGeom prst="rect">
                          <a:avLst/>
                        </a:prstGeom>
                        <a:gradFill flip="none" rotWithShape="1">
                          <a:gsLst>
                            <a:gs pos="0">
                              <a:srgbClr val="5B9BD5">
                                <a:lumMod val="67000"/>
                              </a:srgbClr>
                            </a:gs>
                            <a:gs pos="48000">
                              <a:srgbClr val="5B9BD5">
                                <a:lumMod val="97000"/>
                                <a:lumOff val="3000"/>
                              </a:srgbClr>
                            </a:gs>
                            <a:gs pos="100000">
                              <a:srgbClr val="5B9BD5">
                                <a:lumMod val="60000"/>
                                <a:lumOff val="40000"/>
                              </a:srgbClr>
                            </a:gs>
                          </a:gsLst>
                          <a:lin ang="16200000" scaled="1"/>
                          <a:tileRect/>
                        </a:gradFill>
                        <a:ln>
                          <a:noFill/>
                        </a:ln>
                        <a:effectLst/>
                      </wps:spPr>
                      <wps:txbx>
                        <w:txbxContent>
                          <w:p w14:paraId="11F59EF2" w14:textId="77777777" w:rsidR="0016333F" w:rsidRPr="00307028" w:rsidRDefault="0016333F" w:rsidP="0016333F">
                            <w:pPr>
                              <w:jc w:val="center"/>
                              <w:rPr>
                                <w:b/>
                                <w:bCs/>
                                <w:color w:val="000000" w:themeColor="text1"/>
                                <w:sz w:val="20"/>
                                <w:szCs w:val="18"/>
                              </w:rPr>
                            </w:pPr>
                            <w:r w:rsidRPr="00307028">
                              <w:rPr>
                                <w:b/>
                                <w:bCs/>
                                <w:color w:val="000000" w:themeColor="text1"/>
                                <w:sz w:val="20"/>
                                <w:szCs w:val="18"/>
                              </w:rPr>
                              <w:t>Kopā 45 mobilās lietotnes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09D7E" id="Rectangle 3" o:spid="_x0000_s1035" style="position:absolute;left:0;text-align:left;margin-left:221pt;margin-top:95.5pt;width:138.5pt;height:2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" fillcolor="#2a69a2" stroked="f">
                <v:fill color2="#9dc3e6" rotate="t" angle="180" colors="0 #2a69a2;31457f #609ed6;1 #9dc3e6" focus="100%" type="gradient"/>
                <v:textbox>
                  <w:txbxContent>
                    <w:p w14:paraId="11F59EF2" w14:textId="77777777" w:rsidR="0016333F" w:rsidRPr="00307028" w:rsidRDefault="0016333F" w:rsidP="0016333F">
                      <w:pPr>
                        <w:jc w:val="center"/>
                        <w:rPr>
                          <w:b/>
                          <w:bCs/>
                          <w:color w:val="000000" w:themeColor="text1"/>
                          <w:sz w:val="20"/>
                          <w:szCs w:val="18"/>
                        </w:rPr>
                      </w:pPr>
                      <w:r w:rsidRPr="00307028">
                        <w:rPr>
                          <w:b/>
                          <w:bCs/>
                          <w:color w:val="000000" w:themeColor="text1"/>
                          <w:sz w:val="20"/>
                          <w:szCs w:val="18"/>
                        </w:rPr>
                        <w:t>Kopā 45 mobilās lietotnes</w:t>
                      </w:r>
                    </w:p>
                  </w:txbxContent>
                </v:textbox>
              </v:rect>
            </w:pict>
          </mc:Fallback>
        </mc:AlternateContent>
      </w:r>
      <w:r w:rsidR="0016333F" w:rsidRPr="00307028">
        <w:rPr>
          <w:rFonts w:eastAsiaTheme="minorHAnsi"/>
          <w:b/>
          <w:bCs/>
          <w:i/>
          <w:iCs/>
          <w:sz w:val="22"/>
          <w:szCs w:val="22"/>
          <w:lang w:eastAsia="en-US"/>
        </w:rPr>
        <w:t xml:space="preserve">2.4.1.2. attēls </w:t>
      </w:r>
      <w:r w:rsidR="0016333F" w:rsidRPr="00307028">
        <w:rPr>
          <w:rFonts w:eastAsiaTheme="minorHAnsi"/>
          <w:b/>
          <w:bCs/>
          <w:sz w:val="22"/>
          <w:szCs w:val="22"/>
          <w:lang w:eastAsia="en-US"/>
        </w:rPr>
        <w:t>Ministriju, to padotībā esošo valsts budžeta iestāžu un kapitālsabiedrību, kurās ministrija ir kapitāldaļu turētāja, izveidoto un uzturēto mobilo lietotņu skaits</w:t>
      </w:r>
    </w:p>
    <w:p w14:paraId="622F1D18" w14:textId="5C428A4C" w:rsidR="0016333F" w:rsidRPr="00307028" w:rsidRDefault="0016333F" w:rsidP="00060267">
      <w:pPr>
        <w:spacing w:after="120" w:line="259" w:lineRule="auto"/>
        <w:ind w:right="-142" w:firstLine="720"/>
        <w:jc w:val="both"/>
        <w:rPr>
          <w:rFonts w:eastAsiaTheme="minorHAnsi"/>
          <w:lang w:eastAsia="en-US"/>
        </w:rPr>
      </w:pPr>
      <w:r w:rsidRPr="00307028">
        <w:rPr>
          <w:rFonts w:eastAsiaTheme="minorHAnsi"/>
          <w:lang w:eastAsia="en-US"/>
        </w:rPr>
        <w:t xml:space="preserve">Mobilās lietotnes ir izveidotas laika periodā no 2013. gada līdz 2023. gadam. Attēlā Nr. 2.4.1.3. apkopoti mobilo lietotņu izveides finansēšanas avoti </w:t>
      </w:r>
      <w:r w:rsidRPr="00307028">
        <w:rPr>
          <w:rFonts w:asciiTheme="minorHAnsi" w:eastAsiaTheme="minorHAnsi" w:hAnsiTheme="minorHAnsi" w:cstheme="minorBidi"/>
          <w:sz w:val="22"/>
          <w:szCs w:val="22"/>
          <w:lang w:eastAsia="en-US"/>
        </w:rPr>
        <w:t xml:space="preserve">– </w:t>
      </w:r>
      <w:r w:rsidRPr="00307028">
        <w:rPr>
          <w:rFonts w:eastAsiaTheme="minorHAnsi"/>
          <w:lang w:eastAsia="en-US"/>
        </w:rPr>
        <w:t>piecas mobilās lietotnes ir izveidotas izmantojot iestāžu pašu finansējumu, 12 ir finansētas no valsts budžeta līdzekļiem, 12</w:t>
      </w:r>
      <w:r w:rsidR="00BF15EE">
        <w:rPr>
          <w:rFonts w:eastAsiaTheme="minorHAnsi"/>
          <w:lang w:eastAsia="en-US"/>
        </w:rPr>
        <w:t> </w:t>
      </w:r>
      <w:r w:rsidRPr="00307028">
        <w:rPr>
          <w:rFonts w:eastAsiaTheme="minorHAnsi"/>
          <w:lang w:eastAsia="en-US"/>
        </w:rPr>
        <w:t>no ES fondu līdzekļiem, bet 16 no citiem līdzekļiem (tajā skaitā saņemtas bez maksas).</w:t>
      </w:r>
    </w:p>
    <w:p w14:paraId="447BFEB4" w14:textId="77777777" w:rsidR="0016333F" w:rsidRPr="00307028" w:rsidRDefault="0016333F" w:rsidP="00580DD6">
      <w:pPr>
        <w:spacing w:line="259" w:lineRule="auto"/>
        <w:jc w:val="center"/>
        <w:rPr>
          <w:rFonts w:eastAsiaTheme="minorHAnsi"/>
          <w:b/>
          <w:bCs/>
          <w:sz w:val="22"/>
          <w:szCs w:val="22"/>
          <w:lang w:eastAsia="en-US"/>
        </w:rPr>
      </w:pPr>
      <w:r w:rsidRPr="00307028">
        <w:rPr>
          <w:rFonts w:asciiTheme="minorHAnsi" w:eastAsiaTheme="minorHAnsi" w:hAnsiTheme="minorHAnsi" w:cstheme="minorBidi"/>
          <w:noProof/>
          <w:sz w:val="20"/>
          <w:szCs w:val="20"/>
          <w:lang w:eastAsia="en-US"/>
        </w:rPr>
        <w:drawing>
          <wp:anchor distT="0" distB="0" distL="114300" distR="114300" simplePos="0" relativeHeight="251717632" behindDoc="0" locked="0" layoutInCell="1" allowOverlap="1" wp14:anchorId="6E7834E5" wp14:editId="4A6451FF">
            <wp:simplePos x="0" y="0"/>
            <wp:positionH relativeFrom="margin">
              <wp:posOffset>365760</wp:posOffset>
            </wp:positionH>
            <wp:positionV relativeFrom="paragraph">
              <wp:posOffset>215375</wp:posOffset>
            </wp:positionV>
            <wp:extent cx="5263515" cy="2019300"/>
            <wp:effectExtent l="0" t="0" r="13335" b="0"/>
            <wp:wrapThrough wrapText="bothSides">
              <wp:wrapPolygon edited="0">
                <wp:start x="0" y="0"/>
                <wp:lineTo x="0" y="21396"/>
                <wp:lineTo x="21577" y="21396"/>
                <wp:lineTo x="21577" y="0"/>
                <wp:lineTo x="0" y="0"/>
              </wp:wrapPolygon>
            </wp:wrapThrough>
            <wp:docPr id="1658820553" name="Chart 1">
              <a:extLst xmlns:a="http://schemas.openxmlformats.org/drawingml/2006/main">
                <a:ext uri="{FF2B5EF4-FFF2-40B4-BE49-F238E27FC236}">
                  <a16:creationId xmlns:a16="http://schemas.microsoft.com/office/drawing/2014/main" id="{CDB07E04-4AB6-477D-8B70-23D48647A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307028">
        <w:rPr>
          <w:rFonts w:eastAsiaTheme="minorHAnsi"/>
          <w:b/>
          <w:bCs/>
          <w:i/>
          <w:iCs/>
          <w:sz w:val="22"/>
          <w:szCs w:val="22"/>
          <w:lang w:eastAsia="en-US"/>
        </w:rPr>
        <w:t>2.4.1.3. attēls</w:t>
      </w:r>
      <w:r w:rsidRPr="00307028">
        <w:rPr>
          <w:rFonts w:eastAsiaTheme="minorHAnsi"/>
          <w:sz w:val="22"/>
          <w:szCs w:val="22"/>
          <w:lang w:eastAsia="en-US"/>
        </w:rPr>
        <w:t xml:space="preserve"> </w:t>
      </w:r>
      <w:r w:rsidRPr="00307028">
        <w:rPr>
          <w:rFonts w:eastAsiaTheme="minorHAnsi"/>
          <w:b/>
          <w:bCs/>
          <w:sz w:val="22"/>
          <w:szCs w:val="22"/>
          <w:lang w:eastAsia="en-US"/>
        </w:rPr>
        <w:t>Mobilo lietotņu izveides finansēšanas avots</w:t>
      </w:r>
    </w:p>
    <w:p w14:paraId="0507A0CB" w14:textId="05AA8100" w:rsidR="00017993" w:rsidRPr="00580DD6" w:rsidRDefault="00D756A0" w:rsidP="00580DD6">
      <w:pPr>
        <w:spacing w:after="120" w:line="259" w:lineRule="auto"/>
        <w:ind w:firstLine="720"/>
        <w:jc w:val="both"/>
        <w:rPr>
          <w:rFonts w:eastAsiaTheme="minorHAnsi"/>
          <w:lang w:eastAsia="en-US"/>
        </w:rPr>
      </w:pPr>
      <w:r w:rsidRPr="00307028">
        <w:rPr>
          <w:rFonts w:eastAsiaTheme="minorHAnsi"/>
          <w:lang w:eastAsia="en-US"/>
        </w:rPr>
        <w:lastRenderedPageBreak/>
        <w:t>D</w:t>
      </w:r>
      <w:bookmarkStart w:id="124" w:name="_Hlk138858027"/>
      <w:r w:rsidRPr="00307028">
        <w:rPr>
          <w:rFonts w:eastAsiaTheme="minorHAnsi"/>
          <w:lang w:eastAsia="en-US"/>
        </w:rPr>
        <w:t xml:space="preserve">etalizētāk tika analizētas tās 12 mobilās lietotnes, kas izveidotas </w:t>
      </w:r>
      <w:r w:rsidR="00EE71AB" w:rsidRPr="00307028">
        <w:rPr>
          <w:rFonts w:eastAsiaTheme="minorHAnsi"/>
          <w:lang w:eastAsia="en-US"/>
        </w:rPr>
        <w:t>par</w:t>
      </w:r>
      <w:r w:rsidRPr="00307028">
        <w:rPr>
          <w:rFonts w:eastAsiaTheme="minorHAnsi"/>
          <w:lang w:eastAsia="en-US"/>
        </w:rPr>
        <w:t xml:space="preserve"> valsts budžeta līdzekļiem</w:t>
      </w:r>
      <w:bookmarkEnd w:id="124"/>
      <w:r w:rsidRPr="00307028">
        <w:rPr>
          <w:rFonts w:eastAsiaTheme="minorHAnsi"/>
          <w:lang w:eastAsia="en-US"/>
        </w:rPr>
        <w:t>. Mobilās lietotnes nosaukums, izveides gads un izveides izmaksas, lietotāju skaits</w:t>
      </w:r>
      <w:r w:rsidR="00783384" w:rsidRPr="00307028">
        <w:rPr>
          <w:rFonts w:eastAsiaTheme="minorHAnsi"/>
          <w:lang w:eastAsia="en-US"/>
        </w:rPr>
        <w:t xml:space="preserve"> </w:t>
      </w:r>
      <w:r w:rsidRPr="00307028">
        <w:rPr>
          <w:rFonts w:eastAsiaTheme="minorHAnsi"/>
          <w:lang w:eastAsia="en-US"/>
        </w:rPr>
        <w:t>(ja tiek veikta mobilās lietotnes lietotāju uzskaite) un</w:t>
      </w:r>
      <w:r w:rsidR="00EE71AB" w:rsidRPr="00307028">
        <w:rPr>
          <w:rFonts w:eastAsiaTheme="minorHAnsi"/>
          <w:lang w:eastAsia="en-US"/>
        </w:rPr>
        <w:t xml:space="preserve"> </w:t>
      </w:r>
      <w:r w:rsidRPr="00307028">
        <w:rPr>
          <w:rFonts w:eastAsiaTheme="minorHAnsi"/>
          <w:lang w:eastAsia="en-US"/>
        </w:rPr>
        <w:t>uzturēšanas izmaksas 2022. gadā, kā arī</w:t>
      </w:r>
      <w:r w:rsidR="00F240E3" w:rsidRPr="00307028">
        <w:rPr>
          <w:rFonts w:eastAsiaTheme="minorHAnsi"/>
          <w:lang w:eastAsia="en-US"/>
        </w:rPr>
        <w:t xml:space="preserve"> </w:t>
      </w:r>
      <w:r w:rsidRPr="00307028">
        <w:rPr>
          <w:rFonts w:eastAsiaTheme="minorHAnsi"/>
          <w:lang w:eastAsia="en-US"/>
        </w:rPr>
        <w:t xml:space="preserve">iestādes personīgais mobilās lietotnes efektivitātes novērtējums procentos apkopots tabulā Nr. 2.4.1.1. Visas izveidotās </w:t>
      </w:r>
      <w:bookmarkStart w:id="125" w:name="_Hlk138858078"/>
      <w:r w:rsidRPr="00307028">
        <w:rPr>
          <w:rFonts w:eastAsiaTheme="minorHAnsi"/>
          <w:lang w:eastAsia="en-US"/>
        </w:rPr>
        <w:t xml:space="preserve">mobilās lietotnes ir pieejamas lietošanai bez maksas un pieejamas gan </w:t>
      </w:r>
      <w:r w:rsidRPr="00307028">
        <w:rPr>
          <w:rFonts w:eastAsiaTheme="minorHAnsi"/>
          <w:i/>
          <w:iCs/>
          <w:lang w:eastAsia="en-US"/>
        </w:rPr>
        <w:t>Android</w:t>
      </w:r>
      <w:r w:rsidRPr="00307028">
        <w:rPr>
          <w:rFonts w:eastAsiaTheme="minorHAnsi"/>
          <w:lang w:eastAsia="en-US"/>
        </w:rPr>
        <w:t xml:space="preserve">, gan </w:t>
      </w:r>
      <w:r w:rsidRPr="00307028">
        <w:rPr>
          <w:rFonts w:eastAsiaTheme="minorHAnsi"/>
          <w:i/>
          <w:iCs/>
          <w:lang w:eastAsia="en-US"/>
        </w:rPr>
        <w:t>iOS</w:t>
      </w:r>
      <w:r w:rsidRPr="00307028">
        <w:rPr>
          <w:rFonts w:eastAsiaTheme="minorHAnsi"/>
          <w:lang w:eastAsia="en-US"/>
        </w:rPr>
        <w:t xml:space="preserve"> operētājsistēmu viedierīcēm.</w:t>
      </w:r>
      <w:bookmarkEnd w:id="125"/>
    </w:p>
    <w:p w14:paraId="1E8305E9" w14:textId="475E3AEE" w:rsidR="0016333F" w:rsidRPr="00307028" w:rsidRDefault="0016333F" w:rsidP="00017993">
      <w:pPr>
        <w:spacing w:after="120" w:line="259" w:lineRule="auto"/>
        <w:ind w:left="568" w:hanging="284"/>
        <w:jc w:val="center"/>
        <w:rPr>
          <w:rFonts w:eastAsiaTheme="minorHAnsi"/>
          <w:sz w:val="22"/>
          <w:szCs w:val="22"/>
          <w:lang w:eastAsia="en-US"/>
        </w:rPr>
      </w:pPr>
      <w:r w:rsidRPr="00307028">
        <w:rPr>
          <w:rFonts w:eastAsiaTheme="minorHAnsi"/>
          <w:b/>
          <w:bCs/>
          <w:i/>
          <w:iCs/>
          <w:sz w:val="22"/>
          <w:szCs w:val="22"/>
          <w:lang w:eastAsia="en-US"/>
        </w:rPr>
        <w:t>2.4.1.1. tabula</w:t>
      </w:r>
      <w:r w:rsidRPr="00307028">
        <w:rPr>
          <w:rFonts w:eastAsiaTheme="minorHAnsi"/>
          <w:b/>
          <w:bCs/>
          <w:sz w:val="22"/>
          <w:szCs w:val="22"/>
          <w:lang w:eastAsia="en-US"/>
        </w:rPr>
        <w:t xml:space="preserve"> Mobilās lietotnes, kuras izveidotas </w:t>
      </w:r>
      <w:r w:rsidR="00EE71AB" w:rsidRPr="00307028">
        <w:rPr>
          <w:rFonts w:eastAsiaTheme="minorHAnsi"/>
          <w:b/>
          <w:bCs/>
          <w:sz w:val="22"/>
          <w:szCs w:val="22"/>
          <w:lang w:eastAsia="en-US"/>
        </w:rPr>
        <w:t>par</w:t>
      </w:r>
      <w:r w:rsidRPr="00307028">
        <w:rPr>
          <w:rFonts w:eastAsiaTheme="minorHAnsi"/>
          <w:b/>
          <w:bCs/>
          <w:sz w:val="22"/>
          <w:szCs w:val="22"/>
          <w:lang w:eastAsia="en-US"/>
        </w:rPr>
        <w:t xml:space="preserve"> valsts budžeta līdzekļiem</w:t>
      </w:r>
    </w:p>
    <w:tbl>
      <w:tblPr>
        <w:tblStyle w:val="TableGridLight"/>
        <w:tblW w:w="9123" w:type="dxa"/>
        <w:jc w:val="center"/>
        <w:tblLayout w:type="fixed"/>
        <w:tblLook w:val="04A0" w:firstRow="1" w:lastRow="0" w:firstColumn="1" w:lastColumn="0" w:noHBand="0" w:noVBand="1"/>
      </w:tblPr>
      <w:tblGrid>
        <w:gridCol w:w="471"/>
        <w:gridCol w:w="1213"/>
        <w:gridCol w:w="1472"/>
        <w:gridCol w:w="1172"/>
        <w:gridCol w:w="1084"/>
        <w:gridCol w:w="1125"/>
        <w:gridCol w:w="1264"/>
        <w:gridCol w:w="1322"/>
      </w:tblGrid>
      <w:tr w:rsidR="00EE71AB" w:rsidRPr="00307028" w14:paraId="59EA594D" w14:textId="77777777" w:rsidTr="0017150F">
        <w:trPr>
          <w:jc w:val="center"/>
        </w:trPr>
        <w:tc>
          <w:tcPr>
            <w:tcW w:w="471" w:type="dxa"/>
            <w:shd w:val="clear" w:color="auto" w:fill="85C2E0"/>
            <w:vAlign w:val="center"/>
          </w:tcPr>
          <w:p w14:paraId="6CF14AA2"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Nr.</w:t>
            </w:r>
          </w:p>
        </w:tc>
        <w:tc>
          <w:tcPr>
            <w:tcW w:w="1213" w:type="dxa"/>
            <w:shd w:val="clear" w:color="auto" w:fill="85C2E0"/>
            <w:vAlign w:val="center"/>
          </w:tcPr>
          <w:p w14:paraId="7FC9248E"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Ministrija (iestāde)</w:t>
            </w:r>
          </w:p>
        </w:tc>
        <w:tc>
          <w:tcPr>
            <w:tcW w:w="1472" w:type="dxa"/>
            <w:shd w:val="clear" w:color="auto" w:fill="85C2E0"/>
            <w:vAlign w:val="center"/>
          </w:tcPr>
          <w:p w14:paraId="628C5797"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Mobilās lietotnes nosaukums</w:t>
            </w:r>
          </w:p>
        </w:tc>
        <w:tc>
          <w:tcPr>
            <w:tcW w:w="1172" w:type="dxa"/>
            <w:shd w:val="clear" w:color="auto" w:fill="85C2E0"/>
            <w:vAlign w:val="center"/>
          </w:tcPr>
          <w:p w14:paraId="3D092D5F"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Izveides gads</w:t>
            </w:r>
          </w:p>
        </w:tc>
        <w:tc>
          <w:tcPr>
            <w:tcW w:w="1084" w:type="dxa"/>
            <w:shd w:val="clear" w:color="auto" w:fill="85C2E0"/>
            <w:vAlign w:val="center"/>
          </w:tcPr>
          <w:p w14:paraId="241E7679"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Izveides izmaksas (</w:t>
            </w:r>
            <w:r w:rsidRPr="00307028">
              <w:rPr>
                <w:rFonts w:eastAsiaTheme="minorHAnsi"/>
                <w:b/>
                <w:bCs/>
                <w:i/>
                <w:iCs/>
                <w:sz w:val="18"/>
                <w:szCs w:val="18"/>
                <w:lang w:eastAsia="en-US"/>
              </w:rPr>
              <w:t>euro</w:t>
            </w:r>
            <w:r w:rsidRPr="00307028">
              <w:rPr>
                <w:rFonts w:eastAsiaTheme="minorHAnsi"/>
                <w:b/>
                <w:bCs/>
                <w:sz w:val="18"/>
                <w:szCs w:val="18"/>
                <w:lang w:eastAsia="en-US"/>
              </w:rPr>
              <w:t>, bez PVN)</w:t>
            </w:r>
          </w:p>
        </w:tc>
        <w:tc>
          <w:tcPr>
            <w:tcW w:w="1125" w:type="dxa"/>
            <w:shd w:val="clear" w:color="auto" w:fill="85C2E0"/>
            <w:vAlign w:val="center"/>
          </w:tcPr>
          <w:p w14:paraId="3FB3B515"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Lietotāju skaits 2022. gadā</w:t>
            </w:r>
          </w:p>
        </w:tc>
        <w:tc>
          <w:tcPr>
            <w:tcW w:w="1264" w:type="dxa"/>
            <w:shd w:val="clear" w:color="auto" w:fill="85C2E0"/>
            <w:vAlign w:val="center"/>
          </w:tcPr>
          <w:p w14:paraId="6C36B826"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Uzturēšanas izmaksas 2022. gadā (</w:t>
            </w:r>
            <w:r w:rsidRPr="00307028">
              <w:rPr>
                <w:rFonts w:eastAsiaTheme="minorHAnsi"/>
                <w:b/>
                <w:bCs/>
                <w:i/>
                <w:iCs/>
                <w:sz w:val="18"/>
                <w:szCs w:val="18"/>
                <w:lang w:eastAsia="en-US"/>
              </w:rPr>
              <w:t>euro</w:t>
            </w:r>
            <w:r w:rsidRPr="00307028">
              <w:rPr>
                <w:rFonts w:eastAsiaTheme="minorHAnsi"/>
                <w:b/>
                <w:bCs/>
                <w:sz w:val="18"/>
                <w:szCs w:val="18"/>
                <w:lang w:eastAsia="en-US"/>
              </w:rPr>
              <w:t>, bez PVN)</w:t>
            </w:r>
          </w:p>
        </w:tc>
        <w:tc>
          <w:tcPr>
            <w:tcW w:w="1322" w:type="dxa"/>
            <w:shd w:val="clear" w:color="auto" w:fill="85C2E0"/>
            <w:vAlign w:val="center"/>
          </w:tcPr>
          <w:p w14:paraId="0A437BA0" w14:textId="77777777" w:rsidR="00EE71AB" w:rsidRPr="00307028" w:rsidRDefault="00EE71AB" w:rsidP="00EE71AB">
            <w:pPr>
              <w:jc w:val="center"/>
              <w:rPr>
                <w:rFonts w:eastAsiaTheme="minorHAnsi"/>
                <w:b/>
                <w:bCs/>
                <w:sz w:val="18"/>
                <w:szCs w:val="18"/>
                <w:lang w:eastAsia="en-US"/>
              </w:rPr>
            </w:pPr>
            <w:r w:rsidRPr="00307028">
              <w:rPr>
                <w:rFonts w:eastAsiaTheme="minorHAnsi"/>
                <w:b/>
                <w:bCs/>
                <w:sz w:val="18"/>
                <w:szCs w:val="18"/>
                <w:lang w:eastAsia="en-US"/>
              </w:rPr>
              <w:t>Iestādes personīgais mobilās lietotnes efektivitātes novērtējums</w:t>
            </w:r>
          </w:p>
        </w:tc>
      </w:tr>
      <w:tr w:rsidR="00EE71AB" w:rsidRPr="00307028" w14:paraId="32F5203A" w14:textId="77777777" w:rsidTr="00EE71AB">
        <w:trPr>
          <w:jc w:val="center"/>
        </w:trPr>
        <w:tc>
          <w:tcPr>
            <w:tcW w:w="471" w:type="dxa"/>
          </w:tcPr>
          <w:p w14:paraId="0E70D750"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1.</w:t>
            </w:r>
          </w:p>
        </w:tc>
        <w:tc>
          <w:tcPr>
            <w:tcW w:w="1213" w:type="dxa"/>
          </w:tcPr>
          <w:p w14:paraId="1A00C09A"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KM (LNKC)</w:t>
            </w:r>
          </w:p>
        </w:tc>
        <w:tc>
          <w:tcPr>
            <w:tcW w:w="1472" w:type="dxa"/>
          </w:tcPr>
          <w:p w14:paraId="29E991B0"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Dziesmusvētki</w:t>
            </w:r>
          </w:p>
        </w:tc>
        <w:tc>
          <w:tcPr>
            <w:tcW w:w="1172" w:type="dxa"/>
          </w:tcPr>
          <w:p w14:paraId="0086DA31"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2022./2023.</w:t>
            </w:r>
          </w:p>
        </w:tc>
        <w:tc>
          <w:tcPr>
            <w:tcW w:w="1084" w:type="dxa"/>
          </w:tcPr>
          <w:p w14:paraId="506D47B1"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199 890</w:t>
            </w:r>
          </w:p>
        </w:tc>
        <w:tc>
          <w:tcPr>
            <w:tcW w:w="1125" w:type="dxa"/>
          </w:tcPr>
          <w:p w14:paraId="0B642C7E" w14:textId="7C6B2418"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 xml:space="preserve">0 </w:t>
            </w:r>
          </w:p>
        </w:tc>
        <w:tc>
          <w:tcPr>
            <w:tcW w:w="1264" w:type="dxa"/>
          </w:tcPr>
          <w:p w14:paraId="1D0B9EE3"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104 000*</w:t>
            </w:r>
          </w:p>
        </w:tc>
        <w:tc>
          <w:tcPr>
            <w:tcW w:w="1322" w:type="dxa"/>
          </w:tcPr>
          <w:p w14:paraId="61DB3E62" w14:textId="77777777" w:rsidR="00EE71AB" w:rsidRPr="00307028" w:rsidRDefault="00EE71AB" w:rsidP="00EE71AB">
            <w:pPr>
              <w:jc w:val="right"/>
              <w:rPr>
                <w:rFonts w:eastAsiaTheme="minorHAnsi"/>
                <w:i/>
                <w:iCs/>
                <w:color w:val="000000"/>
                <w:sz w:val="20"/>
                <w:szCs w:val="20"/>
                <w:lang w:eastAsia="en-US"/>
              </w:rPr>
            </w:pPr>
            <w:r w:rsidRPr="00307028">
              <w:rPr>
                <w:rFonts w:eastAsiaTheme="minorHAnsi"/>
                <w:i/>
                <w:iCs/>
                <w:color w:val="000000"/>
                <w:sz w:val="20"/>
                <w:szCs w:val="20"/>
                <w:lang w:eastAsia="en-US"/>
              </w:rPr>
              <w:t>Nav</w:t>
            </w:r>
          </w:p>
        </w:tc>
      </w:tr>
      <w:tr w:rsidR="00EE71AB" w:rsidRPr="00307028" w14:paraId="666420EF" w14:textId="77777777" w:rsidTr="00EE71AB">
        <w:trPr>
          <w:jc w:val="center"/>
        </w:trPr>
        <w:tc>
          <w:tcPr>
            <w:tcW w:w="471" w:type="dxa"/>
          </w:tcPr>
          <w:p w14:paraId="00E216C2"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2.</w:t>
            </w:r>
          </w:p>
        </w:tc>
        <w:tc>
          <w:tcPr>
            <w:tcW w:w="1213" w:type="dxa"/>
          </w:tcPr>
          <w:p w14:paraId="7C8FC11A"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VM (NVD)</w:t>
            </w:r>
          </w:p>
        </w:tc>
        <w:tc>
          <w:tcPr>
            <w:tcW w:w="1472" w:type="dxa"/>
          </w:tcPr>
          <w:p w14:paraId="31EFFE3B" w14:textId="77777777" w:rsidR="00EE71AB" w:rsidRPr="00307028" w:rsidRDefault="00EE71AB" w:rsidP="00EE71AB">
            <w:pPr>
              <w:rPr>
                <w:rFonts w:eastAsiaTheme="minorHAnsi"/>
                <w:b/>
                <w:bCs/>
                <w:color w:val="000000"/>
                <w:sz w:val="20"/>
                <w:szCs w:val="20"/>
                <w:lang w:eastAsia="en-US"/>
              </w:rPr>
            </w:pPr>
            <w:r w:rsidRPr="00307028">
              <w:rPr>
                <w:rFonts w:eastAsiaTheme="minorHAnsi"/>
                <w:b/>
                <w:bCs/>
                <w:color w:val="000000"/>
                <w:sz w:val="20"/>
                <w:szCs w:val="20"/>
                <w:lang w:eastAsia="en-US"/>
              </w:rPr>
              <w:t>Covid19Verify</w:t>
            </w:r>
          </w:p>
        </w:tc>
        <w:tc>
          <w:tcPr>
            <w:tcW w:w="1172" w:type="dxa"/>
          </w:tcPr>
          <w:p w14:paraId="5EF8DF25"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2021.</w:t>
            </w:r>
          </w:p>
        </w:tc>
        <w:tc>
          <w:tcPr>
            <w:tcW w:w="1084" w:type="dxa"/>
          </w:tcPr>
          <w:p w14:paraId="0C9573BF"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160 205</w:t>
            </w:r>
          </w:p>
        </w:tc>
        <w:tc>
          <w:tcPr>
            <w:tcW w:w="1125" w:type="dxa"/>
          </w:tcPr>
          <w:p w14:paraId="5C86300A"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202 910</w:t>
            </w:r>
          </w:p>
        </w:tc>
        <w:tc>
          <w:tcPr>
            <w:tcW w:w="1264" w:type="dxa"/>
          </w:tcPr>
          <w:p w14:paraId="22EDDEAE"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37 950</w:t>
            </w:r>
          </w:p>
        </w:tc>
        <w:tc>
          <w:tcPr>
            <w:tcW w:w="1322" w:type="dxa"/>
          </w:tcPr>
          <w:p w14:paraId="1A84740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r w:rsidR="00EE71AB" w:rsidRPr="00307028" w14:paraId="4D9351D4" w14:textId="77777777" w:rsidTr="00EE71AB">
        <w:trPr>
          <w:jc w:val="center"/>
        </w:trPr>
        <w:tc>
          <w:tcPr>
            <w:tcW w:w="471" w:type="dxa"/>
          </w:tcPr>
          <w:p w14:paraId="2A505C59"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3.</w:t>
            </w:r>
          </w:p>
        </w:tc>
        <w:tc>
          <w:tcPr>
            <w:tcW w:w="1213" w:type="dxa"/>
          </w:tcPr>
          <w:p w14:paraId="67F38EE8"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SEPL (VSIA “Latvijas Radio”</w:t>
            </w:r>
          </w:p>
        </w:tc>
        <w:tc>
          <w:tcPr>
            <w:tcW w:w="1472" w:type="dxa"/>
          </w:tcPr>
          <w:p w14:paraId="05BE4C8D" w14:textId="77777777" w:rsidR="00EE71AB" w:rsidRPr="00307028" w:rsidRDefault="00EE71AB" w:rsidP="00EE71AB">
            <w:pPr>
              <w:rPr>
                <w:rFonts w:eastAsiaTheme="minorHAnsi"/>
                <w:b/>
                <w:bCs/>
                <w:color w:val="000000"/>
                <w:sz w:val="20"/>
                <w:szCs w:val="20"/>
                <w:lang w:eastAsia="en-US"/>
              </w:rPr>
            </w:pPr>
            <w:r w:rsidRPr="00307028">
              <w:rPr>
                <w:rFonts w:eastAsiaTheme="minorHAnsi"/>
                <w:b/>
                <w:bCs/>
                <w:color w:val="000000"/>
                <w:sz w:val="20"/>
                <w:szCs w:val="20"/>
                <w:lang w:eastAsia="en-US"/>
              </w:rPr>
              <w:t>Latvijas Radio</w:t>
            </w:r>
          </w:p>
        </w:tc>
        <w:tc>
          <w:tcPr>
            <w:tcW w:w="1172" w:type="dxa"/>
          </w:tcPr>
          <w:p w14:paraId="708B70C5"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2022.</w:t>
            </w:r>
          </w:p>
        </w:tc>
        <w:tc>
          <w:tcPr>
            <w:tcW w:w="1084" w:type="dxa"/>
          </w:tcPr>
          <w:p w14:paraId="3072349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44 700</w:t>
            </w:r>
          </w:p>
        </w:tc>
        <w:tc>
          <w:tcPr>
            <w:tcW w:w="1125" w:type="dxa"/>
          </w:tcPr>
          <w:p w14:paraId="28579A6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&gt;20 000</w:t>
            </w:r>
          </w:p>
        </w:tc>
        <w:tc>
          <w:tcPr>
            <w:tcW w:w="1264" w:type="dxa"/>
          </w:tcPr>
          <w:p w14:paraId="43CA772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6 400</w:t>
            </w:r>
          </w:p>
        </w:tc>
        <w:tc>
          <w:tcPr>
            <w:tcW w:w="1322" w:type="dxa"/>
          </w:tcPr>
          <w:p w14:paraId="494A971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r w:rsidR="00EE71AB" w:rsidRPr="00307028" w14:paraId="5A26DEBF" w14:textId="77777777" w:rsidTr="00EE71AB">
        <w:trPr>
          <w:jc w:val="center"/>
        </w:trPr>
        <w:tc>
          <w:tcPr>
            <w:tcW w:w="471" w:type="dxa"/>
          </w:tcPr>
          <w:p w14:paraId="27B71140"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4.</w:t>
            </w:r>
          </w:p>
        </w:tc>
        <w:tc>
          <w:tcPr>
            <w:tcW w:w="1213" w:type="dxa"/>
          </w:tcPr>
          <w:p w14:paraId="351D98EC"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FM (VID)</w:t>
            </w:r>
          </w:p>
        </w:tc>
        <w:tc>
          <w:tcPr>
            <w:tcW w:w="1472" w:type="dxa"/>
          </w:tcPr>
          <w:p w14:paraId="4B8052F3"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Attaisnotie izdevumi</w:t>
            </w:r>
          </w:p>
        </w:tc>
        <w:tc>
          <w:tcPr>
            <w:tcW w:w="1172" w:type="dxa"/>
          </w:tcPr>
          <w:p w14:paraId="14FB1D7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2016.</w:t>
            </w:r>
          </w:p>
        </w:tc>
        <w:tc>
          <w:tcPr>
            <w:tcW w:w="1084" w:type="dxa"/>
          </w:tcPr>
          <w:p w14:paraId="00A6AC10"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36 905</w:t>
            </w:r>
          </w:p>
        </w:tc>
        <w:tc>
          <w:tcPr>
            <w:tcW w:w="1125" w:type="dxa"/>
          </w:tcPr>
          <w:p w14:paraId="15239404" w14:textId="77777777" w:rsidR="00EE71AB" w:rsidRPr="00307028" w:rsidRDefault="00EE71AB" w:rsidP="00EE71AB">
            <w:pPr>
              <w:jc w:val="right"/>
              <w:rPr>
                <w:rFonts w:eastAsiaTheme="minorHAnsi"/>
                <w:i/>
                <w:iCs/>
                <w:color w:val="000000"/>
                <w:sz w:val="20"/>
                <w:szCs w:val="20"/>
                <w:lang w:eastAsia="en-US"/>
              </w:rPr>
            </w:pPr>
            <w:r w:rsidRPr="00307028">
              <w:rPr>
                <w:rFonts w:eastAsiaTheme="minorHAnsi"/>
                <w:i/>
                <w:iCs/>
                <w:color w:val="000000"/>
                <w:sz w:val="20"/>
                <w:szCs w:val="20"/>
                <w:lang w:eastAsia="en-US"/>
              </w:rPr>
              <w:t>Nav datu</w:t>
            </w:r>
          </w:p>
        </w:tc>
        <w:tc>
          <w:tcPr>
            <w:tcW w:w="1264" w:type="dxa"/>
          </w:tcPr>
          <w:p w14:paraId="10F22BC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0</w:t>
            </w:r>
          </w:p>
        </w:tc>
        <w:tc>
          <w:tcPr>
            <w:tcW w:w="1322" w:type="dxa"/>
          </w:tcPr>
          <w:p w14:paraId="35856956"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80%</w:t>
            </w:r>
          </w:p>
        </w:tc>
      </w:tr>
      <w:tr w:rsidR="00EE71AB" w:rsidRPr="00307028" w14:paraId="4D77A42D" w14:textId="77777777" w:rsidTr="00EE71AB">
        <w:trPr>
          <w:jc w:val="center"/>
        </w:trPr>
        <w:tc>
          <w:tcPr>
            <w:tcW w:w="471" w:type="dxa"/>
          </w:tcPr>
          <w:p w14:paraId="203C2718"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5.</w:t>
            </w:r>
          </w:p>
        </w:tc>
        <w:tc>
          <w:tcPr>
            <w:tcW w:w="1213" w:type="dxa"/>
          </w:tcPr>
          <w:p w14:paraId="3EB4982A"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VARAM (LNBD)</w:t>
            </w:r>
          </w:p>
        </w:tc>
        <w:tc>
          <w:tcPr>
            <w:tcW w:w="1472" w:type="dxa"/>
          </w:tcPr>
          <w:p w14:paraId="313E51EF"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Nacionālais botāniskais dārzs</w:t>
            </w:r>
          </w:p>
        </w:tc>
        <w:tc>
          <w:tcPr>
            <w:tcW w:w="1172" w:type="dxa"/>
          </w:tcPr>
          <w:p w14:paraId="3EDA0D06"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2020.</w:t>
            </w:r>
          </w:p>
        </w:tc>
        <w:tc>
          <w:tcPr>
            <w:tcW w:w="1084" w:type="dxa"/>
          </w:tcPr>
          <w:p w14:paraId="4E3278C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32 283</w:t>
            </w:r>
          </w:p>
        </w:tc>
        <w:tc>
          <w:tcPr>
            <w:tcW w:w="1125" w:type="dxa"/>
          </w:tcPr>
          <w:p w14:paraId="0150E6E1" w14:textId="77777777" w:rsidR="00EE71AB" w:rsidRPr="00307028" w:rsidRDefault="00EE71AB" w:rsidP="00EE71AB">
            <w:pPr>
              <w:jc w:val="right"/>
              <w:rPr>
                <w:rFonts w:eastAsiaTheme="minorHAnsi"/>
                <w:i/>
                <w:iCs/>
                <w:color w:val="000000"/>
                <w:sz w:val="20"/>
                <w:szCs w:val="20"/>
                <w:lang w:eastAsia="en-US"/>
              </w:rPr>
            </w:pPr>
            <w:r w:rsidRPr="00307028">
              <w:rPr>
                <w:rFonts w:eastAsiaTheme="minorHAnsi"/>
                <w:i/>
                <w:iCs/>
                <w:color w:val="000000"/>
                <w:sz w:val="20"/>
                <w:szCs w:val="20"/>
                <w:lang w:eastAsia="en-US"/>
              </w:rPr>
              <w:t>Nav datu</w:t>
            </w:r>
          </w:p>
        </w:tc>
        <w:tc>
          <w:tcPr>
            <w:tcW w:w="1264" w:type="dxa"/>
          </w:tcPr>
          <w:p w14:paraId="17B60521"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0</w:t>
            </w:r>
          </w:p>
        </w:tc>
        <w:tc>
          <w:tcPr>
            <w:tcW w:w="1322" w:type="dxa"/>
          </w:tcPr>
          <w:p w14:paraId="3CEF9017"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85%</w:t>
            </w:r>
          </w:p>
        </w:tc>
      </w:tr>
      <w:tr w:rsidR="00EE71AB" w:rsidRPr="00307028" w14:paraId="754DA319" w14:textId="77777777" w:rsidTr="00EE71AB">
        <w:trPr>
          <w:trHeight w:val="243"/>
          <w:jc w:val="center"/>
        </w:trPr>
        <w:tc>
          <w:tcPr>
            <w:tcW w:w="471" w:type="dxa"/>
          </w:tcPr>
          <w:p w14:paraId="01E21E08"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6.</w:t>
            </w:r>
          </w:p>
        </w:tc>
        <w:tc>
          <w:tcPr>
            <w:tcW w:w="1213" w:type="dxa"/>
          </w:tcPr>
          <w:p w14:paraId="5AA6B78D"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SM (AS “Pasažieru vilciens”</w:t>
            </w:r>
          </w:p>
        </w:tc>
        <w:tc>
          <w:tcPr>
            <w:tcW w:w="1472" w:type="dxa"/>
          </w:tcPr>
          <w:p w14:paraId="48DC813A"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Pasažieru vilciens</w:t>
            </w:r>
          </w:p>
        </w:tc>
        <w:tc>
          <w:tcPr>
            <w:tcW w:w="1172" w:type="dxa"/>
          </w:tcPr>
          <w:p w14:paraId="4E56793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2013.</w:t>
            </w:r>
          </w:p>
        </w:tc>
        <w:tc>
          <w:tcPr>
            <w:tcW w:w="1084" w:type="dxa"/>
          </w:tcPr>
          <w:p w14:paraId="66752971"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21 280</w:t>
            </w:r>
          </w:p>
        </w:tc>
        <w:tc>
          <w:tcPr>
            <w:tcW w:w="1125" w:type="dxa"/>
          </w:tcPr>
          <w:p w14:paraId="37C3B48F"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81 000</w:t>
            </w:r>
          </w:p>
        </w:tc>
        <w:tc>
          <w:tcPr>
            <w:tcW w:w="1264" w:type="dxa"/>
          </w:tcPr>
          <w:p w14:paraId="69F2A9FD"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629</w:t>
            </w:r>
          </w:p>
        </w:tc>
        <w:tc>
          <w:tcPr>
            <w:tcW w:w="1322" w:type="dxa"/>
          </w:tcPr>
          <w:p w14:paraId="1D703929"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r w:rsidR="00EE71AB" w:rsidRPr="00307028" w14:paraId="78ACC31C" w14:textId="77777777" w:rsidTr="00EE71AB">
        <w:trPr>
          <w:jc w:val="center"/>
        </w:trPr>
        <w:tc>
          <w:tcPr>
            <w:tcW w:w="471" w:type="dxa"/>
          </w:tcPr>
          <w:p w14:paraId="3E76E1AE"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7.</w:t>
            </w:r>
          </w:p>
        </w:tc>
        <w:tc>
          <w:tcPr>
            <w:tcW w:w="1213" w:type="dxa"/>
          </w:tcPr>
          <w:p w14:paraId="71BCA3C1"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VARAM (DAP)</w:t>
            </w:r>
          </w:p>
        </w:tc>
        <w:tc>
          <w:tcPr>
            <w:tcW w:w="1472" w:type="dxa"/>
          </w:tcPr>
          <w:p w14:paraId="6CE31141"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LDT audiogids</w:t>
            </w:r>
          </w:p>
        </w:tc>
        <w:tc>
          <w:tcPr>
            <w:tcW w:w="1172" w:type="dxa"/>
          </w:tcPr>
          <w:p w14:paraId="5E19EB6A"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2021./2022.</w:t>
            </w:r>
          </w:p>
        </w:tc>
        <w:tc>
          <w:tcPr>
            <w:tcW w:w="1084" w:type="dxa"/>
          </w:tcPr>
          <w:p w14:paraId="236924A4"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20 419</w:t>
            </w:r>
          </w:p>
        </w:tc>
        <w:tc>
          <w:tcPr>
            <w:tcW w:w="1125" w:type="dxa"/>
          </w:tcPr>
          <w:p w14:paraId="13AF66F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648</w:t>
            </w:r>
          </w:p>
        </w:tc>
        <w:tc>
          <w:tcPr>
            <w:tcW w:w="1264" w:type="dxa"/>
          </w:tcPr>
          <w:p w14:paraId="4B0E053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0</w:t>
            </w:r>
          </w:p>
        </w:tc>
        <w:tc>
          <w:tcPr>
            <w:tcW w:w="1322" w:type="dxa"/>
          </w:tcPr>
          <w:p w14:paraId="73EA257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80%</w:t>
            </w:r>
          </w:p>
        </w:tc>
      </w:tr>
      <w:tr w:rsidR="00EE71AB" w:rsidRPr="00307028" w14:paraId="6D314AAD" w14:textId="77777777" w:rsidTr="00EE71AB">
        <w:trPr>
          <w:jc w:val="center"/>
        </w:trPr>
        <w:tc>
          <w:tcPr>
            <w:tcW w:w="471" w:type="dxa"/>
          </w:tcPr>
          <w:p w14:paraId="16C60AE0"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8.</w:t>
            </w:r>
          </w:p>
        </w:tc>
        <w:tc>
          <w:tcPr>
            <w:tcW w:w="1213" w:type="dxa"/>
          </w:tcPr>
          <w:p w14:paraId="469BF709"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SIF</w:t>
            </w:r>
          </w:p>
        </w:tc>
        <w:tc>
          <w:tcPr>
            <w:tcW w:w="1472" w:type="dxa"/>
          </w:tcPr>
          <w:p w14:paraId="6860EEEE"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3+ karte</w:t>
            </w:r>
          </w:p>
        </w:tc>
        <w:tc>
          <w:tcPr>
            <w:tcW w:w="1172" w:type="dxa"/>
          </w:tcPr>
          <w:p w14:paraId="69BB186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2018.</w:t>
            </w:r>
          </w:p>
        </w:tc>
        <w:tc>
          <w:tcPr>
            <w:tcW w:w="1084" w:type="dxa"/>
          </w:tcPr>
          <w:p w14:paraId="49A4B9A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13 085</w:t>
            </w:r>
          </w:p>
        </w:tc>
        <w:tc>
          <w:tcPr>
            <w:tcW w:w="1125" w:type="dxa"/>
          </w:tcPr>
          <w:p w14:paraId="4F733460"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11 639</w:t>
            </w:r>
          </w:p>
        </w:tc>
        <w:tc>
          <w:tcPr>
            <w:tcW w:w="1264" w:type="dxa"/>
          </w:tcPr>
          <w:p w14:paraId="11AD389F"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87</w:t>
            </w:r>
          </w:p>
        </w:tc>
        <w:tc>
          <w:tcPr>
            <w:tcW w:w="1322" w:type="dxa"/>
          </w:tcPr>
          <w:p w14:paraId="3D61D4E6"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40%</w:t>
            </w:r>
          </w:p>
        </w:tc>
      </w:tr>
      <w:tr w:rsidR="00EE71AB" w:rsidRPr="00307028" w14:paraId="2F8EDDD3" w14:textId="77777777" w:rsidTr="00EE71AB">
        <w:trPr>
          <w:jc w:val="center"/>
        </w:trPr>
        <w:tc>
          <w:tcPr>
            <w:tcW w:w="471" w:type="dxa"/>
          </w:tcPr>
          <w:p w14:paraId="170AC7DC"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9.</w:t>
            </w:r>
          </w:p>
        </w:tc>
        <w:tc>
          <w:tcPr>
            <w:tcW w:w="1213" w:type="dxa"/>
          </w:tcPr>
          <w:p w14:paraId="13A203E3"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VARAM (VVD)</w:t>
            </w:r>
          </w:p>
        </w:tc>
        <w:tc>
          <w:tcPr>
            <w:tcW w:w="1472" w:type="dxa"/>
          </w:tcPr>
          <w:p w14:paraId="497BE173"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Vides SOS</w:t>
            </w:r>
          </w:p>
        </w:tc>
        <w:tc>
          <w:tcPr>
            <w:tcW w:w="1172" w:type="dxa"/>
          </w:tcPr>
          <w:p w14:paraId="3084C54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2015.</w:t>
            </w:r>
          </w:p>
        </w:tc>
        <w:tc>
          <w:tcPr>
            <w:tcW w:w="1084" w:type="dxa"/>
          </w:tcPr>
          <w:p w14:paraId="70912016"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10 658</w:t>
            </w:r>
          </w:p>
        </w:tc>
        <w:tc>
          <w:tcPr>
            <w:tcW w:w="1125" w:type="dxa"/>
          </w:tcPr>
          <w:p w14:paraId="0A88F065"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4 513</w:t>
            </w:r>
          </w:p>
        </w:tc>
        <w:tc>
          <w:tcPr>
            <w:tcW w:w="1264" w:type="dxa"/>
          </w:tcPr>
          <w:p w14:paraId="427B04A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10 582**</w:t>
            </w:r>
          </w:p>
        </w:tc>
        <w:tc>
          <w:tcPr>
            <w:tcW w:w="1322" w:type="dxa"/>
          </w:tcPr>
          <w:p w14:paraId="046EF3E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r w:rsidR="00EE71AB" w:rsidRPr="00307028" w14:paraId="36F19DF6" w14:textId="77777777" w:rsidTr="00EE71AB">
        <w:trPr>
          <w:jc w:val="center"/>
        </w:trPr>
        <w:tc>
          <w:tcPr>
            <w:tcW w:w="471" w:type="dxa"/>
          </w:tcPr>
          <w:p w14:paraId="16E0AE63"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10.</w:t>
            </w:r>
          </w:p>
        </w:tc>
        <w:tc>
          <w:tcPr>
            <w:tcW w:w="1213" w:type="dxa"/>
          </w:tcPr>
          <w:p w14:paraId="448ED16C"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ZM (LDC)</w:t>
            </w:r>
          </w:p>
        </w:tc>
        <w:tc>
          <w:tcPr>
            <w:tcW w:w="1472" w:type="dxa"/>
          </w:tcPr>
          <w:p w14:paraId="360504AF" w14:textId="77777777" w:rsidR="00EE71AB" w:rsidRPr="00307028" w:rsidRDefault="00EE71AB" w:rsidP="00EE71AB">
            <w:pPr>
              <w:rPr>
                <w:rFonts w:eastAsiaTheme="minorHAnsi"/>
                <w:b/>
                <w:bCs/>
                <w:color w:val="000000"/>
                <w:sz w:val="20"/>
                <w:szCs w:val="20"/>
                <w:lang w:eastAsia="en-US"/>
              </w:rPr>
            </w:pPr>
            <w:r w:rsidRPr="00307028">
              <w:rPr>
                <w:rFonts w:eastAsiaTheme="minorHAnsi"/>
                <w:b/>
                <w:bCs/>
                <w:color w:val="000000"/>
                <w:sz w:val="20"/>
                <w:szCs w:val="20"/>
                <w:lang w:eastAsia="en-US"/>
              </w:rPr>
              <w:t>LDC Dati</w:t>
            </w:r>
          </w:p>
        </w:tc>
        <w:tc>
          <w:tcPr>
            <w:tcW w:w="1172" w:type="dxa"/>
          </w:tcPr>
          <w:p w14:paraId="79918F5A"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2017.</w:t>
            </w:r>
          </w:p>
        </w:tc>
        <w:tc>
          <w:tcPr>
            <w:tcW w:w="1084" w:type="dxa"/>
          </w:tcPr>
          <w:p w14:paraId="60357178"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9 500</w:t>
            </w:r>
          </w:p>
        </w:tc>
        <w:tc>
          <w:tcPr>
            <w:tcW w:w="1125" w:type="dxa"/>
          </w:tcPr>
          <w:p w14:paraId="7D4EF982"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2 019</w:t>
            </w:r>
          </w:p>
        </w:tc>
        <w:tc>
          <w:tcPr>
            <w:tcW w:w="1264" w:type="dxa"/>
          </w:tcPr>
          <w:p w14:paraId="59C6E62A"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0</w:t>
            </w:r>
          </w:p>
        </w:tc>
        <w:tc>
          <w:tcPr>
            <w:tcW w:w="1322" w:type="dxa"/>
          </w:tcPr>
          <w:p w14:paraId="3E78AF80"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r w:rsidR="00EE71AB" w:rsidRPr="00307028" w14:paraId="6A5CCACB" w14:textId="77777777" w:rsidTr="00EE71AB">
        <w:trPr>
          <w:jc w:val="center"/>
        </w:trPr>
        <w:tc>
          <w:tcPr>
            <w:tcW w:w="471" w:type="dxa"/>
          </w:tcPr>
          <w:p w14:paraId="6E45C5C0"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11.</w:t>
            </w:r>
          </w:p>
        </w:tc>
        <w:tc>
          <w:tcPr>
            <w:tcW w:w="1213" w:type="dxa"/>
          </w:tcPr>
          <w:p w14:paraId="05C0395C"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KNAB</w:t>
            </w:r>
          </w:p>
        </w:tc>
        <w:tc>
          <w:tcPr>
            <w:tcW w:w="1472" w:type="dxa"/>
          </w:tcPr>
          <w:p w14:paraId="3A653366"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Ziņo KNAB</w:t>
            </w:r>
          </w:p>
        </w:tc>
        <w:tc>
          <w:tcPr>
            <w:tcW w:w="1172" w:type="dxa"/>
          </w:tcPr>
          <w:p w14:paraId="577193A4"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2018.</w:t>
            </w:r>
          </w:p>
        </w:tc>
        <w:tc>
          <w:tcPr>
            <w:tcW w:w="1084" w:type="dxa"/>
          </w:tcPr>
          <w:p w14:paraId="3B39CE46"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7 201</w:t>
            </w:r>
          </w:p>
        </w:tc>
        <w:tc>
          <w:tcPr>
            <w:tcW w:w="1125" w:type="dxa"/>
          </w:tcPr>
          <w:p w14:paraId="33AB2926" w14:textId="77777777" w:rsidR="00EE71AB" w:rsidRPr="00307028" w:rsidRDefault="00EE71AB" w:rsidP="00EE71AB">
            <w:pPr>
              <w:jc w:val="right"/>
              <w:rPr>
                <w:rFonts w:eastAsiaTheme="minorHAnsi"/>
                <w:i/>
                <w:iCs/>
                <w:color w:val="000000"/>
                <w:sz w:val="20"/>
                <w:szCs w:val="20"/>
                <w:lang w:eastAsia="en-US"/>
              </w:rPr>
            </w:pPr>
            <w:r w:rsidRPr="00307028">
              <w:rPr>
                <w:rFonts w:eastAsiaTheme="minorHAnsi"/>
                <w:color w:val="000000"/>
                <w:sz w:val="20"/>
                <w:szCs w:val="20"/>
                <w:lang w:eastAsia="en-US"/>
              </w:rPr>
              <w:t>198</w:t>
            </w:r>
          </w:p>
        </w:tc>
        <w:tc>
          <w:tcPr>
            <w:tcW w:w="1264" w:type="dxa"/>
          </w:tcPr>
          <w:p w14:paraId="485668DA"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1 080</w:t>
            </w:r>
          </w:p>
        </w:tc>
        <w:tc>
          <w:tcPr>
            <w:tcW w:w="1322" w:type="dxa"/>
          </w:tcPr>
          <w:p w14:paraId="36014910"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80%</w:t>
            </w:r>
          </w:p>
        </w:tc>
      </w:tr>
      <w:tr w:rsidR="00EE71AB" w:rsidRPr="00307028" w14:paraId="4E020134" w14:textId="77777777" w:rsidTr="00EE71AB">
        <w:trPr>
          <w:jc w:val="center"/>
        </w:trPr>
        <w:tc>
          <w:tcPr>
            <w:tcW w:w="471" w:type="dxa"/>
          </w:tcPr>
          <w:p w14:paraId="04DCC1BD" w14:textId="77777777" w:rsidR="00EE71AB" w:rsidRPr="00307028" w:rsidRDefault="00EE71AB" w:rsidP="00EE71AB">
            <w:pPr>
              <w:ind w:hanging="30"/>
              <w:rPr>
                <w:rFonts w:eastAsiaTheme="minorHAnsi"/>
                <w:sz w:val="20"/>
                <w:szCs w:val="20"/>
                <w:lang w:eastAsia="en-US"/>
              </w:rPr>
            </w:pPr>
            <w:r w:rsidRPr="00307028">
              <w:rPr>
                <w:rFonts w:eastAsiaTheme="minorHAnsi"/>
                <w:sz w:val="20"/>
                <w:szCs w:val="20"/>
                <w:lang w:eastAsia="en-US"/>
              </w:rPr>
              <w:t>12.</w:t>
            </w:r>
          </w:p>
        </w:tc>
        <w:tc>
          <w:tcPr>
            <w:tcW w:w="1213" w:type="dxa"/>
          </w:tcPr>
          <w:p w14:paraId="24012A08" w14:textId="77777777" w:rsidR="00EE71AB" w:rsidRPr="00307028" w:rsidRDefault="00EE71AB" w:rsidP="00EE71AB">
            <w:pPr>
              <w:rPr>
                <w:rFonts w:eastAsiaTheme="minorHAnsi"/>
                <w:sz w:val="20"/>
                <w:szCs w:val="20"/>
                <w:lang w:eastAsia="en-US"/>
              </w:rPr>
            </w:pPr>
            <w:r w:rsidRPr="00307028">
              <w:rPr>
                <w:rFonts w:eastAsiaTheme="minorHAnsi"/>
                <w:sz w:val="20"/>
                <w:szCs w:val="20"/>
                <w:lang w:eastAsia="en-US"/>
              </w:rPr>
              <w:t>IZM (LVA)</w:t>
            </w:r>
          </w:p>
        </w:tc>
        <w:tc>
          <w:tcPr>
            <w:tcW w:w="1472" w:type="dxa"/>
          </w:tcPr>
          <w:p w14:paraId="5BB63B7D" w14:textId="77777777" w:rsidR="00EE71AB" w:rsidRPr="00307028" w:rsidRDefault="00EE71AB" w:rsidP="00EE71AB">
            <w:pPr>
              <w:rPr>
                <w:rFonts w:eastAsiaTheme="minorHAnsi"/>
                <w:b/>
                <w:bCs/>
                <w:sz w:val="20"/>
                <w:szCs w:val="20"/>
                <w:u w:val="single"/>
                <w:lang w:eastAsia="en-US"/>
              </w:rPr>
            </w:pPr>
            <w:r w:rsidRPr="00307028">
              <w:rPr>
                <w:rFonts w:eastAsiaTheme="minorHAnsi"/>
                <w:b/>
                <w:bCs/>
                <w:color w:val="000000"/>
                <w:sz w:val="20"/>
                <w:szCs w:val="20"/>
                <w:lang w:eastAsia="en-US"/>
              </w:rPr>
              <w:t>Lociņš</w:t>
            </w:r>
          </w:p>
        </w:tc>
        <w:tc>
          <w:tcPr>
            <w:tcW w:w="1172" w:type="dxa"/>
          </w:tcPr>
          <w:p w14:paraId="7915084B"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2015.</w:t>
            </w:r>
          </w:p>
        </w:tc>
        <w:tc>
          <w:tcPr>
            <w:tcW w:w="1084" w:type="dxa"/>
          </w:tcPr>
          <w:p w14:paraId="36EC15F0"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3 287</w:t>
            </w:r>
          </w:p>
        </w:tc>
        <w:tc>
          <w:tcPr>
            <w:tcW w:w="1125" w:type="dxa"/>
          </w:tcPr>
          <w:p w14:paraId="1A127939" w14:textId="77777777" w:rsidR="00EE71AB" w:rsidRPr="00307028" w:rsidRDefault="00EE71AB" w:rsidP="00EE71AB">
            <w:pPr>
              <w:jc w:val="right"/>
              <w:rPr>
                <w:rFonts w:eastAsiaTheme="minorHAnsi"/>
                <w:color w:val="000000"/>
                <w:sz w:val="20"/>
                <w:szCs w:val="20"/>
                <w:lang w:eastAsia="en-US"/>
              </w:rPr>
            </w:pPr>
            <w:r w:rsidRPr="00307028">
              <w:rPr>
                <w:rFonts w:eastAsiaTheme="minorHAnsi"/>
                <w:i/>
                <w:iCs/>
                <w:color w:val="000000"/>
                <w:sz w:val="20"/>
                <w:szCs w:val="20"/>
                <w:lang w:eastAsia="en-US"/>
              </w:rPr>
              <w:t>Nav datu</w:t>
            </w:r>
          </w:p>
        </w:tc>
        <w:tc>
          <w:tcPr>
            <w:tcW w:w="1264" w:type="dxa"/>
          </w:tcPr>
          <w:p w14:paraId="51C13BCC"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2 562**</w:t>
            </w:r>
          </w:p>
        </w:tc>
        <w:tc>
          <w:tcPr>
            <w:tcW w:w="1322" w:type="dxa"/>
          </w:tcPr>
          <w:p w14:paraId="7D1FF4DF" w14:textId="77777777" w:rsidR="00EE71AB" w:rsidRPr="00307028" w:rsidRDefault="00EE71AB" w:rsidP="00EE71AB">
            <w:pPr>
              <w:jc w:val="right"/>
              <w:rPr>
                <w:rFonts w:eastAsiaTheme="minorHAnsi"/>
                <w:color w:val="000000"/>
                <w:sz w:val="20"/>
                <w:szCs w:val="20"/>
                <w:lang w:eastAsia="en-US"/>
              </w:rPr>
            </w:pPr>
            <w:r w:rsidRPr="00307028">
              <w:rPr>
                <w:rFonts w:eastAsiaTheme="minorHAnsi"/>
                <w:color w:val="000000"/>
                <w:sz w:val="20"/>
                <w:szCs w:val="20"/>
                <w:lang w:eastAsia="en-US"/>
              </w:rPr>
              <w:t>100%</w:t>
            </w:r>
          </w:p>
        </w:tc>
      </w:tr>
    </w:tbl>
    <w:p w14:paraId="15FF2F48" w14:textId="5ED30538" w:rsidR="0016333F" w:rsidRPr="00307028" w:rsidRDefault="0016333F" w:rsidP="00EE71AB">
      <w:pPr>
        <w:spacing w:after="160" w:line="259" w:lineRule="auto"/>
        <w:rPr>
          <w:rFonts w:eastAsiaTheme="minorHAnsi"/>
          <w:b/>
          <w:bCs/>
          <w:lang w:eastAsia="en-US"/>
        </w:rPr>
      </w:pPr>
    </w:p>
    <w:p w14:paraId="79C5A17D" w14:textId="712E9FE6" w:rsidR="0016333F" w:rsidRPr="00307028" w:rsidRDefault="0016333F" w:rsidP="00183D1A">
      <w:pPr>
        <w:numPr>
          <w:ilvl w:val="0"/>
          <w:numId w:val="13"/>
        </w:numPr>
        <w:spacing w:before="120" w:after="120" w:line="259" w:lineRule="auto"/>
        <w:ind w:left="0" w:firstLine="425"/>
        <w:jc w:val="both"/>
        <w:rPr>
          <w:rFonts w:eastAsia="Times New Roman"/>
          <w:lang w:eastAsia="lv-LV"/>
        </w:rPr>
      </w:pPr>
      <w:r w:rsidRPr="00307028">
        <w:rPr>
          <w:rFonts w:eastAsia="Times New Roman"/>
          <w:lang w:eastAsia="lv-LV"/>
        </w:rPr>
        <w:t xml:space="preserve">Vislielākās izveides izmaksas bijušas KM (LNKC) izveidotajai mobilajai lietotnei </w:t>
      </w:r>
      <w:r w:rsidRPr="00307028">
        <w:rPr>
          <w:rFonts w:eastAsia="Times New Roman"/>
          <w:b/>
          <w:bCs/>
          <w:lang w:eastAsia="lv-LV"/>
        </w:rPr>
        <w:t>“Dziesmusvētki”</w:t>
      </w:r>
      <w:r w:rsidRPr="00307028">
        <w:rPr>
          <w:rFonts w:eastAsia="Times New Roman"/>
          <w:lang w:eastAsia="lv-LV"/>
        </w:rPr>
        <w:t>.</w:t>
      </w:r>
      <w:r w:rsidR="00783384" w:rsidRPr="00307028">
        <w:rPr>
          <w:rFonts w:eastAsia="Times New Roman"/>
          <w:lang w:eastAsia="lv-LV"/>
        </w:rPr>
        <w:t xml:space="preserve"> </w:t>
      </w:r>
      <w:r w:rsidRPr="00307028">
        <w:rPr>
          <w:rFonts w:eastAsia="Times New Roman"/>
          <w:lang w:eastAsia="lv-LV"/>
        </w:rPr>
        <w:t>Mobilā lietotne izveidota 2022.</w:t>
      </w:r>
      <w:r w:rsidR="00783384" w:rsidRPr="00307028">
        <w:rPr>
          <w:rFonts w:eastAsia="Times New Roman"/>
          <w:lang w:eastAsia="lv-LV"/>
        </w:rPr>
        <w:t xml:space="preserve"> </w:t>
      </w:r>
      <w:r w:rsidR="00783384" w:rsidRPr="00307028">
        <w:rPr>
          <w:rFonts w:asciiTheme="minorHAnsi" w:eastAsiaTheme="minorHAnsi" w:hAnsiTheme="minorHAnsi" w:cstheme="minorBidi"/>
          <w:sz w:val="22"/>
          <w:szCs w:val="22"/>
          <w:lang w:eastAsia="en-US"/>
        </w:rPr>
        <w:t xml:space="preserve">– </w:t>
      </w:r>
      <w:r w:rsidRPr="00307028">
        <w:rPr>
          <w:rFonts w:eastAsia="Times New Roman"/>
          <w:lang w:eastAsia="lv-LV"/>
        </w:rPr>
        <w:t xml:space="preserve">2023. gadā, </w:t>
      </w:r>
      <w:r w:rsidR="00783384" w:rsidRPr="00307028">
        <w:rPr>
          <w:rFonts w:eastAsia="Times New Roman"/>
          <w:lang w:eastAsia="lv-LV"/>
        </w:rPr>
        <w:t xml:space="preserve">tās </w:t>
      </w:r>
      <w:r w:rsidRPr="00307028">
        <w:rPr>
          <w:rFonts w:eastAsia="Times New Roman"/>
          <w:lang w:eastAsia="lv-LV"/>
        </w:rPr>
        <w:t xml:space="preserve">izveides izmaksas </w:t>
      </w:r>
      <w:r w:rsidR="00783384" w:rsidRPr="00307028">
        <w:rPr>
          <w:rFonts w:eastAsia="Times New Roman"/>
          <w:lang w:eastAsia="lv-LV"/>
        </w:rPr>
        <w:t xml:space="preserve">bija </w:t>
      </w:r>
      <w:r w:rsidRPr="00307028">
        <w:rPr>
          <w:rFonts w:eastAsia="Times New Roman"/>
          <w:lang w:eastAsia="lv-LV"/>
        </w:rPr>
        <w:t>199,9 tūkst. </w:t>
      </w:r>
      <w:r w:rsidRPr="00307028">
        <w:rPr>
          <w:rFonts w:eastAsia="Times New Roman"/>
          <w:i/>
          <w:iCs/>
          <w:lang w:eastAsia="lv-LV"/>
        </w:rPr>
        <w:t xml:space="preserve">euro, </w:t>
      </w:r>
      <w:r w:rsidR="00783384" w:rsidRPr="00307028">
        <w:rPr>
          <w:rFonts w:eastAsia="Times New Roman"/>
          <w:lang w:eastAsia="lv-LV"/>
        </w:rPr>
        <w:t xml:space="preserve">bet </w:t>
      </w:r>
      <w:r w:rsidRPr="00307028">
        <w:rPr>
          <w:rFonts w:eastAsia="Times New Roman"/>
          <w:lang w:eastAsia="lv-LV"/>
        </w:rPr>
        <w:t>uzturēšanas izmaksas</w:t>
      </w:r>
      <w:r w:rsidR="00E25617" w:rsidRPr="00307028">
        <w:rPr>
          <w:rFonts w:eastAsia="Times New Roman"/>
          <w:lang w:eastAsia="lv-LV"/>
        </w:rPr>
        <w:t xml:space="preserve"> 2022. gadā</w:t>
      </w:r>
      <w:r w:rsidRPr="00307028">
        <w:rPr>
          <w:rFonts w:eastAsia="Times New Roman"/>
          <w:lang w:eastAsia="lv-LV"/>
        </w:rPr>
        <w:t xml:space="preserve"> </w:t>
      </w:r>
      <w:r w:rsidR="00783384" w:rsidRPr="00307028">
        <w:rPr>
          <w:rFonts w:asciiTheme="minorHAnsi" w:eastAsiaTheme="minorHAnsi" w:hAnsiTheme="minorHAnsi" w:cstheme="minorBidi"/>
          <w:sz w:val="22"/>
          <w:szCs w:val="22"/>
          <w:lang w:eastAsia="en-US"/>
        </w:rPr>
        <w:t xml:space="preserve">– </w:t>
      </w:r>
      <w:r w:rsidRPr="00307028">
        <w:rPr>
          <w:rFonts w:eastAsia="Times New Roman"/>
          <w:lang w:eastAsia="lv-LV"/>
        </w:rPr>
        <w:t>104,0 tūkst. </w:t>
      </w:r>
      <w:r w:rsidRPr="00307028">
        <w:rPr>
          <w:rFonts w:eastAsia="Times New Roman"/>
          <w:i/>
          <w:iCs/>
          <w:lang w:eastAsia="lv-LV"/>
        </w:rPr>
        <w:t xml:space="preserve">euro. </w:t>
      </w:r>
      <w:r w:rsidRPr="00307028">
        <w:rPr>
          <w:rFonts w:eastAsia="Times New Roman"/>
          <w:lang w:eastAsia="lv-LV"/>
        </w:rPr>
        <w:t xml:space="preserve">XXVII Vispārējo latviešu Dziesmu un XVII Deju svētku mobilā lietotne veidota ilgtspējīgi, īpaši Dziesmu un deju svētku pasākumu menedžmentam, tā būs izmantojama arī nākošo Vispārējo latviešu dziesmu un deju svētku (2028. gada jūlijā) un XIII Latvijas </w:t>
      </w:r>
      <w:r w:rsidR="00E25617" w:rsidRPr="00307028">
        <w:rPr>
          <w:rFonts w:eastAsia="Times New Roman"/>
          <w:lang w:eastAsia="lv-LV"/>
        </w:rPr>
        <w:t>S</w:t>
      </w:r>
      <w:r w:rsidRPr="00307028">
        <w:rPr>
          <w:rFonts w:eastAsia="Times New Roman"/>
          <w:lang w:eastAsia="lv-LV"/>
        </w:rPr>
        <w:t xml:space="preserve">kolu jaunatnes dziesmu un deju svētku (2025. gada jūlijā) organizēšanai. Mobilā lietotne veidota pēc moduļu principa, to var papildināt un koriģēt atbilstoši Dziesmu un deju svētku un starplaika svētku pasākumu specifikai (starplaika svētku periodā to uzturēs KISC). Mobilā lietotne paredzēta Dziesmu un deju svētku dalībnieku personas datu un saistītās informācijas reģistrācijai, </w:t>
      </w:r>
      <w:r w:rsidR="00783384" w:rsidRPr="00307028">
        <w:rPr>
          <w:rFonts w:eastAsia="Times New Roman"/>
          <w:lang w:eastAsia="lv-LV"/>
        </w:rPr>
        <w:t xml:space="preserve">kā arī </w:t>
      </w:r>
      <w:r w:rsidRPr="00307028">
        <w:rPr>
          <w:rFonts w:eastAsia="Times New Roman"/>
          <w:lang w:eastAsia="lv-LV"/>
        </w:rPr>
        <w:t>cit</w:t>
      </w:r>
      <w:r w:rsidR="00783384" w:rsidRPr="00307028">
        <w:rPr>
          <w:rFonts w:eastAsia="Times New Roman"/>
          <w:lang w:eastAsia="lv-LV"/>
        </w:rPr>
        <w:t>as</w:t>
      </w:r>
      <w:r w:rsidRPr="00307028">
        <w:rPr>
          <w:rFonts w:eastAsia="Times New Roman"/>
          <w:lang w:eastAsia="lv-LV"/>
        </w:rPr>
        <w:t xml:space="preserve"> ar Dziesmu un deju svētku norisi</w:t>
      </w:r>
      <w:r w:rsidR="00783384" w:rsidRPr="00307028">
        <w:rPr>
          <w:rFonts w:eastAsia="Times New Roman"/>
          <w:lang w:eastAsia="lv-LV"/>
        </w:rPr>
        <w:t xml:space="preserve"> saistītas informācijas saņemšanai</w:t>
      </w:r>
      <w:r w:rsidRPr="00307028">
        <w:rPr>
          <w:rFonts w:eastAsia="Times New Roman"/>
          <w:lang w:eastAsia="lv-LV"/>
        </w:rPr>
        <w:t>. Saskaņā ar Dziesmu un deju svētku personas datu aizsardzības noteikumiem ir paredzēts, ka visi dalībnieku personu dati tiks dzēsti līdz 2023. gada 31. oktobrim, taču tiks saglabāti kvantitatīvie dati par mākslinieciskajiem kolektīviem pa nozarēm, pašvaldībām, u.tml. LNKC šo informāciju izmantos statistikas datu ieguvei un apkopošanai.</w:t>
      </w:r>
    </w:p>
    <w:p w14:paraId="2DD12B6D" w14:textId="1642CD08" w:rsidR="0016333F" w:rsidRPr="00307028" w:rsidRDefault="0016333F" w:rsidP="00183D1A">
      <w:pPr>
        <w:numPr>
          <w:ilvl w:val="0"/>
          <w:numId w:val="13"/>
        </w:numPr>
        <w:spacing w:before="120" w:after="120" w:line="259" w:lineRule="auto"/>
        <w:ind w:left="0" w:firstLine="425"/>
        <w:jc w:val="both"/>
        <w:rPr>
          <w:rFonts w:eastAsia="Times New Roman"/>
          <w:lang w:eastAsia="lv-LV"/>
        </w:rPr>
      </w:pPr>
      <w:bookmarkStart w:id="126" w:name="_Hlk138858098"/>
      <w:r w:rsidRPr="00307028">
        <w:rPr>
          <w:rFonts w:eastAsia="Times New Roman"/>
          <w:lang w:eastAsia="lv-LV"/>
        </w:rPr>
        <w:lastRenderedPageBreak/>
        <w:t xml:space="preserve">VM (NVD) izveidotā mobilajā lietotne </w:t>
      </w:r>
      <w:bookmarkStart w:id="127" w:name="_Hlk138857916"/>
      <w:r w:rsidRPr="00307028">
        <w:rPr>
          <w:rFonts w:eastAsia="Times New Roman"/>
          <w:b/>
          <w:bCs/>
          <w:lang w:eastAsia="lv-LV"/>
        </w:rPr>
        <w:t>“Covid19Verify”</w:t>
      </w:r>
      <w:bookmarkEnd w:id="126"/>
      <w:bookmarkEnd w:id="127"/>
      <w:r w:rsidRPr="00307028">
        <w:rPr>
          <w:rFonts w:eastAsia="Times New Roman"/>
          <w:lang w:eastAsia="lv-LV"/>
        </w:rPr>
        <w:t xml:space="preserve"> izveidota 2021. gadā no līdzekļiem, kas piešķirti no valsts budžeta programmas “Līdzekļi neparedzētiem gadījumiem”. </w:t>
      </w:r>
      <w:r w:rsidR="009B3058" w:rsidRPr="00307028">
        <w:rPr>
          <w:rFonts w:eastAsia="Times New Roman"/>
          <w:lang w:eastAsia="lv-LV"/>
        </w:rPr>
        <w:t>Tās i</w:t>
      </w:r>
      <w:r w:rsidRPr="00307028">
        <w:rPr>
          <w:rFonts w:eastAsia="Times New Roman"/>
          <w:lang w:eastAsia="lv-LV"/>
        </w:rPr>
        <w:t xml:space="preserve">zveides izmaksas </w:t>
      </w:r>
      <w:r w:rsidR="009B3058" w:rsidRPr="00307028">
        <w:rPr>
          <w:rFonts w:eastAsia="Times New Roman"/>
          <w:lang w:eastAsia="lv-LV"/>
        </w:rPr>
        <w:t xml:space="preserve">bija </w:t>
      </w:r>
      <w:r w:rsidRPr="00307028">
        <w:rPr>
          <w:rFonts w:eastAsia="Times New Roman"/>
          <w:lang w:eastAsia="lv-LV"/>
        </w:rPr>
        <w:t>160,2 tūkst. </w:t>
      </w:r>
      <w:r w:rsidRPr="00307028">
        <w:rPr>
          <w:rFonts w:eastAsia="Times New Roman"/>
          <w:i/>
          <w:iCs/>
          <w:lang w:eastAsia="lv-LV"/>
        </w:rPr>
        <w:t>euro</w:t>
      </w:r>
      <w:r w:rsidRPr="00307028">
        <w:rPr>
          <w:rFonts w:eastAsia="Times New Roman"/>
          <w:lang w:eastAsia="lv-LV"/>
        </w:rPr>
        <w:t>, bet 2022. gada uzturēšanas izmaksas</w:t>
      </w:r>
      <w:r w:rsidR="009B3058" w:rsidRPr="00307028">
        <w:rPr>
          <w:rFonts w:eastAsia="Times New Roman"/>
          <w:lang w:eastAsia="lv-LV"/>
        </w:rPr>
        <w:t> </w:t>
      </w:r>
      <w:r w:rsidR="009B3058" w:rsidRPr="00307028">
        <w:rPr>
          <w:rFonts w:asciiTheme="minorHAnsi" w:eastAsiaTheme="minorHAnsi" w:hAnsiTheme="minorHAnsi" w:cstheme="minorBidi"/>
          <w:sz w:val="22"/>
          <w:szCs w:val="22"/>
          <w:lang w:eastAsia="en-US"/>
        </w:rPr>
        <w:t>– </w:t>
      </w:r>
      <w:r w:rsidRPr="00307028">
        <w:rPr>
          <w:rFonts w:eastAsia="Times New Roman"/>
          <w:lang w:eastAsia="lv-LV"/>
        </w:rPr>
        <w:t>38 tūkst. </w:t>
      </w:r>
      <w:r w:rsidRPr="00307028">
        <w:rPr>
          <w:rFonts w:eastAsia="Times New Roman"/>
          <w:i/>
          <w:iCs/>
          <w:lang w:eastAsia="lv-LV"/>
        </w:rPr>
        <w:t>euro</w:t>
      </w:r>
      <w:r w:rsidRPr="00307028">
        <w:rPr>
          <w:rFonts w:eastAsia="Times New Roman"/>
          <w:lang w:eastAsia="lv-LV"/>
        </w:rPr>
        <w:t xml:space="preserve">. Mobilā lietotne sniedz iespēju pārbaudīt atbilstoši ES regulai izsniegto Covid-19 sertifikātu derīgumu un autentiskumu, ievērojot Latvijā pieņemtos noteikumus (funkcija tāda pati kā tīmekļvietnē </w:t>
      </w:r>
      <w:hyperlink r:id="rId55" w:history="1">
        <w:r w:rsidRPr="00307028">
          <w:rPr>
            <w:rFonts w:eastAsia="Times New Roman"/>
            <w:color w:val="0000FF"/>
            <w:u w:val="single"/>
            <w:lang w:eastAsia="lv-LV"/>
          </w:rPr>
          <w:t>https://covid19sertifikats.lv/verify</w:t>
        </w:r>
      </w:hyperlink>
      <w:r w:rsidRPr="00307028">
        <w:rPr>
          <w:rFonts w:eastAsia="Times New Roman"/>
          <w:lang w:eastAsia="lv-LV"/>
        </w:rPr>
        <w:t xml:space="preserve">). Pārbaude tiek veikta skenējot personas uzrādītā sertifikāta QR kodu. Iestādes (VM) personīgais mobilās lietotnes efektivitātes novērtējums ir 100%. </w:t>
      </w:r>
      <w:bookmarkStart w:id="128" w:name="_Hlk138857894"/>
      <w:r w:rsidRPr="00307028">
        <w:rPr>
          <w:rFonts w:eastAsia="Times New Roman"/>
          <w:lang w:eastAsia="lv-LV"/>
        </w:rPr>
        <w:t xml:space="preserve">2022. gadā mobilajai lietotnei bijuši 202,9 tūkst. lietotāju, attiecīgi uzturēšanas izmaksas uz vienu lietotāju bijušas 0,2 </w:t>
      </w:r>
      <w:r w:rsidRPr="00307028">
        <w:rPr>
          <w:rFonts w:eastAsia="Times New Roman"/>
          <w:i/>
          <w:iCs/>
          <w:lang w:eastAsia="lv-LV"/>
        </w:rPr>
        <w:t>euro</w:t>
      </w:r>
      <w:r w:rsidRPr="00307028">
        <w:rPr>
          <w:rFonts w:eastAsia="Times New Roman"/>
          <w:lang w:eastAsia="lv-LV"/>
        </w:rPr>
        <w:t xml:space="preserve">. </w:t>
      </w:r>
      <w:bookmarkEnd w:id="128"/>
      <w:r w:rsidRPr="00307028">
        <w:rPr>
          <w:rFonts w:eastAsia="Times New Roman"/>
          <w:lang w:eastAsia="lv-LV"/>
        </w:rPr>
        <w:t>VM</w:t>
      </w:r>
      <w:r w:rsidR="009B3058" w:rsidRPr="00307028">
        <w:rPr>
          <w:rFonts w:eastAsia="Times New Roman"/>
          <w:lang w:eastAsia="lv-LV"/>
        </w:rPr>
        <w:t xml:space="preserve"> norāda</w:t>
      </w:r>
      <w:r w:rsidRPr="00307028">
        <w:rPr>
          <w:rFonts w:eastAsia="Times New Roman"/>
          <w:lang w:eastAsia="lv-LV"/>
        </w:rPr>
        <w:t xml:space="preserve">, </w:t>
      </w:r>
      <w:r w:rsidR="009B3058" w:rsidRPr="00307028">
        <w:rPr>
          <w:rFonts w:eastAsia="Times New Roman"/>
          <w:lang w:eastAsia="lv-LV"/>
        </w:rPr>
        <w:t xml:space="preserve">ka </w:t>
      </w:r>
      <w:r w:rsidRPr="00307028">
        <w:rPr>
          <w:rFonts w:eastAsia="Times New Roman"/>
          <w:lang w:eastAsia="lv-LV"/>
        </w:rPr>
        <w:t xml:space="preserve">mobilās lietotnes optimizācijas pasākumi tuvākajos gados netiek plānoti, bet atkarībā no politikas uzstādījumiem sertifikātu pielietošanā, mobilo lietotni var pielāgot arī citiem mērķiem. </w:t>
      </w:r>
    </w:p>
    <w:p w14:paraId="1310AAB7" w14:textId="3297CF1E" w:rsidR="0051672C" w:rsidRPr="00307028" w:rsidRDefault="0016333F" w:rsidP="0051672C">
      <w:pPr>
        <w:pStyle w:val="pf0"/>
        <w:spacing w:before="0" w:beforeAutospacing="0" w:after="120" w:afterAutospacing="0" w:line="259" w:lineRule="auto"/>
        <w:ind w:firstLine="709"/>
        <w:jc w:val="both"/>
      </w:pPr>
      <w:r w:rsidRPr="00307028">
        <w:t>Uzlabojoties epidemioloģiskajai situācijai valstī,</w:t>
      </w:r>
      <w:r w:rsidRPr="00307028">
        <w:rPr>
          <w:color w:val="525252"/>
          <w:shd w:val="clear" w:color="auto" w:fill="FFFFFF"/>
        </w:rPr>
        <w:t xml:space="preserve"> </w:t>
      </w:r>
      <w:r w:rsidRPr="00307028">
        <w:t>2022. gada 22. marta MK sēdē tika pieņemts lēmums no 2022. gada 1. aprīļa atcelt visas spēkā esošās Covid-19 epidemioloģiskās drošības prasības pasākumu norisei, kultūrvietu darbībai, apmeklēšanai un pakalpojumu saņemšanai (tajā skaitā atcelta prasība par Covid-19 sertifikātu uzrādīšanu). 2023. gada maijā PVO paziņoja, ka Covid-19 pandēmija vairs nav uzskatāma par starptautisku ārkārtas situāciju veselības jomā</w:t>
      </w:r>
      <w:r w:rsidRPr="00307028">
        <w:rPr>
          <w:vertAlign w:val="superscript"/>
        </w:rPr>
        <w:footnoteReference w:id="22"/>
      </w:r>
      <w:r w:rsidRPr="00307028">
        <w:t>.</w:t>
      </w:r>
      <w:r w:rsidR="009B3058" w:rsidRPr="00307028">
        <w:t xml:space="preserve"> </w:t>
      </w:r>
      <w:r w:rsidRPr="00307028">
        <w:t>Sadarbspējīgs sertifikāts (vai negatīvs Covid-19 testa apliecinājums) nepieciešams tikai ieceļojot Latvijā no īpaši augsta riska valstīm, kurās konstatēta tāda epidemioloģiskā situācija, kas var radīt nopietnu sabiedrības veselības apdraudējumu. Valstu sarakstu publicē SPKC, bet šobrīd tādas valstis nav konstatētas.</w:t>
      </w:r>
      <w:r w:rsidRPr="00307028">
        <w:rPr>
          <w:vertAlign w:val="superscript"/>
        </w:rPr>
        <w:footnoteReference w:id="23"/>
      </w:r>
      <w:r w:rsidR="0051672C" w:rsidRPr="00307028">
        <w:t xml:space="preserve"> </w:t>
      </w:r>
      <w:r w:rsidR="0051672C" w:rsidRPr="00307028">
        <w:rPr>
          <w:rFonts w:eastAsiaTheme="minorHAnsi"/>
          <w:color w:val="000000" w:themeColor="text1"/>
        </w:rPr>
        <w:t>Attiecīgi</w:t>
      </w:r>
      <w:r w:rsidR="0051672C" w:rsidRPr="00307028">
        <w:rPr>
          <w:color w:val="000000" w:themeColor="text1"/>
        </w:rPr>
        <w:t xml:space="preserve"> mobilā lietotne </w:t>
      </w:r>
      <w:r w:rsidR="0051672C" w:rsidRPr="00307028">
        <w:rPr>
          <w:rFonts w:eastAsiaTheme="minorHAnsi"/>
          <w:color w:val="000000" w:themeColor="text1"/>
        </w:rPr>
        <w:t>vairs netiek aktīvi uzturēta</w:t>
      </w:r>
      <w:r w:rsidR="0051672C" w:rsidRPr="00307028">
        <w:rPr>
          <w:color w:val="000000" w:themeColor="text1"/>
        </w:rPr>
        <w:t xml:space="preserve"> un l</w:t>
      </w:r>
      <w:r w:rsidR="0051672C" w:rsidRPr="00307028">
        <w:rPr>
          <w:rFonts w:eastAsiaTheme="minorHAnsi"/>
          <w:color w:val="000000" w:themeColor="text1"/>
        </w:rPr>
        <w:t xml:space="preserve">īdz mobilo tālruņu operētājsistēmu izmaiņām, kas ietekmēs </w:t>
      </w:r>
      <w:r w:rsidR="0051672C" w:rsidRPr="00307028">
        <w:rPr>
          <w:color w:val="000000" w:themeColor="text1"/>
        </w:rPr>
        <w:t>mobilās lietotnes</w:t>
      </w:r>
      <w:r w:rsidR="0051672C" w:rsidRPr="00307028">
        <w:rPr>
          <w:rFonts w:eastAsiaTheme="minorHAnsi"/>
          <w:color w:val="000000" w:themeColor="text1"/>
        </w:rPr>
        <w:t xml:space="preserve"> funkcionalitāti, tā joprojām būs pieejama esošajā versijā. Mobilā lietotne lejupielādei </w:t>
      </w:r>
      <w:r w:rsidR="0051672C" w:rsidRPr="00307028">
        <w:rPr>
          <w:rFonts w:eastAsiaTheme="minorHAnsi"/>
          <w:i/>
          <w:iCs/>
          <w:color w:val="000000" w:themeColor="text1"/>
        </w:rPr>
        <w:t>AppStore</w:t>
      </w:r>
      <w:r w:rsidR="0051672C" w:rsidRPr="00307028">
        <w:rPr>
          <w:rFonts w:eastAsiaTheme="minorHAnsi"/>
          <w:color w:val="000000" w:themeColor="text1"/>
        </w:rPr>
        <w:t xml:space="preserve"> vairs nav pieejama. Mobilās lietotnes faktiskie uzturēšanas izdevumi 2023. gada pirmajos četros mēnešos bijuši 29,6 tūkst. </w:t>
      </w:r>
      <w:r w:rsidR="0051672C" w:rsidRPr="00307028">
        <w:rPr>
          <w:rFonts w:eastAsiaTheme="minorHAnsi"/>
          <w:i/>
          <w:iCs/>
          <w:color w:val="000000" w:themeColor="text1"/>
        </w:rPr>
        <w:t>euro</w:t>
      </w:r>
      <w:r w:rsidR="0051672C" w:rsidRPr="00307028">
        <w:rPr>
          <w:rFonts w:eastAsiaTheme="minorHAnsi"/>
          <w:color w:val="000000" w:themeColor="text1"/>
        </w:rPr>
        <w:t xml:space="preserve"> un turpmāk izdevumi netiek plānoti.</w:t>
      </w:r>
    </w:p>
    <w:p w14:paraId="0171D78C" w14:textId="4BB5B3FF" w:rsidR="0051672C" w:rsidRPr="00307028" w:rsidRDefault="0051672C" w:rsidP="0051672C">
      <w:pPr>
        <w:spacing w:after="120" w:line="259" w:lineRule="auto"/>
        <w:ind w:firstLine="709"/>
        <w:jc w:val="both"/>
        <w:rPr>
          <w:rFonts w:eastAsia="Times New Roman"/>
          <w:lang w:eastAsia="lv-LV"/>
        </w:rPr>
      </w:pPr>
      <w:r w:rsidRPr="00307028">
        <w:rPr>
          <w:rFonts w:eastAsia="Times New Roman"/>
          <w:lang w:eastAsia="lv-LV"/>
        </w:rPr>
        <w:t>VM</w:t>
      </w:r>
      <w:r w:rsidR="009B3058" w:rsidRPr="00307028">
        <w:rPr>
          <w:rFonts w:eastAsia="Times New Roman"/>
          <w:lang w:eastAsia="lv-LV"/>
        </w:rPr>
        <w:t xml:space="preserve"> norāda</w:t>
      </w:r>
      <w:r w:rsidRPr="00307028">
        <w:rPr>
          <w:rFonts w:eastAsia="Times New Roman"/>
          <w:lang w:eastAsia="lv-LV"/>
        </w:rPr>
        <w:t xml:space="preserve">, </w:t>
      </w:r>
      <w:r w:rsidR="009B3058" w:rsidRPr="00307028">
        <w:rPr>
          <w:rFonts w:eastAsia="Times New Roman"/>
          <w:lang w:eastAsia="lv-LV"/>
        </w:rPr>
        <w:t xml:space="preserve">ka </w:t>
      </w:r>
      <w:r w:rsidRPr="00307028">
        <w:rPr>
          <w:rFonts w:eastAsia="Times New Roman"/>
          <w:lang w:eastAsia="lv-LV"/>
        </w:rPr>
        <w:t>atkarībā no politikas uzstādījumiem sertifikātu pielietošanā, mobilo lietotni var pielāgot arī citiem mērķiem, un šobrīd iespējami trīs attīstības virzieni:</w:t>
      </w:r>
    </w:p>
    <w:p w14:paraId="0766B7A8" w14:textId="0C8BEAB5" w:rsidR="0051672C" w:rsidRPr="00307028" w:rsidRDefault="0051672C" w:rsidP="00070D5F">
      <w:pPr>
        <w:numPr>
          <w:ilvl w:val="0"/>
          <w:numId w:val="26"/>
        </w:numPr>
        <w:shd w:val="clear" w:color="auto" w:fill="FFFFFF"/>
        <w:spacing w:after="120" w:line="259" w:lineRule="auto"/>
        <w:jc w:val="both"/>
        <w:rPr>
          <w:rFonts w:eastAsia="Times New Roman"/>
          <w:color w:val="000000" w:themeColor="text1"/>
          <w:lang w:eastAsia="lv-LV"/>
        </w:rPr>
      </w:pPr>
      <w:r w:rsidRPr="00307028">
        <w:rPr>
          <w:rFonts w:eastAsia="Times New Roman"/>
          <w:i/>
          <w:iCs/>
          <w:color w:val="000000" w:themeColor="text1"/>
          <w:lang w:eastAsia="lv-LV"/>
        </w:rPr>
        <w:t>Digital Covid Sertificate</w:t>
      </w:r>
      <w:r w:rsidRPr="00307028">
        <w:rPr>
          <w:rFonts w:eastAsia="Times New Roman"/>
          <w:color w:val="000000" w:themeColor="text1"/>
          <w:lang w:eastAsia="lv-LV"/>
        </w:rPr>
        <w:t xml:space="preserve"> infrastruktūras pielāgošana PVO līmenī –</w:t>
      </w:r>
      <w:r w:rsidR="00F240E3" w:rsidRPr="00307028">
        <w:rPr>
          <w:rFonts w:eastAsia="Times New Roman"/>
          <w:color w:val="000000" w:themeColor="text1"/>
          <w:lang w:eastAsia="lv-LV"/>
        </w:rPr>
        <w:t xml:space="preserve"> </w:t>
      </w:r>
      <w:r w:rsidRPr="00307028">
        <w:rPr>
          <w:rFonts w:eastAsia="Times New Roman"/>
          <w:color w:val="000000" w:themeColor="text1"/>
          <w:lang w:eastAsia="lv-LV"/>
        </w:rPr>
        <w:t>ja projekts tiks attīstīts un Latvija pievienosies, mobilā lietotne būs nepieciešama turpmākai vakcināciju verifikācijai;</w:t>
      </w:r>
    </w:p>
    <w:p w14:paraId="0AA05871" w14:textId="77777777" w:rsidR="0051672C" w:rsidRPr="00307028" w:rsidRDefault="0051672C" w:rsidP="00070D5F">
      <w:pPr>
        <w:numPr>
          <w:ilvl w:val="0"/>
          <w:numId w:val="26"/>
        </w:numPr>
        <w:shd w:val="clear" w:color="auto" w:fill="FFFFFF"/>
        <w:spacing w:after="120" w:line="259" w:lineRule="auto"/>
        <w:jc w:val="both"/>
        <w:rPr>
          <w:rFonts w:eastAsia="Times New Roman"/>
          <w:color w:val="000000" w:themeColor="text1"/>
          <w:lang w:eastAsia="lv-LV"/>
        </w:rPr>
      </w:pPr>
      <w:r w:rsidRPr="00307028">
        <w:rPr>
          <w:rFonts w:eastAsia="Times New Roman"/>
          <w:color w:val="000000" w:themeColor="text1"/>
          <w:lang w:eastAsia="lv-LV"/>
        </w:rPr>
        <w:t>EK līmenī tiek attīstīts elektroniskās Eiropas veselības apdrošināšanas kartes projekts – </w:t>
      </w:r>
      <w:r w:rsidRPr="00307028">
        <w:rPr>
          <w:rFonts w:eastAsiaTheme="minorHAnsi"/>
          <w:color w:val="000000" w:themeColor="text1"/>
          <w:lang w:eastAsia="lv-LV"/>
        </w:rPr>
        <w:t xml:space="preserve">ja projekts tiks attīstīts un Latvija pievienosies, mobilā lietotne var tikt pielāgota </w:t>
      </w:r>
      <w:r w:rsidRPr="00307028">
        <w:rPr>
          <w:rFonts w:eastAsia="Times New Roman"/>
          <w:color w:val="000000" w:themeColor="text1"/>
          <w:lang w:eastAsia="lv-LV"/>
        </w:rPr>
        <w:t xml:space="preserve">Eiropas veselības apdrošināšanas kartes </w:t>
      </w:r>
      <w:r w:rsidRPr="00307028">
        <w:rPr>
          <w:rFonts w:eastAsiaTheme="minorHAnsi"/>
          <w:color w:val="000000" w:themeColor="text1"/>
          <w:lang w:eastAsia="lv-LV"/>
        </w:rPr>
        <w:t>verifikācijai;</w:t>
      </w:r>
    </w:p>
    <w:p w14:paraId="4C7BC78B" w14:textId="462411DC" w:rsidR="0016333F" w:rsidRPr="00307028" w:rsidRDefault="0051672C" w:rsidP="00070D5F">
      <w:pPr>
        <w:numPr>
          <w:ilvl w:val="0"/>
          <w:numId w:val="26"/>
        </w:numPr>
        <w:shd w:val="clear" w:color="auto" w:fill="FFFFFF"/>
        <w:spacing w:after="120" w:line="259" w:lineRule="auto"/>
        <w:ind w:hanging="357"/>
        <w:jc w:val="both"/>
        <w:rPr>
          <w:rFonts w:eastAsia="Times New Roman"/>
          <w:color w:val="000000" w:themeColor="text1"/>
          <w:lang w:eastAsia="lv-LV"/>
        </w:rPr>
      </w:pPr>
      <w:r w:rsidRPr="00307028">
        <w:rPr>
          <w:rFonts w:eastAsiaTheme="minorHAnsi"/>
          <w:color w:val="000000" w:themeColor="text1"/>
          <w:lang w:eastAsia="lv-LV"/>
        </w:rPr>
        <w:t xml:space="preserve">Attīstot digitālās veselības ekosistēmu, vidējā termiņā plānots, ka </w:t>
      </w:r>
      <w:r w:rsidRPr="00307028">
        <w:rPr>
          <w:rFonts w:eastAsiaTheme="minorHAnsi"/>
          <w:i/>
          <w:iCs/>
          <w:color w:val="000000" w:themeColor="text1"/>
          <w:lang w:eastAsia="lv-LV"/>
        </w:rPr>
        <w:t>Digital Covid Sertificate</w:t>
      </w:r>
      <w:r w:rsidRPr="00307028">
        <w:rPr>
          <w:rFonts w:eastAsiaTheme="minorHAnsi"/>
          <w:color w:val="000000" w:themeColor="text1"/>
          <w:lang w:eastAsia="lv-LV"/>
        </w:rPr>
        <w:t xml:space="preserve"> infrastruktūra tiks izmantota, lai verificētu citus medicīnas dokumentus, piemēram, e-receptes, e-nosūtījumus.</w:t>
      </w:r>
    </w:p>
    <w:p w14:paraId="43A2FC42" w14:textId="59B5E3C4" w:rsidR="0016333F" w:rsidRPr="00307028" w:rsidRDefault="0016333F" w:rsidP="00183D1A">
      <w:pPr>
        <w:numPr>
          <w:ilvl w:val="0"/>
          <w:numId w:val="13"/>
        </w:numPr>
        <w:spacing w:before="120" w:after="120" w:line="259" w:lineRule="auto"/>
        <w:ind w:left="0" w:firstLine="425"/>
        <w:jc w:val="both"/>
        <w:rPr>
          <w:rFonts w:eastAsiaTheme="minorHAnsi"/>
          <w:color w:val="1C1C1C"/>
          <w:shd w:val="clear" w:color="auto" w:fill="FFFFFF"/>
          <w:lang w:eastAsia="en-US"/>
        </w:rPr>
      </w:pPr>
      <w:r w:rsidRPr="00307028">
        <w:rPr>
          <w:rFonts w:eastAsiaTheme="minorHAnsi"/>
          <w:lang w:eastAsia="en-US"/>
        </w:rPr>
        <w:t>SEPL</w:t>
      </w:r>
      <w:r w:rsidR="00D859AD" w:rsidRPr="00307028">
        <w:rPr>
          <w:rFonts w:eastAsiaTheme="minorHAnsi"/>
          <w:lang w:eastAsia="en-US"/>
        </w:rPr>
        <w:t>P</w:t>
      </w:r>
      <w:r w:rsidRPr="00307028">
        <w:rPr>
          <w:rFonts w:eastAsiaTheme="minorHAnsi"/>
          <w:lang w:eastAsia="en-US"/>
        </w:rPr>
        <w:t xml:space="preserve"> (VSIA “Latvijas Radio”) mobilā lietotne </w:t>
      </w:r>
      <w:r w:rsidRPr="00307028">
        <w:rPr>
          <w:rFonts w:eastAsiaTheme="minorHAnsi"/>
          <w:b/>
          <w:bCs/>
          <w:lang w:eastAsia="en-US"/>
        </w:rPr>
        <w:t>“</w:t>
      </w:r>
      <w:r w:rsidRPr="00307028">
        <w:rPr>
          <w:rFonts w:eastAsia="Times New Roman"/>
          <w:b/>
          <w:bCs/>
          <w:color w:val="000000"/>
          <w:lang w:eastAsia="lv-LV"/>
        </w:rPr>
        <w:t>Latvijas Radio”</w:t>
      </w:r>
      <w:r w:rsidRPr="00307028">
        <w:rPr>
          <w:rFonts w:eastAsia="Times New Roman"/>
          <w:color w:val="000000"/>
          <w:lang w:eastAsia="lv-LV"/>
        </w:rPr>
        <w:t xml:space="preserve"> izveidota 2022. gadā, </w:t>
      </w:r>
      <w:r w:rsidR="00207464" w:rsidRPr="00307028">
        <w:rPr>
          <w:rFonts w:eastAsia="Times New Roman"/>
          <w:color w:val="000000"/>
          <w:lang w:eastAsia="lv-LV"/>
        </w:rPr>
        <w:t xml:space="preserve">tās </w:t>
      </w:r>
      <w:r w:rsidRPr="00307028">
        <w:rPr>
          <w:rFonts w:eastAsiaTheme="minorHAnsi"/>
          <w:lang w:eastAsia="en-US"/>
        </w:rPr>
        <w:t xml:space="preserve">izveides izmaksas </w:t>
      </w:r>
      <w:r w:rsidR="00207464" w:rsidRPr="00307028">
        <w:rPr>
          <w:rFonts w:eastAsiaTheme="minorHAnsi"/>
          <w:lang w:eastAsia="en-US"/>
        </w:rPr>
        <w:t xml:space="preserve">bija </w:t>
      </w:r>
      <w:r w:rsidRPr="00307028">
        <w:rPr>
          <w:rFonts w:eastAsiaTheme="minorHAnsi"/>
          <w:lang w:eastAsia="en-US"/>
        </w:rPr>
        <w:t>44,7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w:t>
      </w:r>
      <w:r w:rsidR="00207464" w:rsidRPr="00307028">
        <w:rPr>
          <w:rFonts w:eastAsiaTheme="minorHAnsi"/>
          <w:lang w:eastAsia="en-US"/>
        </w:rPr>
        <w:t xml:space="preserve"> </w:t>
      </w:r>
      <w:r w:rsidR="00207464" w:rsidRPr="00307028">
        <w:rPr>
          <w:rFonts w:asciiTheme="minorHAnsi" w:eastAsiaTheme="minorHAnsi" w:hAnsiTheme="minorHAnsi" w:cstheme="minorBidi"/>
          <w:sz w:val="22"/>
          <w:szCs w:val="22"/>
          <w:lang w:eastAsia="en-US"/>
        </w:rPr>
        <w:t>–</w:t>
      </w:r>
      <w:r w:rsidRPr="00307028">
        <w:rPr>
          <w:rFonts w:eastAsiaTheme="minorHAnsi"/>
          <w:lang w:eastAsia="en-US"/>
        </w:rPr>
        <w:t xml:space="preserve"> 6,4 tūkst. </w:t>
      </w:r>
      <w:r w:rsidRPr="00307028">
        <w:rPr>
          <w:rFonts w:eastAsiaTheme="minorHAnsi"/>
          <w:i/>
          <w:iCs/>
          <w:lang w:eastAsia="en-US"/>
        </w:rPr>
        <w:t>euro</w:t>
      </w:r>
      <w:r w:rsidRPr="00307028">
        <w:rPr>
          <w:rFonts w:eastAsiaTheme="minorHAnsi"/>
          <w:lang w:eastAsia="en-US"/>
        </w:rPr>
        <w:t xml:space="preserve">. Mobilā lietotne nodrošina pieejamību “Latvijas Radio” veidotajam saturam mobilajās viedierīcēs. Vienuviet pieejami aptuveni 200 audio raidījumi un oriģinālsatura </w:t>
      </w:r>
      <w:r w:rsidR="00D859AD" w:rsidRPr="00307028">
        <w:rPr>
          <w:rFonts w:eastAsiaTheme="minorHAnsi"/>
          <w:lang w:eastAsia="en-US"/>
        </w:rPr>
        <w:t>raidieraksti (</w:t>
      </w:r>
      <w:r w:rsidRPr="00307028">
        <w:rPr>
          <w:rFonts w:eastAsiaTheme="minorHAnsi"/>
          <w:lang w:eastAsia="en-US"/>
        </w:rPr>
        <w:t>podkāsti</w:t>
      </w:r>
      <w:r w:rsidR="00D859AD" w:rsidRPr="00307028">
        <w:rPr>
          <w:rFonts w:eastAsiaTheme="minorHAnsi"/>
          <w:lang w:eastAsia="en-US"/>
        </w:rPr>
        <w:t>)</w:t>
      </w:r>
      <w:r w:rsidRPr="00307028">
        <w:rPr>
          <w:rFonts w:eastAsiaTheme="minorHAnsi"/>
          <w:lang w:eastAsia="en-US"/>
        </w:rPr>
        <w:t>, sešu Latvijas Radio kanālu tiešraides un vairāki</w:t>
      </w:r>
      <w:r w:rsidR="00D859AD" w:rsidRPr="00307028">
        <w:rPr>
          <w:rFonts w:eastAsiaTheme="minorHAnsi"/>
          <w:lang w:eastAsia="en-US"/>
        </w:rPr>
        <w:t xml:space="preserve"> </w:t>
      </w:r>
      <w:r w:rsidRPr="00307028">
        <w:rPr>
          <w:rFonts w:eastAsiaTheme="minorHAnsi"/>
          <w:lang w:eastAsia="en-US"/>
        </w:rPr>
        <w:t xml:space="preserve">tematiski mūzikas </w:t>
      </w:r>
      <w:r w:rsidRPr="00307028">
        <w:rPr>
          <w:rFonts w:eastAsiaTheme="minorHAnsi"/>
          <w:i/>
          <w:iCs/>
          <w:lang w:eastAsia="en-US"/>
        </w:rPr>
        <w:t>pop-up</w:t>
      </w:r>
      <w:r w:rsidRPr="00307028">
        <w:rPr>
          <w:rFonts w:eastAsiaTheme="minorHAnsi"/>
          <w:lang w:eastAsia="en-US"/>
        </w:rPr>
        <w:t xml:space="preserve"> interneta kanāli. Iestādes personīgais mobilās lietotnes efektivitātes novērtējums ir 100%. </w:t>
      </w:r>
      <w:r w:rsidRPr="00307028">
        <w:rPr>
          <w:rFonts w:eastAsiaTheme="minorHAnsi"/>
          <w:lang w:eastAsia="en-US"/>
        </w:rPr>
        <w:lastRenderedPageBreak/>
        <w:t>2023. gadā produkcijas vidē plānots nodot lietotnes papildinājumus tās integrācijai automašīnu apskaņošanas sistēmās (</w:t>
      </w:r>
      <w:r w:rsidRPr="00307028">
        <w:rPr>
          <w:rFonts w:eastAsiaTheme="minorHAnsi"/>
          <w:i/>
          <w:iCs/>
          <w:lang w:eastAsia="en-US"/>
        </w:rPr>
        <w:t xml:space="preserve">Apple CarPlay, Android Auto </w:t>
      </w:r>
      <w:r w:rsidRPr="00307028">
        <w:rPr>
          <w:rFonts w:eastAsiaTheme="minorHAnsi"/>
          <w:lang w:eastAsia="en-US"/>
        </w:rPr>
        <w:t>un</w:t>
      </w:r>
      <w:r w:rsidRPr="00307028">
        <w:rPr>
          <w:rFonts w:eastAsiaTheme="minorHAnsi"/>
          <w:i/>
          <w:iCs/>
          <w:lang w:eastAsia="en-US"/>
        </w:rPr>
        <w:t xml:space="preserve"> Android Automotive</w:t>
      </w:r>
      <w:r w:rsidRPr="00307028">
        <w:rPr>
          <w:rFonts w:eastAsiaTheme="minorHAnsi"/>
          <w:lang w:eastAsia="en-US"/>
        </w:rPr>
        <w:t xml:space="preserve">). </w:t>
      </w:r>
    </w:p>
    <w:p w14:paraId="5EB444DE" w14:textId="16DEC984" w:rsidR="0016333F" w:rsidRPr="00307028" w:rsidRDefault="0016333F" w:rsidP="00183D1A">
      <w:pPr>
        <w:numPr>
          <w:ilvl w:val="0"/>
          <w:numId w:val="13"/>
        </w:numPr>
        <w:spacing w:before="120" w:after="120" w:line="259" w:lineRule="auto"/>
        <w:ind w:left="0" w:firstLine="425"/>
        <w:jc w:val="both"/>
        <w:rPr>
          <w:rFonts w:eastAsiaTheme="minorHAnsi"/>
          <w:color w:val="1C1C1C"/>
          <w:shd w:val="clear" w:color="auto" w:fill="FFFFFF"/>
          <w:lang w:eastAsia="en-US"/>
        </w:rPr>
      </w:pPr>
      <w:r w:rsidRPr="00307028">
        <w:rPr>
          <w:rFonts w:eastAsiaTheme="minorHAnsi"/>
          <w:lang w:eastAsia="en-US"/>
        </w:rPr>
        <w:t xml:space="preserve">FM (VID) mobilā lietotne </w:t>
      </w:r>
      <w:r w:rsidRPr="00307028">
        <w:rPr>
          <w:rFonts w:eastAsiaTheme="minorHAnsi"/>
          <w:b/>
          <w:bCs/>
          <w:lang w:eastAsia="en-US"/>
        </w:rPr>
        <w:t>“Attaisnotie izdevumi”</w:t>
      </w:r>
      <w:r w:rsidRPr="00307028">
        <w:rPr>
          <w:rFonts w:eastAsiaTheme="minorHAnsi"/>
          <w:lang w:eastAsia="en-US"/>
        </w:rPr>
        <w:t xml:space="preserve"> izveidota 2016. gadā, </w:t>
      </w:r>
      <w:r w:rsidR="00207464" w:rsidRPr="00307028">
        <w:rPr>
          <w:rFonts w:eastAsiaTheme="minorHAnsi"/>
          <w:lang w:eastAsia="en-US"/>
        </w:rPr>
        <w:t xml:space="preserve">tās </w:t>
      </w:r>
      <w:r w:rsidRPr="00307028">
        <w:rPr>
          <w:rFonts w:eastAsiaTheme="minorHAnsi"/>
          <w:lang w:eastAsia="en-US"/>
        </w:rPr>
        <w:t xml:space="preserve">izveides izmaksas </w:t>
      </w:r>
      <w:r w:rsidR="00207464" w:rsidRPr="00307028">
        <w:rPr>
          <w:rFonts w:eastAsiaTheme="minorHAnsi"/>
          <w:lang w:eastAsia="en-US"/>
        </w:rPr>
        <w:t xml:space="preserve">bija </w:t>
      </w:r>
      <w:r w:rsidRPr="00307028">
        <w:rPr>
          <w:rFonts w:eastAsiaTheme="minorHAnsi"/>
          <w:lang w:eastAsia="en-US"/>
        </w:rPr>
        <w:t>36,9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 xml:space="preserve">uzturēšanas izmaksas 2022. gadā nav bijušas. Mobilā lietotne nodrošina attaisnoto izdevumu pakāpenisku uzkrāšanu visa gada laikā, lai, aizpildot gada ienākumu deklarāciju </w:t>
      </w:r>
      <w:r w:rsidR="00A91DF3" w:rsidRPr="00307028">
        <w:rPr>
          <w:rFonts w:eastAsiaTheme="minorHAnsi"/>
          <w:lang w:eastAsia="en-US"/>
        </w:rPr>
        <w:t xml:space="preserve">VID </w:t>
      </w:r>
      <w:r w:rsidRPr="00307028">
        <w:rPr>
          <w:rFonts w:eastAsiaTheme="minorHAnsi"/>
          <w:lang w:eastAsia="en-US"/>
        </w:rPr>
        <w:t>EDS, šos attaisnojuma dokumentus varētu ērti pievienot deklarācijas D4 pielikumam “Attaisnotie izdevumi par izglītību un ārstnieciskajiem pakalpojumiem”. Iestādes personīgais mobilās lietotnes efektivitātes novērtējums ir 80%. Kopīgas VID klientu pašapkalpošanās vides modernizācijas projekta ietvaros plānota mobilās lietotnes modernizācija. Atbilstoši “Digitālās transformācijas pamatnostādņu 2021.</w:t>
      </w:r>
      <w:r w:rsidR="00BF15EE">
        <w:rPr>
          <w:rFonts w:eastAsiaTheme="minorHAnsi"/>
          <w:kern w:val="2"/>
          <w:lang w:eastAsia="en-US"/>
          <w14:ligatures w14:val="standardContextual"/>
        </w:rPr>
        <w:t> </w:t>
      </w:r>
      <w:r w:rsidR="00EE2D2F" w:rsidRPr="00307028">
        <w:rPr>
          <w:rFonts w:eastAsiaTheme="minorHAnsi"/>
          <w:kern w:val="2"/>
          <w:lang w:eastAsia="en-US"/>
          <w14:ligatures w14:val="standardContextual"/>
        </w:rPr>
        <w:t>– </w:t>
      </w:r>
      <w:r w:rsidRPr="00307028">
        <w:rPr>
          <w:rFonts w:eastAsiaTheme="minorHAnsi"/>
          <w:lang w:eastAsia="en-US"/>
        </w:rPr>
        <w:t>2027. gadam” ieviešanas plāna projektam, modernizācijas ietvaros, laika periodā no 2024. līdz 2027. gadam plānota jaunas VID mobilās lietotnes platformas izveide, nodrošinot ērtu autentifikāciju, svarīgāko funkciju pieejamību nodokļu maksātāja sadarbībai ar VID un iespējas attīstīt lietotni atbilstoši aktuālajām vajadzībām. Tādējādi plānots paplašināt VID klientu apkalpošanas spējas, nodrošināt digitālo attīstību publiskajā sektorā un izveidot uz klientu vērtībām orientētu, personalizētu saziņu un pakalpojumu nodrošināšanu.</w:t>
      </w:r>
    </w:p>
    <w:p w14:paraId="44C2F122" w14:textId="78ED06FF" w:rsidR="0016333F" w:rsidRPr="00307028" w:rsidRDefault="0016333F" w:rsidP="00183D1A">
      <w:pPr>
        <w:numPr>
          <w:ilvl w:val="0"/>
          <w:numId w:val="13"/>
        </w:numPr>
        <w:spacing w:before="120" w:after="120" w:line="259" w:lineRule="auto"/>
        <w:ind w:left="0" w:firstLine="425"/>
        <w:jc w:val="both"/>
        <w:rPr>
          <w:rFonts w:eastAsiaTheme="minorHAnsi"/>
          <w:color w:val="1C1C1C"/>
          <w:shd w:val="clear" w:color="auto" w:fill="FFFFFF"/>
          <w:lang w:eastAsia="en-US"/>
        </w:rPr>
      </w:pPr>
      <w:r w:rsidRPr="00307028">
        <w:rPr>
          <w:rFonts w:eastAsiaTheme="minorHAnsi"/>
          <w:lang w:eastAsia="en-US"/>
        </w:rPr>
        <w:t xml:space="preserve">VARAM (LNBD) mobilā lietotne </w:t>
      </w:r>
      <w:r w:rsidRPr="00307028">
        <w:rPr>
          <w:rFonts w:eastAsiaTheme="minorHAnsi"/>
          <w:b/>
          <w:bCs/>
          <w:lang w:eastAsia="en-US"/>
        </w:rPr>
        <w:t>“Nacionālais botāniskais dārzs”</w:t>
      </w:r>
      <w:r w:rsidRPr="00307028">
        <w:rPr>
          <w:rFonts w:eastAsiaTheme="minorHAnsi"/>
          <w:lang w:eastAsia="en-US"/>
        </w:rPr>
        <w:t xml:space="preserve"> izveidota 2020. gadā projekta “Vides informācijas pieejamības pilnveidošana LNBD ekspozīcijās ar audiogida pakalpojuma ieviešanu” ietvaros ar LVAF finansiālo atbalstu. </w:t>
      </w:r>
      <w:r w:rsidR="00207464" w:rsidRPr="00307028">
        <w:rPr>
          <w:rFonts w:eastAsiaTheme="minorHAnsi"/>
          <w:lang w:eastAsia="en-US"/>
        </w:rPr>
        <w:t>Tās i</w:t>
      </w:r>
      <w:r w:rsidRPr="00307028">
        <w:rPr>
          <w:rFonts w:eastAsiaTheme="minorHAnsi"/>
          <w:lang w:eastAsia="en-US"/>
        </w:rPr>
        <w:t xml:space="preserve">zveides izmaksas </w:t>
      </w:r>
      <w:r w:rsidR="00207464" w:rsidRPr="00307028">
        <w:rPr>
          <w:rFonts w:eastAsiaTheme="minorHAnsi"/>
          <w:lang w:eastAsia="en-US"/>
        </w:rPr>
        <w:t xml:space="preserve">bija </w:t>
      </w:r>
      <w:r w:rsidRPr="00307028">
        <w:rPr>
          <w:rFonts w:eastAsiaTheme="minorHAnsi"/>
          <w:lang w:eastAsia="en-US"/>
        </w:rPr>
        <w:t>32,3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 nav bijušas. Mobilajā lietotnē izveidoti pieci maršruti jeb takas. Klātienē dodoties pa šīm takām</w:t>
      </w:r>
      <w:r w:rsidR="00207464" w:rsidRPr="00307028">
        <w:rPr>
          <w:rFonts w:eastAsiaTheme="minorHAnsi"/>
          <w:lang w:eastAsia="en-US"/>
        </w:rPr>
        <w:t xml:space="preserve"> un</w:t>
      </w:r>
      <w:r w:rsidRPr="00307028">
        <w:rPr>
          <w:rFonts w:eastAsiaTheme="minorHAnsi"/>
          <w:lang w:eastAsia="en-US"/>
        </w:rPr>
        <w:t xml:space="preserve"> sekojot kartei, noteiktos punktos var iegūt papildu informāciju audio formātā un uz ekrāna. Audiogids</w:t>
      </w:r>
      <w:r w:rsidR="00EE2D2F" w:rsidRPr="00307028">
        <w:rPr>
          <w:rFonts w:eastAsiaTheme="minorHAnsi"/>
          <w:lang w:eastAsia="en-US"/>
        </w:rPr>
        <w:t xml:space="preserve"> </w:t>
      </w:r>
      <w:r w:rsidRPr="00307028">
        <w:rPr>
          <w:rFonts w:eastAsiaTheme="minorHAnsi"/>
          <w:lang w:eastAsia="en-US"/>
        </w:rPr>
        <w:t>izmantojams gan atrodoties LNBD teritorijā, gan ārpus tās, lejupielādējot mobilo lietotni mobilajā ierīcē. Iestādes personīgais mobilās lietotnes efektivitātes novērtējums ir 85%. Mobilo lietotni 2023</w:t>
      </w:r>
      <w:r w:rsidR="00BF15EE">
        <w:rPr>
          <w:rFonts w:eastAsiaTheme="minorHAnsi"/>
          <w:lang w:eastAsia="en-US"/>
        </w:rPr>
        <w:t>. – </w:t>
      </w:r>
      <w:r w:rsidRPr="00307028">
        <w:rPr>
          <w:rFonts w:eastAsiaTheme="minorHAnsi"/>
          <w:lang w:eastAsia="en-US"/>
        </w:rPr>
        <w:t>2024. gadā iecerēts papildināt ar maršrutu, kas īpaši pielāgots arī cilvēkiem ar redzes traucējumiem.</w:t>
      </w:r>
    </w:p>
    <w:p w14:paraId="05A98231" w14:textId="58F7EC6D" w:rsidR="0016333F" w:rsidRPr="00307028" w:rsidRDefault="0016333F" w:rsidP="00183D1A">
      <w:pPr>
        <w:numPr>
          <w:ilvl w:val="0"/>
          <w:numId w:val="13"/>
        </w:numPr>
        <w:spacing w:before="120" w:after="120" w:line="259" w:lineRule="auto"/>
        <w:ind w:left="0" w:firstLine="425"/>
        <w:jc w:val="both"/>
        <w:rPr>
          <w:rFonts w:eastAsiaTheme="minorHAnsi"/>
          <w:lang w:eastAsia="en-US"/>
        </w:rPr>
      </w:pPr>
      <w:bookmarkStart w:id="129" w:name="_Hlk138858476"/>
      <w:r w:rsidRPr="00307028">
        <w:rPr>
          <w:rFonts w:eastAsiaTheme="minorHAnsi"/>
          <w:lang w:eastAsia="en-US"/>
        </w:rPr>
        <w:t xml:space="preserve">SM (AS “Pasažieru vilciens”) mobilā lietotne </w:t>
      </w:r>
      <w:bookmarkStart w:id="130" w:name="_Hlk138857907"/>
      <w:r w:rsidRPr="00307028">
        <w:rPr>
          <w:rFonts w:eastAsiaTheme="minorHAnsi"/>
          <w:b/>
          <w:bCs/>
          <w:lang w:eastAsia="en-US"/>
        </w:rPr>
        <w:t>“Pasažieru vilciens</w:t>
      </w:r>
      <w:r w:rsidRPr="00307028">
        <w:rPr>
          <w:rFonts w:eastAsiaTheme="minorHAnsi"/>
          <w:lang w:eastAsia="en-US"/>
        </w:rPr>
        <w:t xml:space="preserve">” </w:t>
      </w:r>
      <w:bookmarkEnd w:id="129"/>
      <w:bookmarkEnd w:id="130"/>
      <w:r w:rsidRPr="00307028">
        <w:rPr>
          <w:rFonts w:eastAsiaTheme="minorHAnsi"/>
          <w:lang w:eastAsia="en-US"/>
        </w:rPr>
        <w:t xml:space="preserve">ir izveidota 2013. gadā. </w:t>
      </w:r>
      <w:r w:rsidR="00207464" w:rsidRPr="00307028">
        <w:rPr>
          <w:rFonts w:eastAsiaTheme="minorHAnsi"/>
          <w:lang w:eastAsia="en-US"/>
        </w:rPr>
        <w:t>Tās i</w:t>
      </w:r>
      <w:r w:rsidRPr="00307028">
        <w:rPr>
          <w:rFonts w:eastAsiaTheme="minorHAnsi"/>
          <w:lang w:eastAsia="en-US"/>
        </w:rPr>
        <w:t xml:space="preserve">zveides izmaksas </w:t>
      </w:r>
      <w:r w:rsidR="00207464" w:rsidRPr="00307028">
        <w:rPr>
          <w:rFonts w:eastAsiaTheme="minorHAnsi"/>
          <w:lang w:eastAsia="en-US"/>
        </w:rPr>
        <w:t xml:space="preserve">bija </w:t>
      </w:r>
      <w:r w:rsidRPr="00307028">
        <w:rPr>
          <w:rFonts w:eastAsiaTheme="minorHAnsi"/>
          <w:lang w:eastAsia="en-US"/>
        </w:rPr>
        <w:t>21,3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w:t>
      </w:r>
      <w:r w:rsidR="00207464" w:rsidRPr="00307028">
        <w:rPr>
          <w:rFonts w:eastAsiaTheme="minorHAnsi"/>
          <w:lang w:eastAsia="en-US"/>
        </w:rPr>
        <w:t xml:space="preserve"> </w:t>
      </w:r>
      <w:r w:rsidR="00207464" w:rsidRPr="00307028">
        <w:rPr>
          <w:rFonts w:asciiTheme="minorHAnsi" w:eastAsiaTheme="minorHAnsi" w:hAnsiTheme="minorHAnsi" w:cstheme="minorBidi"/>
          <w:sz w:val="22"/>
          <w:szCs w:val="22"/>
          <w:lang w:eastAsia="en-US"/>
        </w:rPr>
        <w:t>–</w:t>
      </w:r>
      <w:r w:rsidRPr="00307028">
        <w:rPr>
          <w:rFonts w:eastAsiaTheme="minorHAnsi"/>
          <w:lang w:eastAsia="en-US"/>
        </w:rPr>
        <w:t xml:space="preserve"> 629 </w:t>
      </w:r>
      <w:r w:rsidRPr="00307028">
        <w:rPr>
          <w:rFonts w:eastAsiaTheme="minorHAnsi"/>
          <w:i/>
          <w:iCs/>
          <w:lang w:eastAsia="en-US"/>
        </w:rPr>
        <w:t>euro</w:t>
      </w:r>
      <w:r w:rsidRPr="00307028">
        <w:rPr>
          <w:rFonts w:eastAsiaTheme="minorHAnsi"/>
          <w:lang w:eastAsia="en-US"/>
        </w:rPr>
        <w:t>. Mobilā lietotne sniedz iespēju iepazīties ar visu aktuālāko informāciju, kas saistīta ar vilcienu satiksmi Latvijā – pieejams jaunākais vilcienu saraksts un maršrutu izvēlne</w:t>
      </w:r>
      <w:r w:rsidR="00BF6883" w:rsidRPr="00307028">
        <w:rPr>
          <w:rFonts w:eastAsiaTheme="minorHAnsi"/>
          <w:lang w:eastAsia="en-US"/>
        </w:rPr>
        <w:t xml:space="preserve">, </w:t>
      </w:r>
      <w:r w:rsidRPr="00307028">
        <w:rPr>
          <w:rFonts w:eastAsiaTheme="minorHAnsi"/>
          <w:lang w:eastAsia="en-US"/>
        </w:rPr>
        <w:t xml:space="preserve">redzamas izmaiņas vilcienu sarakstā, paziņojumi par izmaiņām, klientu apkalpošanas serviss, iespēja elektroniski iegādāties vilciena biļetes un abonementa biļetes. Iestādes personīgais mobilās lietotnes efektivitātes novērtējums ir 100%. </w:t>
      </w:r>
      <w:bookmarkStart w:id="131" w:name="_Hlk138857901"/>
      <w:r w:rsidRPr="00307028">
        <w:rPr>
          <w:rFonts w:eastAsiaTheme="minorHAnsi"/>
          <w:lang w:eastAsia="en-US"/>
        </w:rPr>
        <w:t>2022. gadā mobilajai lietotnei bijis 81 tūkst. lietotāju, attiecīgi uzturēšanas izmaksas uz vienu lietotāju bija 0,01 </w:t>
      </w:r>
      <w:r w:rsidRPr="00307028">
        <w:rPr>
          <w:rFonts w:eastAsiaTheme="minorHAnsi"/>
          <w:i/>
          <w:iCs/>
          <w:lang w:eastAsia="en-US"/>
        </w:rPr>
        <w:t>euro</w:t>
      </w:r>
      <w:r w:rsidRPr="00307028">
        <w:rPr>
          <w:rFonts w:eastAsiaTheme="minorHAnsi"/>
          <w:lang w:eastAsia="en-US"/>
        </w:rPr>
        <w:t xml:space="preserve">. </w:t>
      </w:r>
      <w:bookmarkEnd w:id="131"/>
      <w:r w:rsidRPr="00307028">
        <w:rPr>
          <w:rFonts w:eastAsiaTheme="minorHAnsi"/>
          <w:lang w:eastAsia="en-US"/>
        </w:rPr>
        <w:t>2023. gadā tiek plānoti mobilās lietotnes tehnoloģiskie uzlabojumi drošībai, funkcionalitātei un apziņošanai.</w:t>
      </w:r>
    </w:p>
    <w:p w14:paraId="52F4474C" w14:textId="162574CF" w:rsidR="0016333F" w:rsidRPr="00307028" w:rsidRDefault="0016333F" w:rsidP="00183D1A">
      <w:pPr>
        <w:numPr>
          <w:ilvl w:val="0"/>
          <w:numId w:val="13"/>
        </w:numPr>
        <w:spacing w:before="120" w:after="120" w:line="259" w:lineRule="auto"/>
        <w:ind w:left="0" w:firstLine="425"/>
        <w:jc w:val="both"/>
        <w:rPr>
          <w:rFonts w:eastAsiaTheme="minorHAnsi"/>
          <w:lang w:eastAsia="en-US"/>
        </w:rPr>
      </w:pPr>
      <w:r w:rsidRPr="00307028">
        <w:rPr>
          <w:rFonts w:eastAsiaTheme="minorHAnsi"/>
          <w:lang w:eastAsia="en-US"/>
        </w:rPr>
        <w:t xml:space="preserve">VARAM (DAP) mobilā lietotne </w:t>
      </w:r>
      <w:r w:rsidRPr="00307028">
        <w:rPr>
          <w:rFonts w:eastAsiaTheme="minorHAnsi"/>
          <w:b/>
          <w:bCs/>
          <w:lang w:eastAsia="en-US"/>
        </w:rPr>
        <w:t>“LDT audiogids”</w:t>
      </w:r>
      <w:r w:rsidRPr="00307028">
        <w:rPr>
          <w:rFonts w:eastAsiaTheme="minorHAnsi"/>
          <w:lang w:eastAsia="en-US"/>
        </w:rPr>
        <w:t xml:space="preserve"> izveidota 2021.</w:t>
      </w:r>
      <w:r w:rsidR="00207464" w:rsidRPr="00307028">
        <w:rPr>
          <w:rFonts w:eastAsiaTheme="minorHAnsi"/>
          <w:lang w:eastAsia="en-US"/>
        </w:rPr>
        <w:t xml:space="preserve"> </w:t>
      </w:r>
      <w:r w:rsidR="00207464" w:rsidRPr="00307028">
        <w:rPr>
          <w:rFonts w:asciiTheme="minorHAnsi" w:eastAsiaTheme="minorHAnsi" w:hAnsiTheme="minorHAnsi" w:cstheme="minorBidi"/>
          <w:sz w:val="22"/>
          <w:szCs w:val="22"/>
          <w:lang w:eastAsia="en-US"/>
        </w:rPr>
        <w:t>–</w:t>
      </w:r>
      <w:r w:rsidR="00207464" w:rsidRPr="00307028">
        <w:rPr>
          <w:rFonts w:eastAsiaTheme="minorHAnsi"/>
          <w:lang w:eastAsia="en-US"/>
        </w:rPr>
        <w:t xml:space="preserve"> </w:t>
      </w:r>
      <w:r w:rsidRPr="00307028">
        <w:rPr>
          <w:rFonts w:eastAsiaTheme="minorHAnsi"/>
          <w:lang w:eastAsia="en-US"/>
        </w:rPr>
        <w:t xml:space="preserve">2022. gadā. </w:t>
      </w:r>
      <w:r w:rsidR="00207464" w:rsidRPr="00307028">
        <w:rPr>
          <w:rFonts w:eastAsiaTheme="minorHAnsi"/>
          <w:lang w:eastAsia="en-US"/>
        </w:rPr>
        <w:t>Tās i</w:t>
      </w:r>
      <w:r w:rsidRPr="00307028">
        <w:rPr>
          <w:rFonts w:eastAsiaTheme="minorHAnsi"/>
          <w:lang w:eastAsia="en-US"/>
        </w:rPr>
        <w:t xml:space="preserve">zveides izmaksas </w:t>
      </w:r>
      <w:r w:rsidR="00207464" w:rsidRPr="00307028">
        <w:rPr>
          <w:rFonts w:eastAsiaTheme="minorHAnsi"/>
          <w:lang w:eastAsia="en-US"/>
        </w:rPr>
        <w:t xml:space="preserve">bija </w:t>
      </w:r>
      <w:r w:rsidRPr="00307028">
        <w:rPr>
          <w:rFonts w:eastAsiaTheme="minorHAnsi"/>
          <w:lang w:eastAsia="en-US"/>
        </w:rPr>
        <w:t>20,4 tūkst. </w:t>
      </w:r>
      <w:r w:rsidRPr="00307028">
        <w:rPr>
          <w:rFonts w:eastAsiaTheme="minorHAnsi"/>
          <w:i/>
          <w:iCs/>
          <w:lang w:eastAsia="en-US"/>
        </w:rPr>
        <w:t>euro</w:t>
      </w:r>
      <w:r w:rsidRPr="00307028">
        <w:rPr>
          <w:rFonts w:eastAsiaTheme="minorHAnsi"/>
          <w:lang w:eastAsia="en-US"/>
        </w:rPr>
        <w:t>. Sākot ar 2023. gadu paredzētas uzturēšanas izmaksas aptuveni 840 </w:t>
      </w:r>
      <w:r w:rsidRPr="00307028">
        <w:rPr>
          <w:rFonts w:eastAsiaTheme="minorHAnsi"/>
          <w:i/>
          <w:iCs/>
          <w:lang w:eastAsia="en-US"/>
        </w:rPr>
        <w:t>euro</w:t>
      </w:r>
      <w:r w:rsidRPr="00307028">
        <w:rPr>
          <w:rFonts w:eastAsiaTheme="minorHAnsi"/>
          <w:lang w:eastAsia="en-US"/>
        </w:rPr>
        <w:t xml:space="preserve"> ik gadu</w:t>
      </w:r>
      <w:r w:rsidRPr="00307028">
        <w:rPr>
          <w:rFonts w:eastAsiaTheme="minorHAnsi"/>
          <w:iCs/>
          <w:kern w:val="2"/>
          <w:lang w:eastAsia="en-US"/>
          <w14:ligatures w14:val="standardContextual"/>
        </w:rPr>
        <w:t xml:space="preserve">. </w:t>
      </w:r>
      <w:r w:rsidRPr="00307028">
        <w:rPr>
          <w:rFonts w:eastAsiaTheme="minorHAnsi"/>
          <w:lang w:eastAsia="en-US"/>
        </w:rPr>
        <w:t>Mobilā lietotne piedāvā iespēju klausīties aizraujošus stāstījumus par Līgatnes dabas taku iemītniekiem</w:t>
      </w:r>
      <w:r w:rsidRPr="00307028" w:rsidDel="00C16967">
        <w:rPr>
          <w:rFonts w:eastAsiaTheme="minorHAnsi"/>
          <w:lang w:eastAsia="en-US"/>
        </w:rPr>
        <w:t xml:space="preserve"> </w:t>
      </w:r>
      <w:r w:rsidRPr="00307028">
        <w:rPr>
          <w:rFonts w:eastAsiaTheme="minorHAnsi"/>
          <w:lang w:eastAsia="en-US"/>
        </w:rPr>
        <w:t>trīs valodās – latviešu, krievu un angļu. Lietotāji var izvēlēties starp divām stāstījuma versijām – pieaugušo vai bērnu. Iestādes personīgais mobilās lietotnes efektivitātes novērtējums ir 80%. Plānota mobilās lietotnes popularizēšana ikdienas darbā Līgatnes dabas takās, dabas tūrismu un izglītību saistītā informācijā medijiem, sociālajos tīklos, klātienes pasākumos.</w:t>
      </w:r>
    </w:p>
    <w:p w14:paraId="032A87AC" w14:textId="614AC8B0" w:rsidR="0016333F" w:rsidRPr="00307028" w:rsidRDefault="0016333F" w:rsidP="00183D1A">
      <w:pPr>
        <w:numPr>
          <w:ilvl w:val="0"/>
          <w:numId w:val="13"/>
        </w:numPr>
        <w:spacing w:before="120" w:after="120" w:line="259" w:lineRule="auto"/>
        <w:ind w:left="0" w:firstLine="425"/>
        <w:jc w:val="both"/>
        <w:rPr>
          <w:rFonts w:eastAsiaTheme="minorHAnsi"/>
          <w:lang w:eastAsia="en-US"/>
        </w:rPr>
      </w:pPr>
      <w:bookmarkStart w:id="132" w:name="_Hlk138858493"/>
      <w:bookmarkStart w:id="133" w:name="_Hlk136939701"/>
      <w:r w:rsidRPr="00307028">
        <w:rPr>
          <w:rFonts w:eastAsiaTheme="minorHAnsi"/>
          <w:lang w:eastAsia="en-US"/>
        </w:rPr>
        <w:t xml:space="preserve">SIF mobilā lietotne </w:t>
      </w:r>
      <w:r w:rsidRPr="00307028">
        <w:rPr>
          <w:rFonts w:eastAsiaTheme="minorHAnsi"/>
          <w:b/>
          <w:bCs/>
          <w:lang w:eastAsia="en-US"/>
        </w:rPr>
        <w:t>“3+ karte”</w:t>
      </w:r>
      <w:bookmarkEnd w:id="132"/>
      <w:r w:rsidRPr="00307028">
        <w:rPr>
          <w:rFonts w:eastAsiaTheme="minorHAnsi"/>
          <w:lang w:eastAsia="en-US"/>
        </w:rPr>
        <w:t xml:space="preserve"> izveidota 2018. gadā. </w:t>
      </w:r>
      <w:r w:rsidR="00207464" w:rsidRPr="00307028">
        <w:rPr>
          <w:rFonts w:eastAsiaTheme="minorHAnsi"/>
          <w:lang w:eastAsia="en-US"/>
        </w:rPr>
        <w:t>Tās i</w:t>
      </w:r>
      <w:r w:rsidRPr="00307028">
        <w:rPr>
          <w:rFonts w:eastAsiaTheme="minorHAnsi"/>
          <w:lang w:eastAsia="en-US"/>
        </w:rPr>
        <w:t xml:space="preserve">zveides izmaksas </w:t>
      </w:r>
      <w:r w:rsidR="00207464" w:rsidRPr="00307028">
        <w:rPr>
          <w:rFonts w:eastAsiaTheme="minorHAnsi"/>
          <w:lang w:eastAsia="en-US"/>
        </w:rPr>
        <w:t xml:space="preserve">bija </w:t>
      </w:r>
      <w:r w:rsidRPr="00307028">
        <w:rPr>
          <w:rFonts w:eastAsiaTheme="minorHAnsi"/>
          <w:lang w:eastAsia="en-US"/>
        </w:rPr>
        <w:t>13,1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 bijušas 87 </w:t>
      </w:r>
      <w:r w:rsidRPr="00307028">
        <w:rPr>
          <w:rFonts w:eastAsiaTheme="minorHAnsi"/>
          <w:i/>
          <w:iCs/>
          <w:lang w:eastAsia="en-US"/>
        </w:rPr>
        <w:t>euro</w:t>
      </w:r>
      <w:r w:rsidRPr="00307028">
        <w:rPr>
          <w:rFonts w:eastAsiaTheme="minorHAnsi"/>
          <w:lang w:eastAsia="en-US"/>
        </w:rPr>
        <w:t xml:space="preserve">. </w:t>
      </w:r>
      <w:bookmarkStart w:id="134" w:name="_Hlk138857923"/>
      <w:r w:rsidRPr="00307028">
        <w:rPr>
          <w:rFonts w:eastAsiaTheme="minorHAnsi"/>
          <w:lang w:eastAsia="en-US"/>
        </w:rPr>
        <w:t xml:space="preserve">2022. gadā mobilajai lietotnei bijuši 11,6 tūkst. lietotāju, attiecīgi uzturēšanas izmaksas uz vienu lietotāju bija </w:t>
      </w:r>
      <w:r w:rsidRPr="00307028">
        <w:rPr>
          <w:rFonts w:eastAsiaTheme="minorHAnsi"/>
          <w:lang w:eastAsia="en-US"/>
        </w:rPr>
        <w:lastRenderedPageBreak/>
        <w:t>0,01 </w:t>
      </w:r>
      <w:r w:rsidRPr="00307028">
        <w:rPr>
          <w:rFonts w:eastAsiaTheme="minorHAnsi"/>
          <w:i/>
          <w:iCs/>
          <w:lang w:eastAsia="en-US"/>
        </w:rPr>
        <w:t>euro</w:t>
      </w:r>
      <w:r w:rsidRPr="00307028">
        <w:rPr>
          <w:rFonts w:eastAsiaTheme="minorHAnsi"/>
          <w:lang w:eastAsia="en-US"/>
        </w:rPr>
        <w:t xml:space="preserve">. </w:t>
      </w:r>
      <w:bookmarkEnd w:id="134"/>
      <w:r w:rsidRPr="00307028">
        <w:rPr>
          <w:rFonts w:eastAsiaTheme="minorHAnsi"/>
          <w:lang w:eastAsia="en-US"/>
        </w:rPr>
        <w:t xml:space="preserve">Ar mobilās lietotnes starpniecību ir iespēja pieteikties apliecībai “Goda ģimene”, lietot atlaižu katalogu, saņemt jaunumus par programmu. Iestādes personīgais mobilās lietotnes efektivitātes novērtējums ir viszemākais – 40%. Pamatojoties uz to, ka kopš 2021. gada nogales tiek izstrādāta jauna apliecības “Goda ģimene” IS, kura ir papildināta un šī brīža prasībām piemērotāka funkcionalitāte, lai nodrošinātu ne vien pakalpojuma pieejamību tiešsaistē, bet arī būtu iespējams tiešsaistē pieteikties un saņemt gan digitālo, gan plastikāta apliecību, tika pieņemts lēmums visu sistēmu veidot kā kopumu – IT sistēma (tajā skaitā klientu daļa, administratīvā daļa un programmas dalībnieku (uzņēmēju) daļa), tīmekļvietne </w:t>
      </w:r>
      <w:hyperlink r:id="rId56" w:history="1">
        <w:r w:rsidRPr="00307028">
          <w:rPr>
            <w:rFonts w:eastAsiaTheme="minorHAnsi"/>
            <w:color w:val="0000FF"/>
            <w:u w:val="single"/>
            <w:lang w:eastAsia="en-US"/>
          </w:rPr>
          <w:t>www.godagimene.lv</w:t>
        </w:r>
      </w:hyperlink>
      <w:r w:rsidRPr="00307028">
        <w:rPr>
          <w:rFonts w:eastAsiaTheme="minorHAnsi"/>
          <w:lang w:eastAsia="en-US"/>
        </w:rPr>
        <w:t xml:space="preserve"> un mobilā lietotne (jauna mobilā lietotne “Goda ģimene”). </w:t>
      </w:r>
    </w:p>
    <w:bookmarkEnd w:id="133"/>
    <w:p w14:paraId="11A38377" w14:textId="3868E641" w:rsidR="0016333F" w:rsidRPr="00307028" w:rsidRDefault="0016333F" w:rsidP="00183D1A">
      <w:pPr>
        <w:numPr>
          <w:ilvl w:val="0"/>
          <w:numId w:val="13"/>
        </w:numPr>
        <w:spacing w:before="120" w:after="120" w:line="259" w:lineRule="auto"/>
        <w:ind w:left="0" w:firstLine="425"/>
        <w:jc w:val="both"/>
        <w:rPr>
          <w:rFonts w:eastAsiaTheme="minorHAnsi"/>
          <w:lang w:eastAsia="en-US"/>
        </w:rPr>
      </w:pPr>
      <w:r w:rsidRPr="00307028">
        <w:rPr>
          <w:rFonts w:eastAsiaTheme="minorHAnsi"/>
          <w:lang w:eastAsia="en-US"/>
        </w:rPr>
        <w:t xml:space="preserve">VARAM (VVD) mobilā lietotne </w:t>
      </w:r>
      <w:r w:rsidRPr="00307028">
        <w:rPr>
          <w:rFonts w:eastAsiaTheme="minorHAnsi"/>
          <w:b/>
          <w:bCs/>
          <w:lang w:eastAsia="en-US"/>
        </w:rPr>
        <w:t>“Vides SOS”</w:t>
      </w:r>
      <w:r w:rsidRPr="00307028">
        <w:rPr>
          <w:rFonts w:eastAsiaTheme="minorHAnsi"/>
          <w:lang w:eastAsia="en-US"/>
        </w:rPr>
        <w:t xml:space="preserve"> izveidota 2015. gadā, </w:t>
      </w:r>
      <w:r w:rsidR="00207464" w:rsidRPr="00307028">
        <w:rPr>
          <w:rFonts w:eastAsiaTheme="minorHAnsi"/>
          <w:lang w:eastAsia="en-US"/>
        </w:rPr>
        <w:t xml:space="preserve">tās </w:t>
      </w:r>
      <w:r w:rsidRPr="00307028">
        <w:rPr>
          <w:rFonts w:eastAsiaTheme="minorHAnsi"/>
          <w:lang w:eastAsia="en-US"/>
        </w:rPr>
        <w:t xml:space="preserve">izveides izmaksas </w:t>
      </w:r>
      <w:r w:rsidR="00207464" w:rsidRPr="00307028">
        <w:rPr>
          <w:rFonts w:eastAsiaTheme="minorHAnsi"/>
          <w:lang w:eastAsia="en-US"/>
        </w:rPr>
        <w:t xml:space="preserve">bija </w:t>
      </w:r>
      <w:r w:rsidRPr="00307028">
        <w:rPr>
          <w:rFonts w:eastAsiaTheme="minorHAnsi"/>
          <w:lang w:eastAsia="en-US"/>
        </w:rPr>
        <w:t>10,7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 bijušas 10,6 tūkst. </w:t>
      </w:r>
      <w:r w:rsidRPr="00307028">
        <w:rPr>
          <w:rFonts w:eastAsiaTheme="minorHAnsi"/>
          <w:i/>
          <w:iCs/>
          <w:lang w:eastAsia="en-US"/>
        </w:rPr>
        <w:t>euro</w:t>
      </w:r>
      <w:r w:rsidRPr="00307028">
        <w:rPr>
          <w:rFonts w:eastAsiaTheme="minorHAnsi"/>
          <w:lang w:eastAsia="en-US"/>
        </w:rPr>
        <w:t xml:space="preserve">, kas iekļāva būtiskas izmaiņas – pārstrādāta arhitektūra, lai nodrošinātu pielāgošanos jaunākām </w:t>
      </w:r>
      <w:r w:rsidRPr="00307028">
        <w:rPr>
          <w:rFonts w:eastAsiaTheme="minorHAnsi"/>
          <w:i/>
          <w:iCs/>
          <w:lang w:eastAsia="en-US"/>
        </w:rPr>
        <w:t>Android</w:t>
      </w:r>
      <w:r w:rsidRPr="00307028">
        <w:rPr>
          <w:rFonts w:eastAsiaTheme="minorHAnsi"/>
          <w:lang w:eastAsia="en-US"/>
        </w:rPr>
        <w:t xml:space="preserve"> un </w:t>
      </w:r>
      <w:r w:rsidRPr="00307028">
        <w:rPr>
          <w:rFonts w:eastAsiaTheme="minorHAnsi"/>
          <w:i/>
          <w:iCs/>
          <w:lang w:eastAsia="en-US"/>
        </w:rPr>
        <w:t>iOS</w:t>
      </w:r>
      <w:r w:rsidRPr="00307028">
        <w:rPr>
          <w:rFonts w:eastAsiaTheme="minorHAnsi"/>
          <w:lang w:eastAsia="en-US"/>
        </w:rPr>
        <w:t xml:space="preserve"> operētājsistēmu versijām, </w:t>
      </w:r>
      <w:r w:rsidR="00207464" w:rsidRPr="00307028">
        <w:rPr>
          <w:rFonts w:eastAsiaTheme="minorHAnsi"/>
          <w:lang w:eastAsia="en-US"/>
        </w:rPr>
        <w:t xml:space="preserve">kā arī </w:t>
      </w:r>
      <w:r w:rsidRPr="00307028">
        <w:rPr>
          <w:rFonts w:eastAsiaTheme="minorHAnsi"/>
          <w:lang w:eastAsia="en-US"/>
        </w:rPr>
        <w:t xml:space="preserve">izstrādāts lietotāju administrēšanas modulis. Mobilā lietotne paredzēta sabiedrības iesaistei vides tīrībā – izmatojot mobilo lietotni, iespējams informēt par pārkāpumiem pret vidi. Mobilā lietotne tiek izmantota ne tikai, lai VVD saņemtu ziņojumus par vides pārkāpumiem savas kompetences jomā, bet arī lai saņemtu ziņojumus un nodotu tos pašvaldībām, Latvijas valsts mežiem, DAP un citām iestādēm to kompetenču un atbildības ietvaros. Iestādes personīgais mobilās lietotnes efektivitātes novērtējums ir 100%. </w:t>
      </w:r>
      <w:bookmarkStart w:id="135" w:name="_Hlk138857937"/>
      <w:r w:rsidRPr="00307028">
        <w:rPr>
          <w:rFonts w:eastAsiaTheme="minorHAnsi"/>
          <w:lang w:eastAsia="en-US"/>
        </w:rPr>
        <w:t>2022. gadā mobilajai lietotnei bijuši 4,5 tūkst. lietotāju, attiecīgi uzturēšanas izmaksas uz vienu lietotāju bija 2,34 </w:t>
      </w:r>
      <w:r w:rsidRPr="00307028">
        <w:rPr>
          <w:rFonts w:eastAsiaTheme="minorHAnsi"/>
          <w:i/>
          <w:iCs/>
          <w:lang w:eastAsia="en-US"/>
        </w:rPr>
        <w:t>euro</w:t>
      </w:r>
      <w:r w:rsidRPr="00307028">
        <w:rPr>
          <w:rFonts w:eastAsiaTheme="minorHAnsi"/>
          <w:lang w:eastAsia="en-US"/>
        </w:rPr>
        <w:t>.</w:t>
      </w:r>
      <w:bookmarkEnd w:id="135"/>
      <w:r w:rsidRPr="00307028">
        <w:rPr>
          <w:rFonts w:eastAsiaTheme="minorHAnsi"/>
          <w:lang w:eastAsia="en-US"/>
        </w:rPr>
        <w:t xml:space="preserve"> VARAM norāda, ka vairākas valsts iestādes, piemēram, PVD, ir izrādījušas ieinteresētību mobilās lietotnes izmantošanā, lai saņemtu ziņojumus savu kompetenču ietvaros. </w:t>
      </w:r>
    </w:p>
    <w:p w14:paraId="48F73400" w14:textId="2B47B26F" w:rsidR="0016333F" w:rsidRPr="00307028" w:rsidRDefault="0016333F" w:rsidP="00427388">
      <w:pPr>
        <w:spacing w:before="120" w:after="120" w:line="259" w:lineRule="auto"/>
        <w:ind w:firstLine="709"/>
        <w:jc w:val="both"/>
        <w:rPr>
          <w:rFonts w:eastAsiaTheme="minorHAnsi"/>
          <w:lang w:eastAsia="en-US"/>
        </w:rPr>
      </w:pPr>
      <w:r w:rsidRPr="00307028">
        <w:rPr>
          <w:rFonts w:eastAsiaTheme="minorHAnsi"/>
          <w:lang w:eastAsia="en-US"/>
        </w:rPr>
        <w:t>VVD 2022. gadā ir saņēmis vairāk nekā 8,0 tūkst. ziņojumus, kas ir par aptuveni 17% vairāk nekā 2021. gadā. Kopumā iedzīvotāji par dažādiem vides pārkāpumiem ziņojuši zvanot uz “Vides SOS” tālruni 3,4 tūkst. reizes, “Vides SOS” mobilajā lietotnē ziņojot 4,2 tūkst. reizes, bet sūtot e-pasta vēstules 570 reizes. “Vides SOS” mobilo lietotni iedzīvotāji visbiežāk izmanto, lai ziņotu par vidē izmestiem atkritumiem. Saņemtie ziņojumi par atkritumiem vidē nodoti risināšanai atbildīgajām institūcijām.</w:t>
      </w:r>
      <w:r w:rsidRPr="00307028">
        <w:rPr>
          <w:rFonts w:eastAsiaTheme="minorHAnsi"/>
          <w:vertAlign w:val="superscript"/>
          <w:lang w:eastAsia="en-US"/>
        </w:rPr>
        <w:footnoteReference w:id="24"/>
      </w:r>
    </w:p>
    <w:p w14:paraId="2BB458F1" w14:textId="27188B8D" w:rsidR="00EE71AB" w:rsidRPr="00307028" w:rsidRDefault="0016333F" w:rsidP="00183D1A">
      <w:pPr>
        <w:numPr>
          <w:ilvl w:val="0"/>
          <w:numId w:val="13"/>
        </w:numPr>
        <w:tabs>
          <w:tab w:val="left" w:pos="851"/>
        </w:tabs>
        <w:spacing w:before="120" w:after="120" w:line="259" w:lineRule="auto"/>
        <w:ind w:left="0" w:firstLine="425"/>
        <w:jc w:val="both"/>
        <w:rPr>
          <w:rFonts w:eastAsiaTheme="minorHAnsi"/>
          <w:lang w:eastAsia="en-US"/>
        </w:rPr>
      </w:pPr>
      <w:r w:rsidRPr="00307028">
        <w:rPr>
          <w:rFonts w:eastAsiaTheme="minorHAnsi"/>
          <w:lang w:eastAsia="en-US"/>
        </w:rPr>
        <w:t xml:space="preserve">ZM (LDC) mobilā lietotne </w:t>
      </w:r>
      <w:r w:rsidRPr="00307028">
        <w:rPr>
          <w:rFonts w:eastAsiaTheme="minorHAnsi"/>
          <w:b/>
          <w:bCs/>
          <w:lang w:eastAsia="en-US"/>
        </w:rPr>
        <w:t>“LDC dati”</w:t>
      </w:r>
      <w:r w:rsidRPr="00307028">
        <w:rPr>
          <w:rFonts w:eastAsiaTheme="minorHAnsi"/>
          <w:lang w:eastAsia="en-US"/>
        </w:rPr>
        <w:t xml:space="preserve"> izveidota 2017. gadā. </w:t>
      </w:r>
      <w:r w:rsidR="00207464" w:rsidRPr="00307028">
        <w:rPr>
          <w:rFonts w:eastAsiaTheme="minorHAnsi"/>
          <w:lang w:eastAsia="en-US"/>
        </w:rPr>
        <w:t>Tās i</w:t>
      </w:r>
      <w:r w:rsidRPr="00307028">
        <w:rPr>
          <w:rFonts w:eastAsiaTheme="minorHAnsi"/>
          <w:lang w:eastAsia="en-US"/>
        </w:rPr>
        <w:t>zveides izmaksas</w:t>
      </w:r>
      <w:r w:rsidR="00207464" w:rsidRPr="00307028">
        <w:rPr>
          <w:rFonts w:eastAsiaTheme="minorHAnsi"/>
          <w:lang w:eastAsia="en-US"/>
        </w:rPr>
        <w:t xml:space="preserve"> bija </w:t>
      </w:r>
      <w:r w:rsidRPr="00307028">
        <w:rPr>
          <w:rFonts w:eastAsiaTheme="minorHAnsi"/>
          <w:lang w:eastAsia="en-US"/>
        </w:rPr>
        <w:t>9,5 tūkst. </w:t>
      </w:r>
      <w:r w:rsidRPr="00307028">
        <w:rPr>
          <w:rFonts w:eastAsiaTheme="minorHAnsi"/>
          <w:i/>
          <w:iCs/>
          <w:lang w:eastAsia="en-US"/>
        </w:rPr>
        <w:t>euro</w:t>
      </w:r>
      <w:r w:rsidRPr="00307028">
        <w:rPr>
          <w:rFonts w:eastAsiaTheme="minorHAnsi"/>
          <w:lang w:eastAsia="en-US"/>
        </w:rPr>
        <w:t xml:space="preserve">, </w:t>
      </w:r>
      <w:r w:rsidR="00207464" w:rsidRPr="00307028">
        <w:rPr>
          <w:rFonts w:eastAsiaTheme="minorHAnsi"/>
          <w:lang w:eastAsia="en-US"/>
        </w:rPr>
        <w:t xml:space="preserve">bet </w:t>
      </w:r>
      <w:r w:rsidRPr="00307028">
        <w:rPr>
          <w:rFonts w:eastAsiaTheme="minorHAnsi"/>
          <w:lang w:eastAsia="en-US"/>
        </w:rPr>
        <w:t>uzturēšanas izmaksas 2022. gadā nav bijušas, jo balstoties uz programmatūras dzīves ciklu, 2022. gadā nebija paredzēti uzturēšanas darbi un nebija nepieciešamības veikt izmaiņas. Mobilajā lietotnē iespējams atlasīt datus par individuāli apzīmētiem un reģistrētiem lauksaimniecības dzīvniekiem un mājas (istabas) dzīvniekiem. Veterinārārstiem mobilajā lietotnē iespējams reģistrēt informāciju par mājas (istabas) dzīvniekiem. Iestādes personīgais mobilās lietotnes efektivitātes novērtējums ir 100%.</w:t>
      </w:r>
      <w:bookmarkStart w:id="136" w:name="_Hlk138858323"/>
      <w:bookmarkStart w:id="137" w:name="_Hlk136939714"/>
      <w:bookmarkStart w:id="138" w:name="_Hlk138858178"/>
    </w:p>
    <w:p w14:paraId="50CD3F5E" w14:textId="68EB3825" w:rsidR="00EE71AB" w:rsidRPr="00307028" w:rsidRDefault="00EE71AB" w:rsidP="00183D1A">
      <w:pPr>
        <w:numPr>
          <w:ilvl w:val="0"/>
          <w:numId w:val="13"/>
        </w:numPr>
        <w:tabs>
          <w:tab w:val="left" w:pos="851"/>
        </w:tabs>
        <w:spacing w:before="120" w:after="120" w:line="259" w:lineRule="auto"/>
        <w:ind w:left="0" w:firstLine="425"/>
        <w:jc w:val="both"/>
        <w:rPr>
          <w:rFonts w:eastAsiaTheme="minorHAnsi"/>
          <w:lang w:eastAsia="en-US"/>
        </w:rPr>
      </w:pPr>
      <w:r w:rsidRPr="00307028">
        <w:t xml:space="preserve">KNAB mobilā lietotne </w:t>
      </w:r>
      <w:r w:rsidRPr="00307028">
        <w:rPr>
          <w:b/>
          <w:bCs/>
        </w:rPr>
        <w:t>“Ziņo KNAB”</w:t>
      </w:r>
      <w:r w:rsidRPr="00307028">
        <w:t xml:space="preserve"> </w:t>
      </w:r>
      <w:bookmarkEnd w:id="136"/>
      <w:r w:rsidRPr="00307028">
        <w:t xml:space="preserve">izveidota 2018. gadā. </w:t>
      </w:r>
      <w:r w:rsidR="00207464" w:rsidRPr="00307028">
        <w:t>Tās i</w:t>
      </w:r>
      <w:r w:rsidRPr="00307028">
        <w:t xml:space="preserve">zveides izmaksas </w:t>
      </w:r>
      <w:r w:rsidR="00207464" w:rsidRPr="00307028">
        <w:t xml:space="preserve">bija </w:t>
      </w:r>
      <w:r w:rsidRPr="00307028">
        <w:t>7,2 tūkst. </w:t>
      </w:r>
      <w:r w:rsidRPr="00307028">
        <w:rPr>
          <w:i/>
          <w:iCs/>
        </w:rPr>
        <w:t>euro</w:t>
      </w:r>
      <w:r w:rsidRPr="00307028">
        <w:t xml:space="preserve">, </w:t>
      </w:r>
      <w:r w:rsidR="00207464" w:rsidRPr="00307028">
        <w:t xml:space="preserve">bet </w:t>
      </w:r>
      <w:r w:rsidRPr="00307028">
        <w:t>uzturēšanas izmaksas 2022. gadā bijušas 1,1 tūkst. </w:t>
      </w:r>
      <w:r w:rsidRPr="00307028">
        <w:rPr>
          <w:i/>
          <w:iCs/>
        </w:rPr>
        <w:t>euro</w:t>
      </w:r>
      <w:r w:rsidRPr="00307028">
        <w:t xml:space="preserve">. Mobilā lietotne nodrošina iespēju iedzīvotājiem anonīmā veidā aizpildīt ziņojuma formu par iespējamiem pārkāpumiem un noziedzīgiem nodarījumiem, kuru izmeklēšana ir KNAB kompetencē. Ziņojumam iespējams pievienot foto, video, atrašanās vietu vai notikumu aprakstu. Vidēji katrs desmitais KNAB saņemtais ziņojums ir iesniegts, izmantojot mobilo lietotni. </w:t>
      </w:r>
      <w:bookmarkStart w:id="139" w:name="_Hlk138857946"/>
      <w:r w:rsidRPr="00307028">
        <w:t>2022. gadā mobilajai lietotnei bijuši 198 lietotāji, attiecīgi uzturēšanas izmaksas uz vienu lietotāju bija 5,5 </w:t>
      </w:r>
      <w:r w:rsidRPr="00307028">
        <w:rPr>
          <w:i/>
          <w:iCs/>
        </w:rPr>
        <w:t>euro</w:t>
      </w:r>
      <w:r w:rsidRPr="00307028">
        <w:t xml:space="preserve">. Iestādes </w:t>
      </w:r>
      <w:bookmarkEnd w:id="139"/>
      <w:r w:rsidRPr="00307028">
        <w:t xml:space="preserve">personīgais mobilās lietotnes efektivitātes novērtējums ir 80%. </w:t>
      </w:r>
    </w:p>
    <w:p w14:paraId="6D04D35C" w14:textId="1571733F" w:rsidR="00EE71AB" w:rsidRPr="00307028" w:rsidRDefault="00EE71AB" w:rsidP="00427388">
      <w:pPr>
        <w:spacing w:before="120" w:after="120" w:line="259" w:lineRule="auto"/>
        <w:ind w:firstLine="709"/>
        <w:jc w:val="both"/>
      </w:pPr>
      <w:r w:rsidRPr="00307028">
        <w:lastRenderedPageBreak/>
        <w:t xml:space="preserve">Mobilā lietotne “Ziņo KNAB” nodrošina </w:t>
      </w:r>
      <w:r w:rsidR="00207464" w:rsidRPr="00307028">
        <w:t xml:space="preserve">iespēju </w:t>
      </w:r>
      <w:r w:rsidRPr="00307028">
        <w:t>vienkāršotā veidā iesniegt pārkāpuma ziņojumu, bet nedod ziņotājam atgriezenisko saiti. Tāpat līdzšinējā mobilajā lietotnē nav nodrošināta iespēja KNAB darbiniekam, kas strādā ar iesūtīto informāciju, sazināties ar ziņotāju, ja tas izvēlējies iesniegt ziņojumu anonīmi</w:t>
      </w:r>
      <w:r w:rsidR="00207464" w:rsidRPr="00307028">
        <w:t xml:space="preserve"> </w:t>
      </w:r>
      <w:r w:rsidR="00207464" w:rsidRPr="00307028">
        <w:rPr>
          <w:rFonts w:asciiTheme="minorHAnsi" w:eastAsiaTheme="minorHAnsi" w:hAnsiTheme="minorHAnsi" w:cstheme="minorBidi"/>
          <w:sz w:val="22"/>
          <w:szCs w:val="22"/>
          <w:lang w:eastAsia="en-US"/>
        </w:rPr>
        <w:t xml:space="preserve">– </w:t>
      </w:r>
      <w:r w:rsidRPr="00307028">
        <w:t>tātad</w:t>
      </w:r>
      <w:r w:rsidR="00207464" w:rsidRPr="00307028">
        <w:t xml:space="preserve"> </w:t>
      </w:r>
      <w:r w:rsidRPr="00307028">
        <w:t xml:space="preserve">nav iespējams iegūt papildu informāciju. Ņemot vērā ziņošanas lielo nozīmi korupcijas apkarošanā, iedzīvotāju attieksmi pret ziņošanu, tai skaitā anonīmi, kā arī izvērtējot citu OECD dalībvalstu pieredzi ziņošanas platformu ieviešanā, KNAB 2020. gadā noslēdza līgumu par projekta “Atbalsts trauksmes celšanas sistēmas izveidei Latvijā” īstenošanu. Projektu līdzfinansē EEZ grantu programma. </w:t>
      </w:r>
    </w:p>
    <w:p w14:paraId="5E9811F6" w14:textId="77777777" w:rsidR="00CA4EB3" w:rsidRPr="00307028" w:rsidRDefault="00EE71AB" w:rsidP="00427388">
      <w:pPr>
        <w:spacing w:before="120" w:after="120" w:line="259" w:lineRule="auto"/>
        <w:ind w:firstLine="709"/>
        <w:jc w:val="both"/>
      </w:pPr>
      <w:r w:rsidRPr="00307028">
        <w:t xml:space="preserve">Galvenā projektā paredzētā aktivitāte ir jaunas, ērtas un funkcionālas tiešsaistes ziņošanas platformas izveide, nodrošinot iedzīvotājiem iespēju ērtā veidā iesniegt gan trauksmes cēlēja ziņojumu, gan ziņojumu par iespējamu koruptīvu nodarījumu, interešu konflikta situāciju un citiem pārkāpumiem, kuru izmeklēšana ir KNAB kompetencē. Platforma būtiski paplašinās esošās KNAB mobilās lietotnes iespējas un funkcionalitāti – turpmāk iedzīvotājiem būs piedāvāta iespēja platformā iesniegt trauksmes cēlēja ziņojumu, kā arī iesniegt pārkāpuma ziņojumu gan sevi identificējošā, gan anonīmā veidā, vienlaikus abos gadījumos saglabājot iespējamību līdz noteiktai iesniegtās informācijas izskatīšanas stadijai sekot līdzi ziņojuma virzībai. Tāpat abos gadījumos tiks nodrošināta atgriezeniskās saites iespējamība starp KNAB un ziņojuma iesniedzēju. Tā kā ziņošanas platformas funkcionalitāte ir daudz plašāka un tai paredzēta mobilā lietotnes versija, pieņemts lēmums esošo lietotni aizstāt ar platformas mobilās lietotnes versiju. Tiešsaistes ziņošanas platforma, tostarp tās mobilās lietotnes versija, ir izstrādāta un sabiedrībai tiks prezentēta šī gada augusta beigās/septembra sākumā, tostarp paredzot plašus un daudzveidīgus sabiedrības informēšanas pasākumus. </w:t>
      </w:r>
      <w:bookmarkEnd w:id="137"/>
    </w:p>
    <w:p w14:paraId="37FABEF3" w14:textId="5B5060BA" w:rsidR="0016333F" w:rsidRPr="00307028" w:rsidRDefault="0016333F" w:rsidP="00017993">
      <w:pPr>
        <w:pStyle w:val="ListParagraph"/>
        <w:numPr>
          <w:ilvl w:val="0"/>
          <w:numId w:val="13"/>
        </w:numPr>
        <w:tabs>
          <w:tab w:val="left" w:pos="851"/>
        </w:tabs>
        <w:spacing w:before="120" w:after="120" w:line="259" w:lineRule="auto"/>
        <w:ind w:left="0" w:firstLine="426"/>
        <w:contextualSpacing w:val="0"/>
        <w:jc w:val="both"/>
      </w:pPr>
      <w:r w:rsidRPr="00307028">
        <w:rPr>
          <w:rFonts w:eastAsiaTheme="minorHAnsi"/>
          <w:lang w:eastAsia="en-US"/>
        </w:rPr>
        <w:t xml:space="preserve">IZM (LVA) mobilā lietotne </w:t>
      </w:r>
      <w:r w:rsidRPr="00307028">
        <w:rPr>
          <w:rFonts w:eastAsiaTheme="minorHAnsi"/>
          <w:b/>
          <w:bCs/>
          <w:lang w:eastAsia="en-US"/>
        </w:rPr>
        <w:t>“Lociņš”</w:t>
      </w:r>
      <w:r w:rsidRPr="00307028">
        <w:rPr>
          <w:rFonts w:eastAsiaTheme="minorHAnsi"/>
          <w:lang w:eastAsia="en-US"/>
        </w:rPr>
        <w:t xml:space="preserve"> </w:t>
      </w:r>
      <w:bookmarkEnd w:id="138"/>
      <w:r w:rsidRPr="00307028">
        <w:rPr>
          <w:rFonts w:eastAsiaTheme="minorHAnsi"/>
          <w:lang w:eastAsia="en-US"/>
        </w:rPr>
        <w:t xml:space="preserve">izveidota 2015. gadā. </w:t>
      </w:r>
      <w:r w:rsidR="009C7547" w:rsidRPr="00307028">
        <w:rPr>
          <w:rFonts w:eastAsiaTheme="minorHAnsi"/>
          <w:lang w:eastAsia="en-US"/>
        </w:rPr>
        <w:t>Tās i</w:t>
      </w:r>
      <w:r w:rsidRPr="00307028">
        <w:rPr>
          <w:rFonts w:eastAsiaTheme="minorHAnsi"/>
          <w:lang w:eastAsia="en-US"/>
        </w:rPr>
        <w:t xml:space="preserve">zveides izmaksas </w:t>
      </w:r>
      <w:r w:rsidR="009C7547" w:rsidRPr="00307028">
        <w:rPr>
          <w:rFonts w:eastAsiaTheme="minorHAnsi"/>
          <w:lang w:eastAsia="en-US"/>
        </w:rPr>
        <w:t xml:space="preserve">bija </w:t>
      </w:r>
      <w:r w:rsidRPr="00307028">
        <w:rPr>
          <w:rFonts w:eastAsiaTheme="minorHAnsi"/>
          <w:lang w:eastAsia="en-US"/>
        </w:rPr>
        <w:t>3,3 tūkst. </w:t>
      </w:r>
      <w:r w:rsidRPr="00307028">
        <w:rPr>
          <w:rFonts w:eastAsiaTheme="minorHAnsi"/>
          <w:i/>
          <w:iCs/>
          <w:lang w:eastAsia="en-US"/>
        </w:rPr>
        <w:t>euro</w:t>
      </w:r>
      <w:r w:rsidRPr="00307028">
        <w:rPr>
          <w:rFonts w:eastAsiaTheme="minorHAnsi"/>
          <w:lang w:eastAsia="en-US"/>
        </w:rPr>
        <w:t xml:space="preserve">, </w:t>
      </w:r>
      <w:r w:rsidR="009C7547" w:rsidRPr="00307028">
        <w:rPr>
          <w:rFonts w:eastAsiaTheme="minorHAnsi"/>
          <w:lang w:eastAsia="en-US"/>
        </w:rPr>
        <w:t xml:space="preserve">bet </w:t>
      </w:r>
      <w:r w:rsidRPr="00307028">
        <w:rPr>
          <w:rFonts w:eastAsiaTheme="minorHAnsi"/>
          <w:lang w:eastAsia="en-US"/>
        </w:rPr>
        <w:t>uzturēšanas izmaksas 2022. gadā bijušas 2,6 tūkst. </w:t>
      </w:r>
      <w:r w:rsidRPr="00307028">
        <w:rPr>
          <w:rFonts w:eastAsiaTheme="minorHAnsi"/>
          <w:i/>
          <w:iCs/>
          <w:lang w:eastAsia="en-US"/>
        </w:rPr>
        <w:t>euro</w:t>
      </w:r>
      <w:r w:rsidRPr="00307028">
        <w:rPr>
          <w:rFonts w:eastAsiaTheme="minorHAnsi"/>
          <w:lang w:eastAsia="en-US"/>
        </w:rPr>
        <w:t xml:space="preserve">, kas iekļāva mobilās lietotnes tehnisko atjaunošanu un izvietošanu platformās. Mobilā lietotne nodrošina vingrinājumus latviešu valodas darbības vārdu apguvei. </w:t>
      </w:r>
      <w:r w:rsidR="00455440" w:rsidRPr="00307028">
        <w:rPr>
          <w:rFonts w:eastAsiaTheme="minorHAnsi"/>
          <w:lang w:eastAsia="en-US"/>
        </w:rPr>
        <w:t>I</w:t>
      </w:r>
      <w:r w:rsidRPr="00307028">
        <w:rPr>
          <w:rFonts w:eastAsiaTheme="minorHAnsi"/>
          <w:lang w:eastAsia="en-US"/>
        </w:rPr>
        <w:t xml:space="preserve">kviens var vingrināties latviešu valodas darbības vārdu formveidē un lietošanā – izvēlēties atbilstošo darbības vārda formu, savienot teikuma daļas, salikt teikumu no dotajām vārdformām u.tml. Vingrinājumos izmantoti vairāk nekā 180 latviešu valodas darbības vārdu. Iestādes personīgais mobilās lietotnes efektivitātes novērtējums ir 100%. Mobilajai lietotnei </w:t>
      </w:r>
      <w:r w:rsidR="009C7547" w:rsidRPr="00307028">
        <w:rPr>
          <w:rFonts w:eastAsiaTheme="minorHAnsi"/>
          <w:lang w:eastAsia="en-US"/>
        </w:rPr>
        <w:t xml:space="preserve">tuvāko gadu laikā </w:t>
      </w:r>
      <w:r w:rsidRPr="00307028">
        <w:rPr>
          <w:rFonts w:eastAsiaTheme="minorHAnsi"/>
          <w:lang w:eastAsia="en-US"/>
        </w:rPr>
        <w:t>nav plānoti optimizācijas pasākumi.</w:t>
      </w:r>
    </w:p>
    <w:p w14:paraId="297C319E" w14:textId="1A250FB2" w:rsidR="0016333F" w:rsidRPr="00307028" w:rsidRDefault="0016333F" w:rsidP="0016333F">
      <w:pPr>
        <w:spacing w:after="160" w:line="259" w:lineRule="auto"/>
        <w:ind w:firstLine="709"/>
        <w:jc w:val="both"/>
        <w:rPr>
          <w:rFonts w:eastAsiaTheme="minorHAnsi"/>
          <w:u w:val="single"/>
          <w:lang w:eastAsia="en-US"/>
        </w:rPr>
      </w:pPr>
      <w:r w:rsidRPr="00307028">
        <w:rPr>
          <w:rFonts w:eastAsiaTheme="minorHAnsi"/>
          <w:u w:val="single"/>
          <w:lang w:eastAsia="en-US"/>
        </w:rPr>
        <w:t>Mobilās lietotnes, kas saņemtas bez maksas</w:t>
      </w:r>
    </w:p>
    <w:p w14:paraId="1C883CDD" w14:textId="392C920B" w:rsidR="0016333F" w:rsidRPr="00307028" w:rsidRDefault="0016333F" w:rsidP="0016333F">
      <w:pPr>
        <w:spacing w:after="160" w:line="259" w:lineRule="auto"/>
        <w:ind w:firstLine="720"/>
        <w:jc w:val="both"/>
        <w:rPr>
          <w:rFonts w:eastAsiaTheme="minorHAnsi"/>
          <w:lang w:eastAsia="en-US"/>
        </w:rPr>
      </w:pPr>
      <w:r w:rsidRPr="00307028">
        <w:rPr>
          <w:rFonts w:eastAsiaTheme="minorHAnsi"/>
          <w:lang w:eastAsia="en-US"/>
        </w:rPr>
        <w:t>Tabulā Nr. 2.4.1.2. apkopotas tās mobilās lietotnes, k</w:t>
      </w:r>
      <w:r w:rsidR="00D165C8" w:rsidRPr="00307028">
        <w:rPr>
          <w:rFonts w:eastAsiaTheme="minorHAnsi"/>
          <w:lang w:eastAsia="en-US"/>
        </w:rPr>
        <w:t>o</w:t>
      </w:r>
      <w:r w:rsidRPr="00307028">
        <w:rPr>
          <w:rFonts w:eastAsiaTheme="minorHAnsi"/>
          <w:lang w:eastAsia="en-US"/>
        </w:rPr>
        <w:t xml:space="preserve"> iestādes saņēmušas bez maksas, to 2022. gada uzturēšanas izmaksas, kā arī iestādes personīgais mobilās efektivitātes novērtējums. </w:t>
      </w:r>
    </w:p>
    <w:p w14:paraId="3193A22F" w14:textId="62A429ED" w:rsidR="0016333F" w:rsidRPr="00307028" w:rsidRDefault="0016333F" w:rsidP="00EC4BFE">
      <w:pPr>
        <w:spacing w:after="120" w:line="259" w:lineRule="auto"/>
        <w:jc w:val="center"/>
        <w:rPr>
          <w:rFonts w:eastAsiaTheme="minorHAnsi"/>
          <w:b/>
          <w:bCs/>
          <w:sz w:val="22"/>
          <w:szCs w:val="22"/>
          <w:lang w:eastAsia="en-US"/>
        </w:rPr>
      </w:pPr>
      <w:r w:rsidRPr="00307028">
        <w:rPr>
          <w:rFonts w:eastAsiaTheme="minorHAnsi"/>
          <w:b/>
          <w:bCs/>
          <w:i/>
          <w:iCs/>
          <w:sz w:val="22"/>
          <w:szCs w:val="22"/>
          <w:lang w:eastAsia="en-US"/>
        </w:rPr>
        <w:t>2.4.1.2. tabula</w:t>
      </w:r>
      <w:r w:rsidRPr="00307028">
        <w:rPr>
          <w:rFonts w:eastAsiaTheme="minorHAnsi"/>
          <w:b/>
          <w:bCs/>
          <w:sz w:val="22"/>
          <w:szCs w:val="22"/>
          <w:lang w:eastAsia="en-US"/>
        </w:rPr>
        <w:t xml:space="preserve"> </w:t>
      </w:r>
      <w:r w:rsidR="0047340D" w:rsidRPr="00307028">
        <w:rPr>
          <w:rFonts w:eastAsiaTheme="minorHAnsi"/>
          <w:b/>
          <w:bCs/>
          <w:sz w:val="22"/>
          <w:szCs w:val="22"/>
          <w:lang w:eastAsia="en-US"/>
        </w:rPr>
        <w:t xml:space="preserve">Mobilo </w:t>
      </w:r>
      <w:r w:rsidRPr="00307028">
        <w:rPr>
          <w:rFonts w:eastAsiaTheme="minorHAnsi"/>
          <w:b/>
          <w:bCs/>
          <w:sz w:val="22"/>
          <w:szCs w:val="22"/>
          <w:lang w:eastAsia="en-US"/>
        </w:rPr>
        <w:t>lietot</w:t>
      </w:r>
      <w:r w:rsidR="0047340D" w:rsidRPr="00307028">
        <w:rPr>
          <w:rFonts w:eastAsiaTheme="minorHAnsi"/>
          <w:b/>
          <w:bCs/>
          <w:sz w:val="22"/>
          <w:szCs w:val="22"/>
          <w:lang w:eastAsia="en-US"/>
        </w:rPr>
        <w:t>ņu</w:t>
      </w:r>
      <w:r w:rsidRPr="00307028">
        <w:rPr>
          <w:rFonts w:eastAsiaTheme="minorHAnsi"/>
          <w:b/>
          <w:bCs/>
          <w:sz w:val="22"/>
          <w:szCs w:val="22"/>
          <w:lang w:eastAsia="en-US"/>
        </w:rPr>
        <w:t>, kuras iestādes saņēmušas bez maksas</w:t>
      </w:r>
      <w:r w:rsidR="00455440" w:rsidRPr="00307028">
        <w:rPr>
          <w:rFonts w:eastAsiaTheme="minorHAnsi"/>
          <w:b/>
          <w:bCs/>
          <w:sz w:val="22"/>
          <w:szCs w:val="22"/>
          <w:lang w:eastAsia="en-US"/>
        </w:rPr>
        <w:t xml:space="preserve">, </w:t>
      </w:r>
      <w:r w:rsidR="0047340D" w:rsidRPr="00307028">
        <w:rPr>
          <w:rFonts w:eastAsiaTheme="minorHAnsi"/>
          <w:b/>
          <w:bCs/>
          <w:sz w:val="22"/>
          <w:szCs w:val="22"/>
          <w:lang w:eastAsia="en-US"/>
        </w:rPr>
        <w:t xml:space="preserve">2022. gada </w:t>
      </w:r>
      <w:r w:rsidR="00455440" w:rsidRPr="00307028">
        <w:rPr>
          <w:rFonts w:eastAsiaTheme="minorHAnsi"/>
          <w:b/>
          <w:bCs/>
          <w:sz w:val="22"/>
          <w:szCs w:val="22"/>
          <w:lang w:eastAsia="en-US"/>
        </w:rPr>
        <w:t>uzturēšanas izmaksas un iestādes personīgais mobilās lietotnes efektivitātes novērtējums (%)</w:t>
      </w:r>
    </w:p>
    <w:tbl>
      <w:tblPr>
        <w:tblStyle w:val="TableGridLight"/>
        <w:tblW w:w="9072" w:type="dxa"/>
        <w:tblInd w:w="-5" w:type="dxa"/>
        <w:tblLook w:val="04A0" w:firstRow="1" w:lastRow="0" w:firstColumn="1" w:lastColumn="0" w:noHBand="0" w:noVBand="1"/>
      </w:tblPr>
      <w:tblGrid>
        <w:gridCol w:w="542"/>
        <w:gridCol w:w="1214"/>
        <w:gridCol w:w="938"/>
        <w:gridCol w:w="1984"/>
        <w:gridCol w:w="1701"/>
        <w:gridCol w:w="2693"/>
      </w:tblGrid>
      <w:tr w:rsidR="0016333F" w:rsidRPr="00307028" w14:paraId="61D825DD" w14:textId="77777777" w:rsidTr="0017150F">
        <w:tc>
          <w:tcPr>
            <w:tcW w:w="542" w:type="dxa"/>
            <w:shd w:val="clear" w:color="auto" w:fill="85C2E0"/>
            <w:vAlign w:val="center"/>
          </w:tcPr>
          <w:p w14:paraId="07C1ABE3" w14:textId="77777777" w:rsidR="0016333F" w:rsidRPr="0017150F" w:rsidRDefault="0016333F" w:rsidP="0016333F">
            <w:pPr>
              <w:rPr>
                <w:rFonts w:eastAsiaTheme="minorHAnsi"/>
                <w:b/>
                <w:bCs/>
                <w:sz w:val="18"/>
                <w:szCs w:val="18"/>
                <w:lang w:eastAsia="en-US"/>
              </w:rPr>
            </w:pPr>
            <w:r w:rsidRPr="0017150F">
              <w:rPr>
                <w:rFonts w:eastAsiaTheme="minorHAnsi"/>
                <w:b/>
                <w:bCs/>
                <w:sz w:val="18"/>
                <w:szCs w:val="18"/>
                <w:lang w:eastAsia="en-US"/>
              </w:rPr>
              <w:t>Nr.</w:t>
            </w:r>
          </w:p>
        </w:tc>
        <w:tc>
          <w:tcPr>
            <w:tcW w:w="1214" w:type="dxa"/>
            <w:shd w:val="clear" w:color="auto" w:fill="85C2E0"/>
            <w:vAlign w:val="center"/>
          </w:tcPr>
          <w:p w14:paraId="2BEBC988"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Ministrija</w:t>
            </w:r>
          </w:p>
        </w:tc>
        <w:tc>
          <w:tcPr>
            <w:tcW w:w="938" w:type="dxa"/>
            <w:shd w:val="clear" w:color="auto" w:fill="85C2E0"/>
            <w:vAlign w:val="center"/>
          </w:tcPr>
          <w:p w14:paraId="0F9F2460"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Iestāde</w:t>
            </w:r>
          </w:p>
        </w:tc>
        <w:tc>
          <w:tcPr>
            <w:tcW w:w="1984" w:type="dxa"/>
            <w:shd w:val="clear" w:color="auto" w:fill="85C2E0"/>
            <w:vAlign w:val="center"/>
          </w:tcPr>
          <w:p w14:paraId="674332AA"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Mobilās lietotnes nosaukums</w:t>
            </w:r>
          </w:p>
        </w:tc>
        <w:tc>
          <w:tcPr>
            <w:tcW w:w="1701" w:type="dxa"/>
            <w:shd w:val="clear" w:color="auto" w:fill="85C2E0"/>
            <w:vAlign w:val="center"/>
          </w:tcPr>
          <w:p w14:paraId="17FBA204"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 xml:space="preserve">2022. gada uzturēšanas izmaksas, </w:t>
            </w:r>
            <w:r w:rsidRPr="0017150F">
              <w:rPr>
                <w:rFonts w:eastAsiaTheme="minorHAnsi"/>
                <w:b/>
                <w:bCs/>
                <w:i/>
                <w:iCs/>
                <w:sz w:val="18"/>
                <w:szCs w:val="18"/>
                <w:lang w:eastAsia="en-US"/>
              </w:rPr>
              <w:t>euro</w:t>
            </w:r>
          </w:p>
        </w:tc>
        <w:tc>
          <w:tcPr>
            <w:tcW w:w="2693" w:type="dxa"/>
            <w:shd w:val="clear" w:color="auto" w:fill="85C2E0"/>
            <w:vAlign w:val="center"/>
          </w:tcPr>
          <w:p w14:paraId="2B832967"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 xml:space="preserve">Iestādes personīgais mobilās lietotnes efektivitātes novērtējums </w:t>
            </w:r>
          </w:p>
        </w:tc>
      </w:tr>
      <w:tr w:rsidR="0016333F" w:rsidRPr="00307028" w14:paraId="7316AF6E" w14:textId="77777777" w:rsidTr="004D739B">
        <w:tc>
          <w:tcPr>
            <w:tcW w:w="542" w:type="dxa"/>
            <w:shd w:val="clear" w:color="auto" w:fill="auto"/>
          </w:tcPr>
          <w:p w14:paraId="3C317A22" w14:textId="77777777" w:rsidR="0016333F" w:rsidRPr="0017150F" w:rsidRDefault="0016333F" w:rsidP="0016333F">
            <w:pPr>
              <w:jc w:val="center"/>
              <w:rPr>
                <w:rFonts w:eastAsiaTheme="minorHAnsi"/>
                <w:sz w:val="20"/>
                <w:szCs w:val="20"/>
                <w:lang w:eastAsia="en-US"/>
              </w:rPr>
            </w:pPr>
            <w:r w:rsidRPr="0017150F">
              <w:rPr>
                <w:rFonts w:eastAsiaTheme="minorHAnsi"/>
                <w:sz w:val="20"/>
                <w:szCs w:val="20"/>
                <w:lang w:eastAsia="en-US"/>
              </w:rPr>
              <w:t>1.</w:t>
            </w:r>
          </w:p>
        </w:tc>
        <w:tc>
          <w:tcPr>
            <w:tcW w:w="1214" w:type="dxa"/>
            <w:shd w:val="clear" w:color="auto" w:fill="auto"/>
          </w:tcPr>
          <w:p w14:paraId="512744F0"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VM</w:t>
            </w:r>
          </w:p>
        </w:tc>
        <w:tc>
          <w:tcPr>
            <w:tcW w:w="938" w:type="dxa"/>
            <w:shd w:val="clear" w:color="auto" w:fill="auto"/>
          </w:tcPr>
          <w:p w14:paraId="6A8C9C2D"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SPKC</w:t>
            </w:r>
          </w:p>
        </w:tc>
        <w:tc>
          <w:tcPr>
            <w:tcW w:w="1984" w:type="dxa"/>
            <w:shd w:val="clear" w:color="auto" w:fill="auto"/>
          </w:tcPr>
          <w:p w14:paraId="2F506741"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Apturi Covid</w:t>
            </w:r>
          </w:p>
        </w:tc>
        <w:tc>
          <w:tcPr>
            <w:tcW w:w="1701" w:type="dxa"/>
          </w:tcPr>
          <w:p w14:paraId="3A95FA96"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16 200</w:t>
            </w:r>
          </w:p>
        </w:tc>
        <w:tc>
          <w:tcPr>
            <w:tcW w:w="2693" w:type="dxa"/>
          </w:tcPr>
          <w:p w14:paraId="26BB1B65"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75%</w:t>
            </w:r>
          </w:p>
        </w:tc>
      </w:tr>
      <w:tr w:rsidR="0016333F" w:rsidRPr="00307028" w14:paraId="68DD3763" w14:textId="77777777" w:rsidTr="004D739B">
        <w:tc>
          <w:tcPr>
            <w:tcW w:w="542" w:type="dxa"/>
            <w:shd w:val="clear" w:color="auto" w:fill="auto"/>
          </w:tcPr>
          <w:p w14:paraId="48550293" w14:textId="77777777" w:rsidR="0016333F" w:rsidRPr="0017150F" w:rsidRDefault="0016333F" w:rsidP="0016333F">
            <w:pPr>
              <w:jc w:val="center"/>
              <w:rPr>
                <w:rFonts w:eastAsiaTheme="minorHAnsi"/>
                <w:sz w:val="20"/>
                <w:szCs w:val="20"/>
                <w:lang w:eastAsia="en-US"/>
              </w:rPr>
            </w:pPr>
            <w:r w:rsidRPr="0017150F">
              <w:rPr>
                <w:rFonts w:eastAsiaTheme="minorHAnsi"/>
                <w:sz w:val="20"/>
                <w:szCs w:val="20"/>
                <w:lang w:eastAsia="en-US"/>
              </w:rPr>
              <w:t>2.</w:t>
            </w:r>
          </w:p>
        </w:tc>
        <w:tc>
          <w:tcPr>
            <w:tcW w:w="1214" w:type="dxa"/>
            <w:shd w:val="clear" w:color="auto" w:fill="auto"/>
          </w:tcPr>
          <w:p w14:paraId="0050A5BC"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KM</w:t>
            </w:r>
          </w:p>
        </w:tc>
        <w:tc>
          <w:tcPr>
            <w:tcW w:w="938" w:type="dxa"/>
            <w:shd w:val="clear" w:color="auto" w:fill="auto"/>
          </w:tcPr>
          <w:p w14:paraId="30F2D917"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LNMM</w:t>
            </w:r>
          </w:p>
        </w:tc>
        <w:tc>
          <w:tcPr>
            <w:tcW w:w="1984" w:type="dxa"/>
            <w:shd w:val="clear" w:color="auto" w:fill="auto"/>
          </w:tcPr>
          <w:p w14:paraId="6F7F1F3F"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Mākslas muzejs</w:t>
            </w:r>
          </w:p>
        </w:tc>
        <w:tc>
          <w:tcPr>
            <w:tcW w:w="1701" w:type="dxa"/>
          </w:tcPr>
          <w:p w14:paraId="7ADE9E95"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701</w:t>
            </w:r>
          </w:p>
        </w:tc>
        <w:tc>
          <w:tcPr>
            <w:tcW w:w="2693" w:type="dxa"/>
          </w:tcPr>
          <w:p w14:paraId="4976AD25"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100%</w:t>
            </w:r>
          </w:p>
        </w:tc>
      </w:tr>
      <w:tr w:rsidR="0016333F" w:rsidRPr="00307028" w14:paraId="6CAC5C62" w14:textId="77777777" w:rsidTr="004D739B">
        <w:tc>
          <w:tcPr>
            <w:tcW w:w="542" w:type="dxa"/>
            <w:shd w:val="clear" w:color="auto" w:fill="auto"/>
          </w:tcPr>
          <w:p w14:paraId="09A2ADBB" w14:textId="77777777" w:rsidR="0016333F" w:rsidRPr="0017150F" w:rsidRDefault="0016333F" w:rsidP="0016333F">
            <w:pPr>
              <w:jc w:val="center"/>
              <w:rPr>
                <w:rFonts w:eastAsiaTheme="minorHAnsi"/>
                <w:sz w:val="20"/>
                <w:szCs w:val="20"/>
                <w:lang w:eastAsia="en-US"/>
              </w:rPr>
            </w:pPr>
            <w:r w:rsidRPr="0017150F">
              <w:rPr>
                <w:rFonts w:eastAsiaTheme="minorHAnsi"/>
                <w:sz w:val="20"/>
                <w:szCs w:val="20"/>
                <w:lang w:eastAsia="en-US"/>
              </w:rPr>
              <w:t>3.</w:t>
            </w:r>
          </w:p>
        </w:tc>
        <w:tc>
          <w:tcPr>
            <w:tcW w:w="1214" w:type="dxa"/>
            <w:shd w:val="clear" w:color="auto" w:fill="auto"/>
          </w:tcPr>
          <w:p w14:paraId="40EF8D77"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KM</w:t>
            </w:r>
          </w:p>
        </w:tc>
        <w:tc>
          <w:tcPr>
            <w:tcW w:w="938" w:type="dxa"/>
            <w:shd w:val="clear" w:color="auto" w:fill="auto"/>
          </w:tcPr>
          <w:p w14:paraId="4112E05A"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LNKC</w:t>
            </w:r>
          </w:p>
        </w:tc>
        <w:tc>
          <w:tcPr>
            <w:tcW w:w="1984" w:type="dxa"/>
            <w:shd w:val="clear" w:color="auto" w:fill="auto"/>
          </w:tcPr>
          <w:p w14:paraId="0C35B989"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Lakstīgala</w:t>
            </w:r>
          </w:p>
        </w:tc>
        <w:tc>
          <w:tcPr>
            <w:tcW w:w="1701" w:type="dxa"/>
          </w:tcPr>
          <w:p w14:paraId="041B7246"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625</w:t>
            </w:r>
          </w:p>
        </w:tc>
        <w:tc>
          <w:tcPr>
            <w:tcW w:w="2693" w:type="dxa"/>
          </w:tcPr>
          <w:p w14:paraId="2BFB8F11" w14:textId="77777777" w:rsidR="0016333F" w:rsidRPr="0017150F" w:rsidRDefault="0016333F" w:rsidP="0016333F">
            <w:pPr>
              <w:jc w:val="right"/>
              <w:rPr>
                <w:rFonts w:eastAsiaTheme="minorHAnsi"/>
                <w:sz w:val="20"/>
                <w:szCs w:val="20"/>
                <w:lang w:eastAsia="en-US"/>
              </w:rPr>
            </w:pPr>
            <w:r w:rsidRPr="0017150F">
              <w:rPr>
                <w:rFonts w:eastAsiaTheme="minorHAnsi"/>
                <w:sz w:val="20"/>
                <w:szCs w:val="20"/>
                <w:lang w:eastAsia="en-US"/>
              </w:rPr>
              <w:t>90%</w:t>
            </w:r>
          </w:p>
        </w:tc>
      </w:tr>
    </w:tbl>
    <w:p w14:paraId="3DCF11AD" w14:textId="633D763A" w:rsidR="0016333F" w:rsidRPr="00307028" w:rsidRDefault="0016333F" w:rsidP="00192290">
      <w:pPr>
        <w:numPr>
          <w:ilvl w:val="0"/>
          <w:numId w:val="14"/>
        </w:numPr>
        <w:spacing w:before="120" w:after="120" w:line="259" w:lineRule="auto"/>
        <w:ind w:left="0" w:firstLine="426"/>
        <w:jc w:val="both"/>
        <w:rPr>
          <w:rFonts w:eastAsiaTheme="minorHAnsi"/>
          <w:lang w:eastAsia="en-US"/>
        </w:rPr>
      </w:pPr>
      <w:r w:rsidRPr="00307028">
        <w:rPr>
          <w:rFonts w:eastAsiaTheme="minorHAnsi"/>
          <w:lang w:eastAsia="en-US"/>
        </w:rPr>
        <w:t xml:space="preserve">VM (SPKC) uzturētā </w:t>
      </w:r>
      <w:bookmarkStart w:id="140" w:name="_Hlk133585934"/>
      <w:r w:rsidRPr="00307028">
        <w:rPr>
          <w:rFonts w:eastAsiaTheme="minorHAnsi"/>
          <w:lang w:eastAsia="en-US"/>
        </w:rPr>
        <w:t xml:space="preserve">mobilā lietotne </w:t>
      </w:r>
      <w:r w:rsidRPr="00307028">
        <w:rPr>
          <w:rFonts w:eastAsiaTheme="minorHAnsi"/>
          <w:b/>
          <w:bCs/>
          <w:lang w:eastAsia="en-US"/>
        </w:rPr>
        <w:t>“Apturi Covid”</w:t>
      </w:r>
      <w:r w:rsidRPr="00307028">
        <w:rPr>
          <w:rFonts w:eastAsiaTheme="minorHAnsi"/>
          <w:lang w:eastAsia="en-US"/>
        </w:rPr>
        <w:t xml:space="preserve"> izveidota 2020. gadā,</w:t>
      </w:r>
      <w:r w:rsidRPr="00307028">
        <w:rPr>
          <w:rFonts w:asciiTheme="minorHAnsi" w:eastAsiaTheme="minorHAnsi" w:hAnsiTheme="minorHAnsi" w:cstheme="minorBidi"/>
          <w:sz w:val="22"/>
          <w:szCs w:val="22"/>
          <w:lang w:eastAsia="en-US"/>
        </w:rPr>
        <w:t xml:space="preserve"> </w:t>
      </w:r>
      <w:r w:rsidRPr="00307028">
        <w:rPr>
          <w:rFonts w:eastAsiaTheme="minorHAnsi"/>
          <w:lang w:eastAsia="en-US"/>
        </w:rPr>
        <w:t>balstoties uz 2020. gada 28. aprīlī noslēgto memorandu sabiedrības līdzdalībai Covid</w:t>
      </w:r>
      <w:r w:rsidRPr="00307028">
        <w:rPr>
          <w:rFonts w:eastAsiaTheme="minorHAnsi"/>
          <w:lang w:eastAsia="en-US"/>
        </w:rPr>
        <w:noBreakHyphen/>
        <w:t xml:space="preserve">19 ierobežošanā. Memoranda dalībnieki privātas iniciatīvas vadīti vienojās kopīgam darbam pie risinājuma </w:t>
      </w:r>
      <w:r w:rsidRPr="00307028">
        <w:rPr>
          <w:rFonts w:asciiTheme="minorHAnsi" w:eastAsiaTheme="minorHAnsi" w:hAnsiTheme="minorHAnsi" w:cstheme="minorBidi"/>
          <w:sz w:val="22"/>
          <w:szCs w:val="22"/>
          <w:lang w:eastAsia="en-US"/>
        </w:rPr>
        <w:t>–</w:t>
      </w:r>
      <w:r w:rsidRPr="00307028">
        <w:rPr>
          <w:rFonts w:eastAsiaTheme="minorHAnsi"/>
          <w:lang w:eastAsia="en-US"/>
        </w:rPr>
        <w:t xml:space="preserve"> </w:t>
      </w:r>
      <w:r w:rsidRPr="00307028">
        <w:rPr>
          <w:rFonts w:eastAsiaTheme="minorHAnsi"/>
          <w:lang w:eastAsia="en-US"/>
        </w:rPr>
        <w:lastRenderedPageBreak/>
        <w:t>mobilās lietotnes, lai dotu ikvienam iedzīvotājam iespēju līdzdarboties cīņai ar</w:t>
      </w:r>
      <w:r w:rsidR="00A51E67" w:rsidRPr="00307028">
        <w:rPr>
          <w:rFonts w:eastAsiaTheme="minorHAnsi"/>
          <w:lang w:eastAsia="en-US"/>
        </w:rPr>
        <w:t xml:space="preserve"> </w:t>
      </w:r>
      <w:r w:rsidRPr="00307028">
        <w:rPr>
          <w:rFonts w:eastAsiaTheme="minorHAnsi"/>
          <w:lang w:eastAsia="en-US"/>
        </w:rPr>
        <w:t>Covid</w:t>
      </w:r>
      <w:r w:rsidR="00A951C9" w:rsidRPr="00307028">
        <w:rPr>
          <w:rFonts w:eastAsiaTheme="minorHAnsi"/>
          <w:lang w:eastAsia="en-US"/>
        </w:rPr>
        <w:t>-</w:t>
      </w:r>
      <w:r w:rsidRPr="00307028">
        <w:rPr>
          <w:rFonts w:eastAsiaTheme="minorHAnsi"/>
          <w:lang w:eastAsia="en-US"/>
        </w:rPr>
        <w:t>19.</w:t>
      </w:r>
      <w:bookmarkEnd w:id="140"/>
      <w:r w:rsidRPr="00307028">
        <w:rPr>
          <w:rFonts w:eastAsiaTheme="minorHAnsi"/>
          <w:vertAlign w:val="superscript"/>
          <w:lang w:eastAsia="en-US"/>
        </w:rPr>
        <w:footnoteReference w:id="25"/>
      </w:r>
      <w:r w:rsidRPr="00307028">
        <w:rPr>
          <w:rFonts w:eastAsiaTheme="minorHAnsi"/>
          <w:lang w:eastAsia="en-US"/>
        </w:rPr>
        <w:t xml:space="preserve"> </w:t>
      </w:r>
      <w:bookmarkStart w:id="141" w:name="_Hlk133586073"/>
      <w:r w:rsidRPr="00307028">
        <w:rPr>
          <w:rFonts w:eastAsiaTheme="minorHAnsi"/>
          <w:lang w:eastAsia="en-US"/>
        </w:rPr>
        <w:t xml:space="preserve">Mobilā lietotne ir risinājums, lai palīdzētu Latvijā ierobežot vīrusa izplatību un ātrāk uzzinātu, ja ir bijis kontakts ar Covid-19 saslimušo. </w:t>
      </w:r>
      <w:bookmarkEnd w:id="141"/>
      <w:r w:rsidRPr="00307028">
        <w:rPr>
          <w:rFonts w:eastAsiaTheme="minorHAnsi"/>
          <w:lang w:eastAsia="en-US"/>
        </w:rPr>
        <w:t xml:space="preserve">Izmantojot mobilo lietotni, pastāv iespēja savlaicīgāk izolēties, lai neapdraudētu ģimeni, kolēģus, draugus un pārējos iedzīvotājus, kā arī pievērstu uzmanību slimības simptomiem. Tāpat mobilajā lietotnē pieejama ikdienas Covid-19 statistika Latvijā (saslimuši, miruši, testēti, izveseļojušies). Pēc VM sniegtās informācijas, mobilās lietotnes lietotāju skaits 2022. gadā bijis 492,2 tūkst. </w:t>
      </w:r>
      <w:bookmarkStart w:id="142" w:name="_Hlk133585952"/>
      <w:r w:rsidRPr="00307028">
        <w:rPr>
          <w:rFonts w:eastAsiaTheme="minorHAnsi"/>
          <w:lang w:eastAsia="en-US"/>
        </w:rPr>
        <w:t>Uzturēšanas izmaksas 2022. gadā bijušas 16,2 tūkst. </w:t>
      </w:r>
      <w:r w:rsidRPr="00307028">
        <w:rPr>
          <w:rFonts w:eastAsiaTheme="minorHAnsi"/>
          <w:i/>
          <w:iCs/>
          <w:lang w:eastAsia="en-US"/>
        </w:rPr>
        <w:t>euro</w:t>
      </w:r>
      <w:bookmarkEnd w:id="142"/>
      <w:r w:rsidRPr="00307028">
        <w:rPr>
          <w:rFonts w:eastAsiaTheme="minorHAnsi"/>
          <w:lang w:eastAsia="en-US"/>
        </w:rPr>
        <w:t>, attiecīgi uzturēšanas izmaksas uz vienu lietotāju bija 0,03 </w:t>
      </w:r>
      <w:r w:rsidRPr="00307028">
        <w:rPr>
          <w:rFonts w:eastAsiaTheme="minorHAnsi"/>
          <w:i/>
          <w:iCs/>
          <w:lang w:eastAsia="en-US"/>
        </w:rPr>
        <w:t>euro.</w:t>
      </w:r>
      <w:r w:rsidRPr="00307028">
        <w:rPr>
          <w:rFonts w:eastAsiaTheme="minorHAnsi"/>
          <w:lang w:eastAsia="en-US"/>
        </w:rPr>
        <w:t xml:space="preserve"> Iestādes personīgais mobilās lietotnes efektivitātes novērtējums ir 75% un mobilās lietotnes optimizācijas pasākumi tuvāko gadu laikā atkarīgi no epidemioloģiskās situācijas valstī. </w:t>
      </w:r>
      <w:bookmarkStart w:id="143" w:name="_Hlk133585980"/>
      <w:r w:rsidRPr="00307028">
        <w:rPr>
          <w:rFonts w:eastAsiaTheme="minorHAnsi"/>
          <w:lang w:eastAsia="en-US"/>
        </w:rPr>
        <w:t xml:space="preserve">Publiskajā telpā jau 2022. gada maijā izskanēja informācija, ka Igaunijā apturēta Covid-19 kontaktu izsekošanas mobilā lietotne. Latvijā lēmums par </w:t>
      </w:r>
      <w:r w:rsidR="0051672C" w:rsidRPr="00307028">
        <w:rPr>
          <w:rFonts w:eastAsiaTheme="minorHAnsi"/>
          <w:lang w:eastAsia="en-US"/>
        </w:rPr>
        <w:t>mobilās lietotnes</w:t>
      </w:r>
      <w:r w:rsidRPr="00307028">
        <w:rPr>
          <w:rFonts w:eastAsiaTheme="minorHAnsi"/>
          <w:lang w:eastAsia="en-US"/>
        </w:rPr>
        <w:t xml:space="preserve"> apturēšanu pieņemts vēl nav, taču, kā ziņoja SPKC, tāda iespēja pastāv</w:t>
      </w:r>
      <w:r w:rsidRPr="00307028">
        <w:rPr>
          <w:rFonts w:eastAsiaTheme="minorHAnsi"/>
          <w:vertAlign w:val="superscript"/>
          <w:lang w:eastAsia="en-US"/>
        </w:rPr>
        <w:footnoteReference w:id="26"/>
      </w:r>
      <w:r w:rsidRPr="00307028">
        <w:rPr>
          <w:rFonts w:eastAsiaTheme="minorHAnsi"/>
          <w:lang w:eastAsia="en-US"/>
        </w:rPr>
        <w:t xml:space="preserve">. </w:t>
      </w:r>
    </w:p>
    <w:p w14:paraId="4C4760B3" w14:textId="77777777" w:rsidR="0016333F" w:rsidRPr="00307028" w:rsidRDefault="0016333F" w:rsidP="00427388">
      <w:pPr>
        <w:spacing w:before="120" w:after="120" w:line="259" w:lineRule="auto"/>
        <w:ind w:firstLine="709"/>
        <w:jc w:val="both"/>
        <w:rPr>
          <w:rFonts w:eastAsia="Calibri"/>
          <w:color w:val="000000" w:themeColor="text1"/>
          <w:lang w:eastAsia="en-US"/>
        </w:rPr>
      </w:pPr>
      <w:r w:rsidRPr="00307028">
        <w:rPr>
          <w:rFonts w:eastAsiaTheme="minorHAnsi"/>
          <w:color w:val="000000" w:themeColor="text1"/>
          <w:lang w:eastAsia="en-US"/>
        </w:rPr>
        <w:t>Mobilās lietotnes plānotie uzturēšanas izdevumi 2023. gadam ir 12,7 tūkst. </w:t>
      </w:r>
      <w:r w:rsidRPr="00307028">
        <w:rPr>
          <w:rFonts w:eastAsiaTheme="minorHAnsi"/>
          <w:i/>
          <w:iCs/>
          <w:color w:val="000000" w:themeColor="text1"/>
          <w:lang w:eastAsia="en-US"/>
        </w:rPr>
        <w:t xml:space="preserve">euro, </w:t>
      </w:r>
      <w:r w:rsidRPr="00307028">
        <w:rPr>
          <w:rFonts w:eastAsiaTheme="minorHAnsi"/>
          <w:color w:val="000000" w:themeColor="text1"/>
          <w:lang w:eastAsia="en-US"/>
        </w:rPr>
        <w:t xml:space="preserve">kas ietver </w:t>
      </w:r>
      <w:r w:rsidRPr="00307028">
        <w:rPr>
          <w:rFonts w:eastAsia="Calibri"/>
          <w:color w:val="000000" w:themeColor="text1"/>
          <w:lang w:eastAsia="en-US"/>
        </w:rPr>
        <w:t xml:space="preserve">domēna vārda </w:t>
      </w:r>
      <w:r w:rsidRPr="00307028">
        <w:rPr>
          <w:rFonts w:eastAsia="Calibri"/>
          <w:i/>
          <w:iCs/>
          <w:color w:val="000000" w:themeColor="text1"/>
          <w:lang w:eastAsia="en-US"/>
        </w:rPr>
        <w:t>apturicovid.lv</w:t>
      </w:r>
      <w:r w:rsidRPr="00307028">
        <w:rPr>
          <w:rFonts w:eastAsia="Calibri"/>
          <w:color w:val="000000" w:themeColor="text1"/>
          <w:lang w:eastAsia="en-US"/>
        </w:rPr>
        <w:t xml:space="preserve"> lietošanas tiesības</w:t>
      </w:r>
      <w:r w:rsidRPr="00307028">
        <w:rPr>
          <w:rFonts w:eastAsiaTheme="minorHAnsi"/>
          <w:color w:val="000000" w:themeColor="text1"/>
          <w:lang w:eastAsia="en-US"/>
        </w:rPr>
        <w:t xml:space="preserve">, </w:t>
      </w:r>
      <w:r w:rsidRPr="00307028">
        <w:rPr>
          <w:rFonts w:eastAsia="Calibri"/>
          <w:i/>
          <w:iCs/>
          <w:color w:val="000000" w:themeColor="text1"/>
          <w:lang w:eastAsia="en-US"/>
        </w:rPr>
        <w:t xml:space="preserve">AppStore </w:t>
      </w:r>
      <w:r w:rsidRPr="00307028">
        <w:rPr>
          <w:rFonts w:eastAsia="Calibri"/>
          <w:color w:val="000000" w:themeColor="text1"/>
          <w:lang w:eastAsia="en-US"/>
        </w:rPr>
        <w:t xml:space="preserve">abonementu, drošības sertifikātu iegādi Eiropas Federatīvās vārtejas piekļuvei, mākoņpakalpojuma tehnisko resursu nomu LVRTC mobilās lietotnes darbības nodrošināšanai, kodu izsūtīšanu SMS. </w:t>
      </w:r>
    </w:p>
    <w:p w14:paraId="2737D17A" w14:textId="1DDD4E58" w:rsidR="0051672C" w:rsidRPr="00307028" w:rsidRDefault="0051672C" w:rsidP="0051672C">
      <w:pPr>
        <w:spacing w:after="120" w:line="259" w:lineRule="auto"/>
        <w:ind w:firstLine="709"/>
        <w:jc w:val="both"/>
        <w:rPr>
          <w:rFonts w:eastAsiaTheme="minorHAnsi"/>
          <w:color w:val="000000"/>
          <w:shd w:val="clear" w:color="auto" w:fill="FFFFFF"/>
          <w:lang w:eastAsia="en-US"/>
        </w:rPr>
      </w:pPr>
      <w:r w:rsidRPr="00307028">
        <w:rPr>
          <w:rFonts w:eastAsia="Calibri"/>
          <w:color w:val="000000" w:themeColor="text1"/>
          <w:lang w:eastAsia="en-US"/>
        </w:rPr>
        <w:t>VM norādīja, ka, ņe</w:t>
      </w:r>
      <w:r w:rsidRPr="00307028">
        <w:rPr>
          <w:rFonts w:eastAsiaTheme="minorHAnsi"/>
          <w:color w:val="000000"/>
          <w:shd w:val="clear" w:color="auto" w:fill="FFFFFF"/>
          <w:lang w:eastAsia="en-US"/>
        </w:rPr>
        <w:t xml:space="preserve">mot vērā, ka šī gada jūlijā norisinājās </w:t>
      </w:r>
      <w:r w:rsidRPr="00307028">
        <w:rPr>
          <w:rFonts w:eastAsiaTheme="minorHAnsi"/>
          <w:lang w:eastAsia="en-US"/>
        </w:rPr>
        <w:t>XXVII Vispārējie latviešu Dziesmu un XVII Deju svētki</w:t>
      </w:r>
      <w:r w:rsidRPr="00307028">
        <w:rPr>
          <w:rFonts w:eastAsiaTheme="minorHAnsi"/>
          <w:color w:val="000000"/>
          <w:shd w:val="clear" w:color="auto" w:fill="FFFFFF"/>
          <w:lang w:eastAsia="en-US"/>
        </w:rPr>
        <w:t>, kuros piedalījās ievērojami liels cilvēku skaits, mobilā lietotne</w:t>
      </w:r>
      <w:r w:rsidR="00D165C8" w:rsidRPr="00307028">
        <w:rPr>
          <w:rFonts w:eastAsiaTheme="minorHAnsi"/>
          <w:color w:val="000000"/>
          <w:shd w:val="clear" w:color="auto" w:fill="FFFFFF"/>
          <w:lang w:eastAsia="en-US"/>
        </w:rPr>
        <w:t xml:space="preserve"> vēl</w:t>
      </w:r>
      <w:r w:rsidRPr="00307028">
        <w:rPr>
          <w:rFonts w:eastAsiaTheme="minorHAnsi"/>
          <w:color w:val="000000"/>
          <w:shd w:val="clear" w:color="auto" w:fill="FFFFFF"/>
          <w:lang w:eastAsia="en-US"/>
        </w:rPr>
        <w:t xml:space="preserve"> varētu būt aktuāla un lietderīga arī </w:t>
      </w:r>
      <w:r w:rsidR="00D165C8" w:rsidRPr="00307028">
        <w:rPr>
          <w:rFonts w:eastAsiaTheme="minorHAnsi"/>
          <w:color w:val="000000"/>
          <w:shd w:val="clear" w:color="auto" w:fill="FFFFFF"/>
          <w:lang w:eastAsia="en-US"/>
        </w:rPr>
        <w:t xml:space="preserve">šīs </w:t>
      </w:r>
      <w:r w:rsidRPr="00307028">
        <w:rPr>
          <w:rFonts w:eastAsiaTheme="minorHAnsi"/>
          <w:color w:val="000000"/>
          <w:shd w:val="clear" w:color="auto" w:fill="FFFFFF"/>
          <w:lang w:eastAsia="en-US"/>
        </w:rPr>
        <w:t>vasaras laikā.</w:t>
      </w:r>
      <w:r w:rsidRPr="00307028">
        <w:rPr>
          <w:rFonts w:eastAsiaTheme="minorHAnsi"/>
          <w:color w:val="000000" w:themeColor="text1"/>
          <w:lang w:eastAsia="en-US"/>
        </w:rPr>
        <w:t xml:space="preserve"> </w:t>
      </w:r>
      <w:r w:rsidRPr="00307028">
        <w:rPr>
          <w:rFonts w:eastAsiaTheme="minorHAnsi"/>
          <w:color w:val="000000"/>
          <w:shd w:val="clear" w:color="auto" w:fill="FFFFFF"/>
          <w:lang w:eastAsia="en-US"/>
        </w:rPr>
        <w:t xml:space="preserve">Tomēr FM konstatējusi, ka jau 27. jūnijā lietotne vairs nebija pieejama </w:t>
      </w:r>
      <w:r w:rsidRPr="00307028">
        <w:rPr>
          <w:rFonts w:eastAsiaTheme="minorHAnsi"/>
          <w:i/>
          <w:iCs/>
          <w:color w:val="000000"/>
          <w:shd w:val="clear" w:color="auto" w:fill="FFFFFF"/>
          <w:lang w:eastAsia="en-US"/>
        </w:rPr>
        <w:t xml:space="preserve">AppStore </w:t>
      </w:r>
      <w:r w:rsidRPr="00307028">
        <w:rPr>
          <w:rFonts w:eastAsiaTheme="minorHAnsi"/>
          <w:color w:val="000000"/>
          <w:shd w:val="clear" w:color="auto" w:fill="FFFFFF"/>
          <w:lang w:eastAsia="en-US"/>
        </w:rPr>
        <w:t>un</w:t>
      </w:r>
      <w:r w:rsidR="00EE2D2F" w:rsidRPr="00307028">
        <w:rPr>
          <w:rFonts w:eastAsiaTheme="minorHAnsi"/>
          <w:color w:val="000000"/>
          <w:shd w:val="clear" w:color="auto" w:fill="FFFFFF"/>
          <w:lang w:eastAsia="en-US"/>
        </w:rPr>
        <w:t xml:space="preserve"> </w:t>
      </w:r>
      <w:r w:rsidRPr="00307028">
        <w:rPr>
          <w:rFonts w:eastAsiaTheme="minorHAnsi"/>
          <w:color w:val="000000"/>
          <w:shd w:val="clear" w:color="auto" w:fill="FFFFFF"/>
          <w:lang w:eastAsia="en-US"/>
        </w:rPr>
        <w:t xml:space="preserve">daļa sabiedrības vairs to nevar izmantot, līdz ar to tā zaudē savu efektivitāti. Kā informēja VM, no </w:t>
      </w:r>
      <w:r w:rsidRPr="00307028">
        <w:rPr>
          <w:rFonts w:eastAsiaTheme="minorHAnsi"/>
          <w:i/>
          <w:iCs/>
          <w:color w:val="000000"/>
          <w:shd w:val="clear" w:color="auto" w:fill="FFFFFF"/>
          <w:lang w:eastAsia="en-US"/>
        </w:rPr>
        <w:t>GooglePlay</w:t>
      </w:r>
      <w:r w:rsidRPr="00307028">
        <w:rPr>
          <w:rFonts w:eastAsiaTheme="minorHAnsi"/>
          <w:color w:val="000000"/>
          <w:shd w:val="clear" w:color="auto" w:fill="FFFFFF"/>
          <w:lang w:eastAsia="en-US"/>
        </w:rPr>
        <w:t xml:space="preserve"> mobilo lietotni nav plānots izņemt, kamēr nebūs pieņemts gala lēmums par mobilās lietotnes likvidēšanu.</w:t>
      </w:r>
    </w:p>
    <w:p w14:paraId="7588CB7F" w14:textId="063C67AE" w:rsidR="00D970BD" w:rsidRPr="00307028" w:rsidRDefault="00D970BD" w:rsidP="00D970BD">
      <w:pPr>
        <w:spacing w:after="120" w:line="259" w:lineRule="auto"/>
        <w:ind w:firstLine="709"/>
        <w:jc w:val="both"/>
        <w:rPr>
          <w:rFonts w:eastAsia="Calibri"/>
          <w:color w:val="000000" w:themeColor="text1"/>
          <w:lang w:eastAsia="en-US"/>
        </w:rPr>
      </w:pPr>
      <w:r w:rsidRPr="00307028">
        <w:rPr>
          <w:rFonts w:eastAsia="Calibri"/>
          <w:color w:val="000000" w:themeColor="text1"/>
          <w:lang w:eastAsia="en-US"/>
        </w:rPr>
        <w:t>Saistībā ar to, ka samazinājusies reģistrēto Covid-19 gadījumu skaits un pašreizējā posmā samazinājusies Covid-19</w:t>
      </w:r>
      <w:r w:rsidR="006264F3" w:rsidRPr="00307028">
        <w:rPr>
          <w:rFonts w:eastAsia="Calibri"/>
          <w:color w:val="000000" w:themeColor="text1"/>
          <w:lang w:eastAsia="en-US"/>
        </w:rPr>
        <w:t xml:space="preserve"> </w:t>
      </w:r>
      <w:r w:rsidRPr="00307028">
        <w:rPr>
          <w:rFonts w:eastAsia="Calibri"/>
          <w:color w:val="000000" w:themeColor="text1"/>
          <w:lang w:eastAsia="en-US"/>
        </w:rPr>
        <w:t xml:space="preserve">sabiedrības veselības nozīme, samazinājusies arī </w:t>
      </w:r>
      <w:r w:rsidR="0047340D" w:rsidRPr="00307028">
        <w:rPr>
          <w:rFonts w:eastAsia="Calibri"/>
          <w:color w:val="000000" w:themeColor="text1"/>
          <w:lang w:eastAsia="en-US"/>
        </w:rPr>
        <w:t>mobilās lietotnes “</w:t>
      </w:r>
      <w:r w:rsidRPr="00307028">
        <w:rPr>
          <w:rFonts w:eastAsia="Calibri"/>
          <w:color w:val="000000" w:themeColor="text1"/>
          <w:lang w:eastAsia="en-US"/>
        </w:rPr>
        <w:t>ApturiCovid</w:t>
      </w:r>
      <w:r w:rsidR="0047340D" w:rsidRPr="00307028">
        <w:rPr>
          <w:rFonts w:eastAsia="Calibri"/>
          <w:color w:val="000000" w:themeColor="text1"/>
          <w:lang w:eastAsia="en-US"/>
        </w:rPr>
        <w:t>”</w:t>
      </w:r>
      <w:r w:rsidRPr="00307028">
        <w:rPr>
          <w:rFonts w:eastAsia="Calibri"/>
          <w:color w:val="000000" w:themeColor="text1"/>
          <w:lang w:eastAsia="en-US"/>
        </w:rPr>
        <w:t xml:space="preserve"> nozīmība, tā tiks apturēta līdz brīdim, ja atkal izplatīsies kāda infekcijas slimība, k</w:t>
      </w:r>
      <w:r w:rsidR="00D165C8" w:rsidRPr="00307028">
        <w:rPr>
          <w:rFonts w:eastAsia="Calibri"/>
          <w:color w:val="000000" w:themeColor="text1"/>
          <w:lang w:eastAsia="en-US"/>
        </w:rPr>
        <w:t>as</w:t>
      </w:r>
      <w:r w:rsidRPr="00307028">
        <w:rPr>
          <w:rFonts w:eastAsia="Calibri"/>
          <w:color w:val="000000" w:themeColor="text1"/>
          <w:lang w:eastAsia="en-US"/>
        </w:rPr>
        <w:t xml:space="preserve"> izraisīs ārkārtas situāciju un krīzi. Līdz ar </w:t>
      </w:r>
      <w:r w:rsidR="006264F3" w:rsidRPr="00307028">
        <w:rPr>
          <w:rFonts w:eastAsia="Calibri"/>
          <w:color w:val="000000" w:themeColor="text1"/>
          <w:lang w:eastAsia="en-US"/>
        </w:rPr>
        <w:t>mobilās lietotnes</w:t>
      </w:r>
      <w:r w:rsidRPr="00307028">
        <w:rPr>
          <w:rFonts w:eastAsia="Calibri"/>
          <w:color w:val="000000" w:themeColor="text1"/>
          <w:lang w:eastAsia="en-US"/>
        </w:rPr>
        <w:t xml:space="preserve"> darbības apturēšanu zūd nepieciešamība abonēt LVRTC virtuālo serveru jaudas pakalpojumus</w:t>
      </w:r>
      <w:r w:rsidR="00D165C8" w:rsidRPr="00307028">
        <w:rPr>
          <w:rFonts w:eastAsia="Calibri"/>
          <w:color w:val="000000" w:themeColor="text1"/>
          <w:lang w:eastAsia="en-US"/>
        </w:rPr>
        <w:t xml:space="preserve"> </w:t>
      </w:r>
      <w:r w:rsidR="00A951C9" w:rsidRPr="00307028">
        <w:rPr>
          <w:rFonts w:eastAsia="Calibri"/>
          <w:color w:val="000000" w:themeColor="text1"/>
          <w:lang w:eastAsia="en-US"/>
        </w:rPr>
        <w:t>“</w:t>
      </w:r>
      <w:r w:rsidRPr="00307028">
        <w:rPr>
          <w:rFonts w:eastAsia="Calibri"/>
          <w:color w:val="000000" w:themeColor="text1"/>
          <w:lang w:eastAsia="en-US"/>
        </w:rPr>
        <w:t>ApturiCovid</w:t>
      </w:r>
      <w:r w:rsidR="00A951C9" w:rsidRPr="00307028">
        <w:rPr>
          <w:rFonts w:eastAsia="Calibri"/>
          <w:color w:val="000000" w:themeColor="text1"/>
          <w:lang w:eastAsia="en-US"/>
        </w:rPr>
        <w:t>”</w:t>
      </w:r>
      <w:r w:rsidRPr="00307028">
        <w:rPr>
          <w:rFonts w:eastAsia="Calibri"/>
          <w:color w:val="000000" w:themeColor="text1"/>
          <w:lang w:eastAsia="en-US"/>
        </w:rPr>
        <w:t xml:space="preserve"> darbības nodrošināšanai, līdzīgi, kā </w:t>
      </w:r>
      <w:r w:rsidR="00D165C8" w:rsidRPr="00307028">
        <w:rPr>
          <w:rFonts w:eastAsia="Calibri"/>
          <w:color w:val="000000" w:themeColor="text1"/>
          <w:lang w:eastAsia="en-US"/>
        </w:rPr>
        <w:t xml:space="preserve">nav nepieciešama </w:t>
      </w:r>
      <w:r w:rsidRPr="00307028">
        <w:rPr>
          <w:rFonts w:eastAsia="Calibri"/>
          <w:color w:val="000000" w:themeColor="text1"/>
          <w:lang w:eastAsia="en-US"/>
        </w:rPr>
        <w:t>drošības sertifikātu iegāde Eiropas Federatīvās vārtejas piekļuvei. Turpmākiem gadiem (2024.</w:t>
      </w:r>
      <w:r w:rsidR="006264F3" w:rsidRPr="00307028">
        <w:rPr>
          <w:rFonts w:eastAsia="Calibri"/>
          <w:color w:val="000000" w:themeColor="text1"/>
          <w:lang w:eastAsia="en-US"/>
        </w:rPr>
        <w:t xml:space="preserve"> </w:t>
      </w:r>
      <w:r w:rsidR="006264F3" w:rsidRPr="00307028">
        <w:rPr>
          <w:rFonts w:eastAsia="Times New Roman"/>
          <w:b/>
          <w:bCs/>
          <w:lang w:eastAsia="en-US"/>
        </w:rPr>
        <w:t xml:space="preserve">– </w:t>
      </w:r>
      <w:r w:rsidRPr="00307028">
        <w:rPr>
          <w:rFonts w:eastAsia="Calibri"/>
          <w:color w:val="000000" w:themeColor="text1"/>
          <w:lang w:eastAsia="en-US"/>
        </w:rPr>
        <w:t>2026.</w:t>
      </w:r>
      <w:r w:rsidR="006264F3" w:rsidRPr="00307028">
        <w:rPr>
          <w:rFonts w:eastAsia="Calibri"/>
          <w:color w:val="000000" w:themeColor="text1"/>
          <w:lang w:eastAsia="en-US"/>
        </w:rPr>
        <w:t xml:space="preserve"> </w:t>
      </w:r>
      <w:r w:rsidRPr="00307028">
        <w:rPr>
          <w:rFonts w:eastAsia="Calibri"/>
          <w:color w:val="000000" w:themeColor="text1"/>
          <w:lang w:eastAsia="en-US"/>
        </w:rPr>
        <w:t>gadam), vai šī summa būs nepieciešama SPKC vēl nav zināms</w:t>
      </w:r>
      <w:r w:rsidR="00D165C8" w:rsidRPr="00307028">
        <w:rPr>
          <w:rFonts w:eastAsia="Calibri"/>
          <w:color w:val="000000" w:themeColor="text1"/>
          <w:lang w:eastAsia="en-US"/>
        </w:rPr>
        <w:t xml:space="preserve"> </w:t>
      </w:r>
      <w:r w:rsidR="00D165C8" w:rsidRPr="00307028">
        <w:rPr>
          <w:rFonts w:asciiTheme="minorHAnsi" w:eastAsiaTheme="minorHAnsi" w:hAnsiTheme="minorHAnsi" w:cstheme="minorBidi"/>
          <w:sz w:val="22"/>
          <w:szCs w:val="22"/>
          <w:lang w:eastAsia="en-US"/>
        </w:rPr>
        <w:t>–</w:t>
      </w:r>
      <w:r w:rsidRPr="00307028">
        <w:rPr>
          <w:rFonts w:eastAsia="Calibri"/>
          <w:color w:val="000000" w:themeColor="text1"/>
          <w:lang w:eastAsia="en-US"/>
        </w:rPr>
        <w:t xml:space="preserve"> attiecīgi tiks vērtētas apropriācijas pārdales uz citām V</w:t>
      </w:r>
      <w:r w:rsidR="006264F3" w:rsidRPr="00307028">
        <w:rPr>
          <w:rFonts w:eastAsia="Calibri"/>
          <w:color w:val="000000" w:themeColor="text1"/>
          <w:lang w:eastAsia="en-US"/>
        </w:rPr>
        <w:t xml:space="preserve">M </w:t>
      </w:r>
      <w:r w:rsidRPr="00307028">
        <w:rPr>
          <w:rFonts w:eastAsia="Calibri"/>
          <w:color w:val="000000" w:themeColor="text1"/>
          <w:lang w:eastAsia="en-US"/>
        </w:rPr>
        <w:t>aktuālajā</w:t>
      </w:r>
      <w:r w:rsidR="006264F3" w:rsidRPr="00307028">
        <w:rPr>
          <w:rFonts w:eastAsia="Calibri"/>
          <w:color w:val="000000" w:themeColor="text1"/>
          <w:lang w:eastAsia="en-US"/>
        </w:rPr>
        <w:t>m</w:t>
      </w:r>
      <w:r w:rsidRPr="00307028">
        <w:rPr>
          <w:rFonts w:eastAsia="Calibri"/>
          <w:color w:val="000000" w:themeColor="text1"/>
          <w:lang w:eastAsia="en-US"/>
        </w:rPr>
        <w:t xml:space="preserve"> prioritātēm nākamajos gados.</w:t>
      </w:r>
    </w:p>
    <w:p w14:paraId="18910857" w14:textId="7EFCB8CD" w:rsidR="00D970BD" w:rsidRPr="00307028" w:rsidRDefault="00D970BD" w:rsidP="00D970BD">
      <w:pPr>
        <w:spacing w:after="120" w:line="259" w:lineRule="auto"/>
        <w:ind w:firstLine="709"/>
        <w:jc w:val="both"/>
        <w:rPr>
          <w:rFonts w:eastAsia="Calibri"/>
          <w:color w:val="000000" w:themeColor="text1"/>
          <w:lang w:eastAsia="en-US"/>
        </w:rPr>
      </w:pPr>
      <w:r w:rsidRPr="00307028">
        <w:rPr>
          <w:rFonts w:eastAsia="Calibri"/>
          <w:color w:val="000000" w:themeColor="text1"/>
          <w:lang w:eastAsia="en-US"/>
        </w:rPr>
        <w:t>Attiecīgi par 2023.</w:t>
      </w:r>
      <w:r w:rsidR="006A5E8F" w:rsidRPr="00307028">
        <w:rPr>
          <w:rFonts w:eastAsia="Calibri"/>
          <w:color w:val="000000" w:themeColor="text1"/>
          <w:lang w:eastAsia="en-US"/>
        </w:rPr>
        <w:t xml:space="preserve"> </w:t>
      </w:r>
      <w:r w:rsidRPr="00307028">
        <w:rPr>
          <w:rFonts w:eastAsia="Calibri"/>
          <w:color w:val="000000" w:themeColor="text1"/>
          <w:lang w:eastAsia="en-US"/>
        </w:rPr>
        <w:t xml:space="preserve">gada ekonomiju 8 460 </w:t>
      </w:r>
      <w:r w:rsidRPr="00307028">
        <w:rPr>
          <w:rFonts w:eastAsia="Calibri"/>
          <w:i/>
          <w:iCs/>
          <w:color w:val="000000" w:themeColor="text1"/>
          <w:lang w:eastAsia="en-US"/>
        </w:rPr>
        <w:t>euro</w:t>
      </w:r>
      <w:r w:rsidRPr="00307028">
        <w:rPr>
          <w:rFonts w:eastAsia="Calibri"/>
          <w:color w:val="000000" w:themeColor="text1"/>
          <w:lang w:eastAsia="en-US"/>
        </w:rPr>
        <w:t xml:space="preserve"> apmērā tika ieļauts MK rīkojumā (pēc VM priekšlikuma), kurš tika izskatīts </w:t>
      </w:r>
      <w:r w:rsidR="006264F3" w:rsidRPr="00307028">
        <w:rPr>
          <w:rFonts w:eastAsia="Calibri"/>
          <w:color w:val="000000" w:themeColor="text1"/>
          <w:lang w:eastAsia="en-US"/>
        </w:rPr>
        <w:t>MK</w:t>
      </w:r>
      <w:r w:rsidRPr="00307028">
        <w:rPr>
          <w:rFonts w:eastAsia="Calibri"/>
          <w:color w:val="000000" w:themeColor="text1"/>
          <w:lang w:eastAsia="en-US"/>
        </w:rPr>
        <w:t xml:space="preserve"> š.g. 20.</w:t>
      </w:r>
      <w:r w:rsidR="006264F3" w:rsidRPr="00307028">
        <w:rPr>
          <w:rFonts w:eastAsia="Calibri"/>
          <w:color w:val="000000" w:themeColor="text1"/>
          <w:lang w:eastAsia="en-US"/>
        </w:rPr>
        <w:t xml:space="preserve"> </w:t>
      </w:r>
      <w:r w:rsidRPr="00307028">
        <w:rPr>
          <w:rFonts w:eastAsia="Calibri"/>
          <w:color w:val="000000" w:themeColor="text1"/>
          <w:lang w:eastAsia="en-US"/>
        </w:rPr>
        <w:t>jūnijā sēdē un attiecīgi nolemto “Par apropriācijas pārdali” 1.16.</w:t>
      </w:r>
      <w:r w:rsidR="006264F3" w:rsidRPr="00307028">
        <w:rPr>
          <w:rFonts w:eastAsia="Calibri"/>
          <w:color w:val="000000" w:themeColor="text1"/>
          <w:lang w:eastAsia="en-US"/>
        </w:rPr>
        <w:t xml:space="preserve"> </w:t>
      </w:r>
      <w:r w:rsidRPr="00307028">
        <w:rPr>
          <w:rFonts w:eastAsia="Calibri"/>
          <w:color w:val="000000" w:themeColor="text1"/>
          <w:lang w:eastAsia="en-US"/>
        </w:rPr>
        <w:t xml:space="preserve">punktu, veikt apropriācijas pārdali 112 735 </w:t>
      </w:r>
      <w:r w:rsidRPr="00307028">
        <w:rPr>
          <w:rFonts w:eastAsia="Calibri"/>
          <w:i/>
          <w:iCs/>
          <w:color w:val="000000" w:themeColor="text1"/>
          <w:lang w:eastAsia="en-US"/>
        </w:rPr>
        <w:t>euro</w:t>
      </w:r>
      <w:r w:rsidRPr="00307028">
        <w:rPr>
          <w:rFonts w:eastAsia="Calibri"/>
          <w:color w:val="000000" w:themeColor="text1"/>
          <w:lang w:eastAsia="en-US"/>
        </w:rPr>
        <w:t xml:space="preserve"> apmērā no </w:t>
      </w:r>
      <w:r w:rsidR="006A5E8F" w:rsidRPr="00307028">
        <w:rPr>
          <w:rFonts w:eastAsia="Calibri"/>
          <w:color w:val="000000" w:themeColor="text1"/>
          <w:lang w:eastAsia="en-US"/>
        </w:rPr>
        <w:t xml:space="preserve">VM </w:t>
      </w:r>
      <w:r w:rsidRPr="00307028">
        <w:rPr>
          <w:rFonts w:eastAsia="Calibri"/>
          <w:color w:val="000000" w:themeColor="text1"/>
          <w:lang w:eastAsia="en-US"/>
        </w:rPr>
        <w:t xml:space="preserve">budžeta apakšprogrammām, tai skaitā 43 845 </w:t>
      </w:r>
      <w:r w:rsidRPr="00307028">
        <w:rPr>
          <w:rFonts w:eastAsia="Calibri"/>
          <w:i/>
          <w:iCs/>
          <w:color w:val="000000" w:themeColor="text1"/>
          <w:lang w:eastAsia="en-US"/>
        </w:rPr>
        <w:t>euro</w:t>
      </w:r>
      <w:r w:rsidRPr="00307028">
        <w:rPr>
          <w:rFonts w:eastAsia="Calibri"/>
          <w:color w:val="000000" w:themeColor="text1"/>
          <w:lang w:eastAsia="en-US"/>
        </w:rPr>
        <w:t xml:space="preserve"> apmērā (EKK 2000 no precēm un pakalpojumiem) no apakšprogrammas 46.01.00 </w:t>
      </w:r>
      <w:r w:rsidR="006A5E8F" w:rsidRPr="00307028">
        <w:rPr>
          <w:rFonts w:eastAsia="Calibri"/>
          <w:color w:val="000000" w:themeColor="text1"/>
          <w:lang w:eastAsia="en-US"/>
        </w:rPr>
        <w:t>“</w:t>
      </w:r>
      <w:r w:rsidRPr="00307028">
        <w:rPr>
          <w:rFonts w:eastAsia="Calibri"/>
          <w:color w:val="000000" w:themeColor="text1"/>
          <w:lang w:eastAsia="en-US"/>
        </w:rPr>
        <w:t>Uzraudzība un kontrole</w:t>
      </w:r>
      <w:r w:rsidR="006A5E8F" w:rsidRPr="00307028">
        <w:rPr>
          <w:rFonts w:eastAsia="Calibri"/>
          <w:color w:val="000000" w:themeColor="text1"/>
          <w:lang w:eastAsia="en-US"/>
        </w:rPr>
        <w:t>”</w:t>
      </w:r>
      <w:r w:rsidRPr="00307028">
        <w:rPr>
          <w:rFonts w:eastAsia="Calibri"/>
          <w:color w:val="000000" w:themeColor="text1"/>
          <w:lang w:eastAsia="en-US"/>
        </w:rPr>
        <w:t xml:space="preserve"> un 68 890 </w:t>
      </w:r>
      <w:r w:rsidRPr="00307028">
        <w:rPr>
          <w:rFonts w:eastAsia="Calibri"/>
          <w:i/>
          <w:iCs/>
          <w:color w:val="000000" w:themeColor="text1"/>
          <w:lang w:eastAsia="en-US"/>
        </w:rPr>
        <w:t>euro</w:t>
      </w:r>
      <w:r w:rsidRPr="00307028">
        <w:rPr>
          <w:rFonts w:eastAsia="Calibri"/>
          <w:color w:val="000000" w:themeColor="text1"/>
          <w:lang w:eastAsia="en-US"/>
        </w:rPr>
        <w:t xml:space="preserve"> apmērā (EKK 2000 no precēm un pakalpojumiem) no apakšprogrammas 46.03.00 </w:t>
      </w:r>
      <w:r w:rsidR="006A5E8F" w:rsidRPr="00307028">
        <w:rPr>
          <w:rFonts w:eastAsia="Calibri"/>
          <w:color w:val="000000" w:themeColor="text1"/>
          <w:lang w:eastAsia="en-US"/>
        </w:rPr>
        <w:t>“</w:t>
      </w:r>
      <w:r w:rsidRPr="00307028">
        <w:rPr>
          <w:rFonts w:eastAsia="Calibri"/>
          <w:color w:val="000000" w:themeColor="text1"/>
          <w:lang w:eastAsia="en-US"/>
        </w:rPr>
        <w:t>Slimību profilakses nodrošināšana</w:t>
      </w:r>
      <w:r w:rsidR="006A5E8F" w:rsidRPr="00307028">
        <w:rPr>
          <w:rFonts w:eastAsia="Calibri"/>
          <w:color w:val="000000" w:themeColor="text1"/>
          <w:lang w:eastAsia="en-US"/>
        </w:rPr>
        <w:t>”</w:t>
      </w:r>
      <w:r w:rsidRPr="00307028">
        <w:rPr>
          <w:rFonts w:eastAsia="Calibri"/>
          <w:color w:val="000000" w:themeColor="text1"/>
          <w:lang w:eastAsia="en-US"/>
        </w:rPr>
        <w:t xml:space="preserve"> uz budžeta resora </w:t>
      </w:r>
      <w:r w:rsidR="006A5E8F" w:rsidRPr="00307028">
        <w:rPr>
          <w:rFonts w:eastAsia="Calibri"/>
          <w:color w:val="000000" w:themeColor="text1"/>
          <w:lang w:eastAsia="en-US"/>
        </w:rPr>
        <w:t>“</w:t>
      </w:r>
      <w:r w:rsidRPr="00307028">
        <w:rPr>
          <w:rFonts w:eastAsia="Calibri"/>
          <w:color w:val="000000" w:themeColor="text1"/>
          <w:lang w:eastAsia="en-US"/>
        </w:rPr>
        <w:t>74. Gadskārtējā valsts budžeta izpildes procesā pārdalāmais finansējums</w:t>
      </w:r>
      <w:r w:rsidR="006A5E8F" w:rsidRPr="00307028">
        <w:rPr>
          <w:rFonts w:eastAsia="Calibri"/>
          <w:color w:val="000000" w:themeColor="text1"/>
          <w:lang w:eastAsia="en-US"/>
        </w:rPr>
        <w:t>”</w:t>
      </w:r>
      <w:r w:rsidRPr="00307028">
        <w:rPr>
          <w:rFonts w:eastAsia="Calibri"/>
          <w:color w:val="000000" w:themeColor="text1"/>
          <w:lang w:eastAsia="en-US"/>
        </w:rPr>
        <w:t xml:space="preserve"> programmu 20.00.00 </w:t>
      </w:r>
      <w:r w:rsidR="006A5E8F" w:rsidRPr="00307028">
        <w:rPr>
          <w:rFonts w:eastAsia="Calibri"/>
          <w:color w:val="000000" w:themeColor="text1"/>
          <w:lang w:eastAsia="en-US"/>
        </w:rPr>
        <w:t>“</w:t>
      </w:r>
      <w:r w:rsidRPr="00307028">
        <w:rPr>
          <w:rFonts w:eastAsia="Calibri"/>
          <w:color w:val="000000" w:themeColor="text1"/>
          <w:lang w:eastAsia="en-US"/>
        </w:rPr>
        <w:t>Veselības aprūpes neatliekamo pasākumu īstenošana 2023. gadā</w:t>
      </w:r>
      <w:r w:rsidR="006A5E8F" w:rsidRPr="00307028">
        <w:rPr>
          <w:rFonts w:eastAsia="Calibri"/>
          <w:color w:val="000000" w:themeColor="text1"/>
          <w:lang w:eastAsia="en-US"/>
        </w:rPr>
        <w:t>”</w:t>
      </w:r>
      <w:r w:rsidRPr="00307028">
        <w:rPr>
          <w:rFonts w:eastAsia="Calibri"/>
          <w:color w:val="000000" w:themeColor="text1"/>
          <w:lang w:eastAsia="en-US"/>
        </w:rPr>
        <w:t>, lai nodrošinātu neatliekamu un prioritāru pasākumu finansēšanu veselības nozarei 2023. gadā.</w:t>
      </w:r>
    </w:p>
    <w:p w14:paraId="00A30B32" w14:textId="77777777" w:rsidR="0051672C" w:rsidRPr="00307028" w:rsidRDefault="0051672C" w:rsidP="0051672C">
      <w:pPr>
        <w:spacing w:after="120" w:line="259" w:lineRule="auto"/>
        <w:ind w:firstLine="709"/>
        <w:jc w:val="both"/>
        <w:rPr>
          <w:rFonts w:eastAsia="Calibri"/>
          <w:color w:val="000000" w:themeColor="text1"/>
          <w:lang w:eastAsia="en-US"/>
        </w:rPr>
      </w:pPr>
      <w:r w:rsidRPr="00307028">
        <w:rPr>
          <w:rFonts w:eastAsia="Times New Roman"/>
          <w:color w:val="000000" w:themeColor="text1"/>
          <w:lang w:eastAsia="lv-LV"/>
        </w:rPr>
        <w:t xml:space="preserve">Ņemot vērā Covid-19 pandēmijas pieredzi, ECDC un PVO iesaka nodrošināt gatavību citām ārkārtas situācijām un krīzēm gan saistībā ar Covid-19, jo pandēmija joprojām turpinās </w:t>
      </w:r>
      <w:r w:rsidRPr="00307028">
        <w:rPr>
          <w:rFonts w:eastAsia="Times New Roman"/>
          <w:color w:val="000000" w:themeColor="text1"/>
          <w:lang w:eastAsia="lv-LV"/>
        </w:rPr>
        <w:lastRenderedPageBreak/>
        <w:t>un SARS-CoV-2 celmi joprojām attīstās neprognozējami, gan citām infekcijas slimībām.</w:t>
      </w:r>
      <w:r w:rsidRPr="00307028">
        <w:rPr>
          <w:rFonts w:eastAsia="Times New Roman"/>
          <w:color w:val="000000"/>
          <w:bdr w:val="none" w:sz="0" w:space="0" w:color="auto" w:frame="1"/>
          <w:shd w:val="clear" w:color="auto" w:fill="FFFFFF"/>
          <w:lang w:eastAsia="lv-LV"/>
        </w:rPr>
        <w:t xml:space="preserve"> </w:t>
      </w:r>
      <w:r w:rsidRPr="00307028">
        <w:rPr>
          <w:rFonts w:eastAsia="Times New Roman"/>
          <w:color w:val="000000"/>
          <w:bdr w:val="none" w:sz="0" w:space="0" w:color="auto" w:frame="1"/>
          <w:lang w:eastAsia="lv-LV"/>
        </w:rPr>
        <w:t>K</w:t>
      </w:r>
      <w:r w:rsidRPr="00307028">
        <w:rPr>
          <w:rFonts w:eastAsia="Times New Roman"/>
          <w:color w:val="000000"/>
          <w:bdr w:val="none" w:sz="0" w:space="0" w:color="auto" w:frame="1"/>
          <w:shd w:val="clear" w:color="auto" w:fill="FFFFFF"/>
          <w:lang w:eastAsia="lv-LV"/>
        </w:rPr>
        <w:t xml:space="preserve">ontaktu izsekošanas rīks (mobilā lietotne “Apturi Covid”) ir minētās gatavības sastāvdaļa. Tādēļ VM norāda, ka mobilā lietotne “Apturi Covid” var palikt neaktīva, bet gatava lietošanai nepieciešamības gadījumā. </w:t>
      </w:r>
    </w:p>
    <w:bookmarkEnd w:id="143"/>
    <w:p w14:paraId="25FEC9F3" w14:textId="3648D0AC" w:rsidR="0016333F" w:rsidRPr="00307028" w:rsidRDefault="0016333F" w:rsidP="00183D1A">
      <w:pPr>
        <w:numPr>
          <w:ilvl w:val="0"/>
          <w:numId w:val="14"/>
        </w:numPr>
        <w:spacing w:before="120" w:after="120" w:line="259" w:lineRule="auto"/>
        <w:ind w:left="0" w:firstLine="425"/>
        <w:jc w:val="both"/>
        <w:rPr>
          <w:rFonts w:eastAsiaTheme="minorHAnsi"/>
          <w:lang w:eastAsia="en-US"/>
        </w:rPr>
      </w:pPr>
      <w:r w:rsidRPr="00307028">
        <w:rPr>
          <w:rFonts w:eastAsiaTheme="minorHAnsi"/>
          <w:lang w:eastAsia="en-US"/>
        </w:rPr>
        <w:t xml:space="preserve">KM (LNMM) uzturētā mobilā lietotne </w:t>
      </w:r>
      <w:r w:rsidRPr="00307028">
        <w:rPr>
          <w:rFonts w:eastAsiaTheme="minorHAnsi"/>
          <w:b/>
          <w:bCs/>
          <w:lang w:eastAsia="en-US"/>
        </w:rPr>
        <w:t xml:space="preserve">“Mākslas muzejs” </w:t>
      </w:r>
      <w:r w:rsidRPr="00307028">
        <w:rPr>
          <w:rFonts w:eastAsiaTheme="minorHAnsi"/>
          <w:lang w:eastAsia="en-US"/>
        </w:rPr>
        <w:t xml:space="preserve">izveidota 2016. gadā. Tās izveidei tika piesaistīts sponsora finansējums. Mobilā lietotne ļauj atklāt un izzināt ekspozīcijas un unikālās ēkas arhitektūru. Lietotāja uzmanība tiek pievērsta detaļām, kuras caur dažādām aktivitātēm un izziņas līmeņiem iesaista aizraujošā stāstā. Mobilās lietotnes dizains ir veidots viegli un ērti lietojams. Uzturēšanas izmaksas 2022. gadā bijušas 701 </w:t>
      </w:r>
      <w:r w:rsidRPr="00307028">
        <w:rPr>
          <w:rFonts w:eastAsiaTheme="minorHAnsi"/>
          <w:i/>
          <w:iCs/>
          <w:lang w:eastAsia="en-US"/>
        </w:rPr>
        <w:t>euro</w:t>
      </w:r>
      <w:r w:rsidRPr="00307028">
        <w:rPr>
          <w:rFonts w:eastAsiaTheme="minorHAnsi"/>
          <w:lang w:eastAsia="en-US"/>
        </w:rPr>
        <w:t>. Iestādes personīgais mobilās lietotnes efektivitātes novērtējums ir 100%. Mobilā lietotne regulāri tiek reklamēta LNMM komunikācijas kanālos (mājaslapā, sociālajos medijos, vidē pie biļešu kases, medijos)</w:t>
      </w:r>
      <w:r w:rsidR="00D165C8" w:rsidRPr="00307028">
        <w:rPr>
          <w:rFonts w:eastAsiaTheme="minorHAnsi"/>
          <w:lang w:eastAsia="en-US"/>
        </w:rPr>
        <w:t>.</w:t>
      </w:r>
      <w:r w:rsidRPr="00307028">
        <w:rPr>
          <w:rFonts w:eastAsiaTheme="minorHAnsi"/>
          <w:lang w:eastAsia="en-US"/>
        </w:rPr>
        <w:t xml:space="preserve"> 2023. gadā plānots mobilās lietotnes satura audits un testēšana.</w:t>
      </w:r>
    </w:p>
    <w:p w14:paraId="2D0514AF" w14:textId="2F5A1C97" w:rsidR="0016333F" w:rsidRPr="00307028" w:rsidRDefault="0016333F" w:rsidP="00D165C8">
      <w:pPr>
        <w:numPr>
          <w:ilvl w:val="0"/>
          <w:numId w:val="14"/>
        </w:numPr>
        <w:spacing w:before="120" w:after="120" w:line="259" w:lineRule="auto"/>
        <w:ind w:left="0" w:firstLine="426"/>
        <w:jc w:val="both"/>
        <w:rPr>
          <w:rFonts w:eastAsiaTheme="minorHAnsi"/>
          <w:lang w:eastAsia="en-US"/>
        </w:rPr>
      </w:pPr>
      <w:r w:rsidRPr="00307028">
        <w:rPr>
          <w:rFonts w:eastAsiaTheme="minorHAnsi"/>
          <w:lang w:eastAsia="en-US"/>
        </w:rPr>
        <w:t xml:space="preserve">KM (LNKC) uzturētā mobilā lietotne </w:t>
      </w:r>
      <w:r w:rsidRPr="00307028">
        <w:rPr>
          <w:rFonts w:eastAsiaTheme="minorHAnsi"/>
          <w:b/>
          <w:bCs/>
          <w:lang w:eastAsia="en-US"/>
        </w:rPr>
        <w:t xml:space="preserve">“Lakstīgala” </w:t>
      </w:r>
      <w:r w:rsidRPr="00307028">
        <w:rPr>
          <w:rFonts w:eastAsiaTheme="minorHAnsi"/>
          <w:lang w:eastAsia="en-US"/>
        </w:rPr>
        <w:t>izveidota 2013. gadā, tās izveidei piesaist</w:t>
      </w:r>
      <w:r w:rsidR="00D165C8" w:rsidRPr="00307028">
        <w:rPr>
          <w:rFonts w:eastAsiaTheme="minorHAnsi"/>
          <w:lang w:eastAsia="en-US"/>
        </w:rPr>
        <w:t>ot</w:t>
      </w:r>
      <w:r w:rsidRPr="00307028">
        <w:rPr>
          <w:rFonts w:eastAsiaTheme="minorHAnsi"/>
          <w:lang w:eastAsia="en-US"/>
        </w:rPr>
        <w:t xml:space="preserve"> sponsora finansējum</w:t>
      </w:r>
      <w:r w:rsidR="00D165C8" w:rsidRPr="00307028">
        <w:rPr>
          <w:rFonts w:eastAsiaTheme="minorHAnsi"/>
          <w:lang w:eastAsia="en-US"/>
        </w:rPr>
        <w:t>u</w:t>
      </w:r>
      <w:r w:rsidRPr="00307028">
        <w:rPr>
          <w:rFonts w:eastAsiaTheme="minorHAnsi"/>
          <w:lang w:eastAsia="en-US"/>
        </w:rPr>
        <w:t xml:space="preserve">. Šī mobilā lietotne ir tapusi kā mūsdienīgāka versija latviešu tautasdziesmu krājumam “Lakstīgala”, kurā kordiriģents Roberts Zuika apkopojis pazīstamākās latviešu tautasdziesmas. Uzturēšanas izmaksas 2022. gadā bijušas 625 </w:t>
      </w:r>
      <w:r w:rsidRPr="00307028">
        <w:rPr>
          <w:rFonts w:eastAsiaTheme="minorHAnsi"/>
          <w:i/>
          <w:iCs/>
          <w:lang w:eastAsia="en-US"/>
        </w:rPr>
        <w:t>euro</w:t>
      </w:r>
      <w:r w:rsidRPr="00307028">
        <w:rPr>
          <w:rFonts w:eastAsiaTheme="minorHAnsi"/>
          <w:lang w:eastAsia="en-US"/>
        </w:rPr>
        <w:t>. Iestādes personīgais mobilās lietotnes efektivitātes novērtējums ir 90%. Mobilās lietotnes optimizācijas pasākumi tuvāko gadu laikā nav plānoti.</w:t>
      </w:r>
    </w:p>
    <w:p w14:paraId="36F740C9" w14:textId="53FE977C" w:rsidR="0016333F" w:rsidRPr="00307028" w:rsidRDefault="0016333F" w:rsidP="00427388">
      <w:pPr>
        <w:spacing w:before="120" w:after="120" w:line="259" w:lineRule="auto"/>
        <w:ind w:firstLine="709"/>
        <w:jc w:val="both"/>
        <w:rPr>
          <w:rFonts w:eastAsiaTheme="minorHAnsi"/>
          <w:u w:val="single"/>
          <w:lang w:eastAsia="en-US"/>
        </w:rPr>
      </w:pPr>
      <w:r w:rsidRPr="00307028">
        <w:rPr>
          <w:rFonts w:eastAsiaTheme="minorHAnsi"/>
          <w:u w:val="single"/>
          <w:lang w:eastAsia="en-US"/>
        </w:rPr>
        <w:t>Mobilās lietotnes, kas ir likvidētas</w:t>
      </w:r>
    </w:p>
    <w:p w14:paraId="467D363C" w14:textId="77777777" w:rsidR="0016333F" w:rsidRPr="00307028" w:rsidRDefault="0016333F" w:rsidP="00427388">
      <w:pPr>
        <w:spacing w:before="120" w:after="120" w:line="259" w:lineRule="auto"/>
        <w:ind w:firstLine="709"/>
        <w:jc w:val="both"/>
        <w:rPr>
          <w:rFonts w:eastAsiaTheme="minorHAnsi"/>
          <w:lang w:eastAsia="en-US"/>
        </w:rPr>
      </w:pPr>
      <w:r w:rsidRPr="00307028">
        <w:rPr>
          <w:rFonts w:eastAsiaTheme="minorHAnsi"/>
          <w:lang w:eastAsia="en-US"/>
        </w:rPr>
        <w:t xml:space="preserve">Vairākas mobilās lietotnes laika gaitā ir zaudējušas savu aktualitāti un to izveidotāji (uzturētāji) ir nolēmuši mobilās lietotnes likvidēt. MK (VK) un TM (VVC) iesniedza informāciju FM par likvidētajām mobilajām lietotnēm. Tabulā Nr. 2.4.1.3. apkopotas arī papildus FM konstatētās mobilās lietotnes, kuras ir likvidētas. </w:t>
      </w:r>
    </w:p>
    <w:p w14:paraId="4C96861F" w14:textId="77777777" w:rsidR="0016333F" w:rsidRPr="00307028" w:rsidRDefault="0016333F" w:rsidP="0016333F">
      <w:pPr>
        <w:spacing w:after="160" w:line="259" w:lineRule="auto"/>
        <w:ind w:left="567" w:hanging="283"/>
        <w:contextualSpacing/>
        <w:jc w:val="center"/>
        <w:rPr>
          <w:rFonts w:eastAsiaTheme="minorHAnsi"/>
          <w:sz w:val="22"/>
          <w:szCs w:val="22"/>
          <w:lang w:eastAsia="en-US"/>
        </w:rPr>
      </w:pPr>
      <w:r w:rsidRPr="00307028">
        <w:rPr>
          <w:rFonts w:eastAsiaTheme="minorHAnsi"/>
          <w:b/>
          <w:bCs/>
          <w:i/>
          <w:iCs/>
          <w:sz w:val="22"/>
          <w:szCs w:val="22"/>
          <w:lang w:eastAsia="en-US"/>
        </w:rPr>
        <w:t>2.4.1.3. tabula</w:t>
      </w:r>
      <w:r w:rsidRPr="00307028">
        <w:rPr>
          <w:rFonts w:eastAsiaTheme="minorHAnsi"/>
          <w:b/>
          <w:bCs/>
          <w:sz w:val="22"/>
          <w:szCs w:val="22"/>
          <w:lang w:eastAsia="en-US"/>
        </w:rPr>
        <w:t xml:space="preserve"> Mobilās lietotnes, kuras ir likvidētas</w:t>
      </w:r>
    </w:p>
    <w:tbl>
      <w:tblPr>
        <w:tblStyle w:val="TableGridLight"/>
        <w:tblW w:w="8789" w:type="dxa"/>
        <w:jc w:val="center"/>
        <w:tblLook w:val="04A0" w:firstRow="1" w:lastRow="0" w:firstColumn="1" w:lastColumn="0" w:noHBand="0" w:noVBand="1"/>
      </w:tblPr>
      <w:tblGrid>
        <w:gridCol w:w="538"/>
        <w:gridCol w:w="1513"/>
        <w:gridCol w:w="926"/>
        <w:gridCol w:w="2977"/>
        <w:gridCol w:w="1425"/>
        <w:gridCol w:w="1410"/>
      </w:tblGrid>
      <w:tr w:rsidR="0016333F" w:rsidRPr="00307028" w14:paraId="7E8DBBDB" w14:textId="77777777" w:rsidTr="0017150F">
        <w:trPr>
          <w:jc w:val="center"/>
        </w:trPr>
        <w:tc>
          <w:tcPr>
            <w:tcW w:w="538" w:type="dxa"/>
            <w:shd w:val="clear" w:color="auto" w:fill="85C2E0"/>
            <w:vAlign w:val="center"/>
          </w:tcPr>
          <w:p w14:paraId="45A4236F"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Nr.</w:t>
            </w:r>
          </w:p>
        </w:tc>
        <w:tc>
          <w:tcPr>
            <w:tcW w:w="1513" w:type="dxa"/>
            <w:shd w:val="clear" w:color="auto" w:fill="85C2E0"/>
            <w:vAlign w:val="center"/>
          </w:tcPr>
          <w:p w14:paraId="44F040CD"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Ministrija</w:t>
            </w:r>
          </w:p>
        </w:tc>
        <w:tc>
          <w:tcPr>
            <w:tcW w:w="926" w:type="dxa"/>
            <w:shd w:val="clear" w:color="auto" w:fill="85C2E0"/>
            <w:vAlign w:val="center"/>
          </w:tcPr>
          <w:p w14:paraId="4FF2CC64"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Iestāde</w:t>
            </w:r>
          </w:p>
        </w:tc>
        <w:tc>
          <w:tcPr>
            <w:tcW w:w="2977" w:type="dxa"/>
            <w:shd w:val="clear" w:color="auto" w:fill="85C2E0"/>
            <w:vAlign w:val="center"/>
          </w:tcPr>
          <w:p w14:paraId="309802F4"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Mobilās lietotnes nosaukums</w:t>
            </w:r>
          </w:p>
        </w:tc>
        <w:tc>
          <w:tcPr>
            <w:tcW w:w="1425" w:type="dxa"/>
            <w:shd w:val="clear" w:color="auto" w:fill="85C2E0"/>
            <w:vAlign w:val="center"/>
          </w:tcPr>
          <w:p w14:paraId="52B61053"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Izveides gads</w:t>
            </w:r>
          </w:p>
        </w:tc>
        <w:tc>
          <w:tcPr>
            <w:tcW w:w="1410" w:type="dxa"/>
            <w:shd w:val="clear" w:color="auto" w:fill="85C2E0"/>
            <w:vAlign w:val="center"/>
          </w:tcPr>
          <w:p w14:paraId="2D9D1725" w14:textId="77777777" w:rsidR="0016333F" w:rsidRPr="0017150F" w:rsidRDefault="0016333F" w:rsidP="0016333F">
            <w:pPr>
              <w:jc w:val="center"/>
              <w:rPr>
                <w:rFonts w:eastAsiaTheme="minorHAnsi"/>
                <w:b/>
                <w:bCs/>
                <w:sz w:val="18"/>
                <w:szCs w:val="18"/>
                <w:lang w:eastAsia="en-US"/>
              </w:rPr>
            </w:pPr>
            <w:r w:rsidRPr="0017150F">
              <w:rPr>
                <w:rFonts w:eastAsiaTheme="minorHAnsi"/>
                <w:b/>
                <w:bCs/>
                <w:sz w:val="18"/>
                <w:szCs w:val="18"/>
                <w:lang w:eastAsia="en-US"/>
              </w:rPr>
              <w:t>Likvidācijas gads</w:t>
            </w:r>
          </w:p>
        </w:tc>
      </w:tr>
      <w:tr w:rsidR="0016333F" w:rsidRPr="00307028" w14:paraId="21B093D5" w14:textId="77777777" w:rsidTr="0017150F">
        <w:trPr>
          <w:jc w:val="center"/>
        </w:trPr>
        <w:tc>
          <w:tcPr>
            <w:tcW w:w="538" w:type="dxa"/>
            <w:shd w:val="clear" w:color="auto" w:fill="auto"/>
          </w:tcPr>
          <w:p w14:paraId="1E6CC376" w14:textId="77777777" w:rsidR="0016333F" w:rsidRPr="0017150F" w:rsidRDefault="0016333F" w:rsidP="0016333F">
            <w:pPr>
              <w:jc w:val="center"/>
              <w:rPr>
                <w:rFonts w:eastAsiaTheme="minorHAnsi"/>
                <w:sz w:val="20"/>
                <w:szCs w:val="20"/>
                <w:lang w:eastAsia="en-US"/>
              </w:rPr>
            </w:pPr>
            <w:r w:rsidRPr="0017150F">
              <w:rPr>
                <w:rFonts w:eastAsiaTheme="minorHAnsi"/>
                <w:sz w:val="20"/>
                <w:szCs w:val="20"/>
                <w:lang w:eastAsia="en-US"/>
              </w:rPr>
              <w:t>1.</w:t>
            </w:r>
          </w:p>
        </w:tc>
        <w:tc>
          <w:tcPr>
            <w:tcW w:w="1513" w:type="dxa"/>
            <w:shd w:val="clear" w:color="auto" w:fill="auto"/>
          </w:tcPr>
          <w:p w14:paraId="4D9345EE"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FM</w:t>
            </w:r>
          </w:p>
        </w:tc>
        <w:tc>
          <w:tcPr>
            <w:tcW w:w="926" w:type="dxa"/>
            <w:shd w:val="clear" w:color="auto" w:fill="auto"/>
          </w:tcPr>
          <w:p w14:paraId="25EEA0EA"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VID</w:t>
            </w:r>
          </w:p>
        </w:tc>
        <w:tc>
          <w:tcPr>
            <w:tcW w:w="2977" w:type="dxa"/>
            <w:shd w:val="clear" w:color="auto" w:fill="auto"/>
          </w:tcPr>
          <w:p w14:paraId="4EA00899"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Aizdomīgie darījumi</w:t>
            </w:r>
          </w:p>
        </w:tc>
        <w:tc>
          <w:tcPr>
            <w:tcW w:w="1425" w:type="dxa"/>
          </w:tcPr>
          <w:p w14:paraId="6C76BC62"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2016.</w:t>
            </w:r>
          </w:p>
        </w:tc>
        <w:tc>
          <w:tcPr>
            <w:tcW w:w="1410" w:type="dxa"/>
          </w:tcPr>
          <w:p w14:paraId="2225DD89"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2022.</w:t>
            </w:r>
          </w:p>
        </w:tc>
      </w:tr>
      <w:tr w:rsidR="0016333F" w:rsidRPr="00307028" w14:paraId="4976F794" w14:textId="77777777" w:rsidTr="0017150F">
        <w:trPr>
          <w:jc w:val="center"/>
        </w:trPr>
        <w:tc>
          <w:tcPr>
            <w:tcW w:w="538" w:type="dxa"/>
            <w:shd w:val="clear" w:color="auto" w:fill="auto"/>
          </w:tcPr>
          <w:p w14:paraId="0E241BAA" w14:textId="77777777" w:rsidR="0016333F" w:rsidRPr="0017150F" w:rsidRDefault="0016333F" w:rsidP="0016333F">
            <w:pPr>
              <w:jc w:val="center"/>
              <w:rPr>
                <w:rFonts w:eastAsiaTheme="minorHAnsi"/>
                <w:sz w:val="20"/>
                <w:szCs w:val="20"/>
                <w:lang w:eastAsia="en-US"/>
              </w:rPr>
            </w:pPr>
            <w:r w:rsidRPr="0017150F">
              <w:rPr>
                <w:rFonts w:eastAsiaTheme="minorHAnsi"/>
                <w:sz w:val="20"/>
                <w:szCs w:val="20"/>
                <w:lang w:eastAsia="en-US"/>
              </w:rPr>
              <w:t>2.</w:t>
            </w:r>
          </w:p>
        </w:tc>
        <w:tc>
          <w:tcPr>
            <w:tcW w:w="1513" w:type="dxa"/>
            <w:shd w:val="clear" w:color="auto" w:fill="auto"/>
          </w:tcPr>
          <w:p w14:paraId="1A45EE99"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KM</w:t>
            </w:r>
          </w:p>
        </w:tc>
        <w:tc>
          <w:tcPr>
            <w:tcW w:w="926" w:type="dxa"/>
            <w:shd w:val="clear" w:color="auto" w:fill="auto"/>
          </w:tcPr>
          <w:p w14:paraId="07DF3303"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LNKC</w:t>
            </w:r>
          </w:p>
        </w:tc>
        <w:tc>
          <w:tcPr>
            <w:tcW w:w="2977" w:type="dxa"/>
            <w:shd w:val="clear" w:color="auto" w:fill="auto"/>
          </w:tcPr>
          <w:p w14:paraId="18B49BE3"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Svētki</w:t>
            </w:r>
          </w:p>
        </w:tc>
        <w:tc>
          <w:tcPr>
            <w:tcW w:w="1425" w:type="dxa"/>
          </w:tcPr>
          <w:p w14:paraId="63CD03DE"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2018.</w:t>
            </w:r>
          </w:p>
        </w:tc>
        <w:tc>
          <w:tcPr>
            <w:tcW w:w="1410" w:type="dxa"/>
          </w:tcPr>
          <w:p w14:paraId="4B1A4286"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2018.</w:t>
            </w:r>
          </w:p>
        </w:tc>
      </w:tr>
      <w:tr w:rsidR="0016333F" w:rsidRPr="00307028" w14:paraId="0AF15319" w14:textId="77777777" w:rsidTr="0017150F">
        <w:trPr>
          <w:jc w:val="center"/>
        </w:trPr>
        <w:tc>
          <w:tcPr>
            <w:tcW w:w="538" w:type="dxa"/>
            <w:shd w:val="clear" w:color="auto" w:fill="auto"/>
          </w:tcPr>
          <w:p w14:paraId="7C2AD664" w14:textId="7B58B6FB" w:rsidR="0016333F" w:rsidRPr="0017150F" w:rsidRDefault="00C57D12" w:rsidP="0016333F">
            <w:pPr>
              <w:jc w:val="center"/>
              <w:rPr>
                <w:rFonts w:eastAsiaTheme="minorHAnsi"/>
                <w:sz w:val="20"/>
                <w:szCs w:val="20"/>
                <w:lang w:eastAsia="en-US"/>
              </w:rPr>
            </w:pPr>
            <w:r w:rsidRPr="0017150F">
              <w:rPr>
                <w:rFonts w:eastAsiaTheme="minorHAnsi"/>
                <w:sz w:val="20"/>
                <w:szCs w:val="20"/>
                <w:lang w:eastAsia="en-US"/>
              </w:rPr>
              <w:t>3</w:t>
            </w:r>
            <w:r w:rsidR="0016333F" w:rsidRPr="0017150F">
              <w:rPr>
                <w:rFonts w:eastAsiaTheme="minorHAnsi"/>
                <w:sz w:val="20"/>
                <w:szCs w:val="20"/>
                <w:lang w:eastAsia="en-US"/>
              </w:rPr>
              <w:t>.</w:t>
            </w:r>
          </w:p>
        </w:tc>
        <w:tc>
          <w:tcPr>
            <w:tcW w:w="1513" w:type="dxa"/>
            <w:shd w:val="clear" w:color="auto" w:fill="auto"/>
          </w:tcPr>
          <w:p w14:paraId="126FC4CC"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MK</w:t>
            </w:r>
          </w:p>
        </w:tc>
        <w:tc>
          <w:tcPr>
            <w:tcW w:w="926" w:type="dxa"/>
            <w:shd w:val="clear" w:color="auto" w:fill="auto"/>
          </w:tcPr>
          <w:p w14:paraId="64DD935C"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VK</w:t>
            </w:r>
          </w:p>
        </w:tc>
        <w:tc>
          <w:tcPr>
            <w:tcW w:w="2977" w:type="dxa"/>
            <w:shd w:val="clear" w:color="auto" w:fill="auto"/>
          </w:tcPr>
          <w:p w14:paraId="236B14AE"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Futbols</w:t>
            </w:r>
          </w:p>
        </w:tc>
        <w:tc>
          <w:tcPr>
            <w:tcW w:w="1425" w:type="dxa"/>
          </w:tcPr>
          <w:p w14:paraId="5E050C09"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2013.</w:t>
            </w:r>
          </w:p>
        </w:tc>
        <w:tc>
          <w:tcPr>
            <w:tcW w:w="1410" w:type="dxa"/>
          </w:tcPr>
          <w:p w14:paraId="02AB9149" w14:textId="6653B31B" w:rsidR="0016333F" w:rsidRPr="0017150F" w:rsidRDefault="00A8237F" w:rsidP="0016333F">
            <w:pPr>
              <w:jc w:val="center"/>
              <w:rPr>
                <w:rFonts w:eastAsiaTheme="minorHAnsi"/>
                <w:b/>
                <w:bCs/>
                <w:sz w:val="20"/>
                <w:szCs w:val="20"/>
                <w:lang w:eastAsia="en-US"/>
              </w:rPr>
            </w:pPr>
            <w:r w:rsidRPr="0017150F">
              <w:rPr>
                <w:rFonts w:eastAsiaTheme="minorHAnsi"/>
                <w:b/>
                <w:bCs/>
                <w:sz w:val="20"/>
                <w:szCs w:val="20"/>
                <w:lang w:eastAsia="en-US"/>
              </w:rPr>
              <w:t>Nav zināms</w:t>
            </w:r>
          </w:p>
        </w:tc>
      </w:tr>
      <w:tr w:rsidR="0016333F" w:rsidRPr="00307028" w14:paraId="4B0A9052" w14:textId="77777777" w:rsidTr="0017150F">
        <w:trPr>
          <w:jc w:val="center"/>
        </w:trPr>
        <w:tc>
          <w:tcPr>
            <w:tcW w:w="538" w:type="dxa"/>
            <w:shd w:val="clear" w:color="auto" w:fill="auto"/>
          </w:tcPr>
          <w:p w14:paraId="670D94B0" w14:textId="0E018540" w:rsidR="0016333F" w:rsidRPr="0017150F" w:rsidRDefault="00C57D12" w:rsidP="0016333F">
            <w:pPr>
              <w:jc w:val="center"/>
              <w:rPr>
                <w:rFonts w:eastAsiaTheme="minorHAnsi"/>
                <w:sz w:val="20"/>
                <w:szCs w:val="20"/>
                <w:lang w:eastAsia="en-US"/>
              </w:rPr>
            </w:pPr>
            <w:r w:rsidRPr="0017150F">
              <w:rPr>
                <w:rFonts w:eastAsiaTheme="minorHAnsi"/>
                <w:sz w:val="20"/>
                <w:szCs w:val="20"/>
                <w:lang w:eastAsia="en-US"/>
              </w:rPr>
              <w:t>4</w:t>
            </w:r>
            <w:r w:rsidR="0016333F" w:rsidRPr="0017150F">
              <w:rPr>
                <w:rFonts w:eastAsiaTheme="minorHAnsi"/>
                <w:sz w:val="20"/>
                <w:szCs w:val="20"/>
                <w:lang w:eastAsia="en-US"/>
              </w:rPr>
              <w:t>.</w:t>
            </w:r>
          </w:p>
        </w:tc>
        <w:tc>
          <w:tcPr>
            <w:tcW w:w="1513" w:type="dxa"/>
            <w:shd w:val="clear" w:color="auto" w:fill="auto"/>
          </w:tcPr>
          <w:p w14:paraId="0F0E1406"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TM</w:t>
            </w:r>
          </w:p>
        </w:tc>
        <w:tc>
          <w:tcPr>
            <w:tcW w:w="926" w:type="dxa"/>
            <w:shd w:val="clear" w:color="auto" w:fill="auto"/>
          </w:tcPr>
          <w:p w14:paraId="2A22EA8B"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VVC</w:t>
            </w:r>
          </w:p>
        </w:tc>
        <w:tc>
          <w:tcPr>
            <w:tcW w:w="2977" w:type="dxa"/>
            <w:shd w:val="clear" w:color="auto" w:fill="auto"/>
          </w:tcPr>
          <w:p w14:paraId="188CB176"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Valodas draugs</w:t>
            </w:r>
          </w:p>
        </w:tc>
        <w:tc>
          <w:tcPr>
            <w:tcW w:w="1425" w:type="dxa"/>
          </w:tcPr>
          <w:p w14:paraId="6880C2F9"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2017.</w:t>
            </w:r>
          </w:p>
        </w:tc>
        <w:tc>
          <w:tcPr>
            <w:tcW w:w="1410" w:type="dxa"/>
          </w:tcPr>
          <w:p w14:paraId="2EC4B2C2"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2023.</w:t>
            </w:r>
          </w:p>
        </w:tc>
      </w:tr>
      <w:tr w:rsidR="0016333F" w:rsidRPr="00307028" w14:paraId="796C4E91" w14:textId="77777777" w:rsidTr="0017150F">
        <w:trPr>
          <w:jc w:val="center"/>
        </w:trPr>
        <w:tc>
          <w:tcPr>
            <w:tcW w:w="538" w:type="dxa"/>
            <w:shd w:val="clear" w:color="auto" w:fill="auto"/>
          </w:tcPr>
          <w:p w14:paraId="6F4F7D71" w14:textId="45C6B4A3" w:rsidR="0016333F" w:rsidRPr="0017150F" w:rsidRDefault="00C57D12" w:rsidP="0016333F">
            <w:pPr>
              <w:jc w:val="center"/>
              <w:rPr>
                <w:rFonts w:eastAsiaTheme="minorHAnsi"/>
                <w:sz w:val="20"/>
                <w:szCs w:val="20"/>
                <w:lang w:eastAsia="en-US"/>
              </w:rPr>
            </w:pPr>
            <w:r w:rsidRPr="0017150F">
              <w:rPr>
                <w:rFonts w:eastAsiaTheme="minorHAnsi"/>
                <w:sz w:val="20"/>
                <w:szCs w:val="20"/>
                <w:lang w:eastAsia="en-US"/>
              </w:rPr>
              <w:t>5</w:t>
            </w:r>
            <w:r w:rsidR="0016333F" w:rsidRPr="0017150F">
              <w:rPr>
                <w:rFonts w:eastAsiaTheme="minorHAnsi"/>
                <w:sz w:val="20"/>
                <w:szCs w:val="20"/>
                <w:lang w:eastAsia="en-US"/>
              </w:rPr>
              <w:t>.</w:t>
            </w:r>
          </w:p>
        </w:tc>
        <w:tc>
          <w:tcPr>
            <w:tcW w:w="1513" w:type="dxa"/>
            <w:shd w:val="clear" w:color="auto" w:fill="auto"/>
          </w:tcPr>
          <w:p w14:paraId="578C4838"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VM</w:t>
            </w:r>
          </w:p>
        </w:tc>
        <w:tc>
          <w:tcPr>
            <w:tcW w:w="926" w:type="dxa"/>
            <w:shd w:val="clear" w:color="auto" w:fill="auto"/>
          </w:tcPr>
          <w:p w14:paraId="3BBB6309" w14:textId="77777777" w:rsidR="0016333F" w:rsidRPr="0017150F" w:rsidRDefault="0016333F" w:rsidP="0016333F">
            <w:pPr>
              <w:rPr>
                <w:rFonts w:eastAsiaTheme="minorHAnsi"/>
                <w:sz w:val="20"/>
                <w:szCs w:val="20"/>
                <w:lang w:eastAsia="en-US"/>
              </w:rPr>
            </w:pPr>
            <w:r w:rsidRPr="0017150F">
              <w:rPr>
                <w:rFonts w:eastAsiaTheme="minorHAnsi"/>
                <w:sz w:val="20"/>
                <w:szCs w:val="20"/>
                <w:lang w:eastAsia="en-US"/>
              </w:rPr>
              <w:t>SPKC</w:t>
            </w:r>
          </w:p>
        </w:tc>
        <w:tc>
          <w:tcPr>
            <w:tcW w:w="2977" w:type="dxa"/>
            <w:shd w:val="clear" w:color="auto" w:fill="auto"/>
          </w:tcPr>
          <w:p w14:paraId="1ED3302E" w14:textId="77777777" w:rsidR="0016333F" w:rsidRPr="0017150F" w:rsidRDefault="0016333F" w:rsidP="0016333F">
            <w:pPr>
              <w:rPr>
                <w:rFonts w:eastAsiaTheme="minorHAnsi"/>
                <w:b/>
                <w:bCs/>
                <w:sz w:val="20"/>
                <w:szCs w:val="20"/>
                <w:lang w:eastAsia="en-US"/>
              </w:rPr>
            </w:pPr>
            <w:r w:rsidRPr="0017150F">
              <w:rPr>
                <w:rFonts w:eastAsiaTheme="minorHAnsi"/>
                <w:b/>
                <w:bCs/>
                <w:sz w:val="20"/>
                <w:szCs w:val="20"/>
                <w:lang w:eastAsia="en-US"/>
              </w:rPr>
              <w:t>Zobs</w:t>
            </w:r>
          </w:p>
        </w:tc>
        <w:tc>
          <w:tcPr>
            <w:tcW w:w="1425" w:type="dxa"/>
          </w:tcPr>
          <w:p w14:paraId="26EC1B5F"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2016.</w:t>
            </w:r>
          </w:p>
        </w:tc>
        <w:tc>
          <w:tcPr>
            <w:tcW w:w="1410" w:type="dxa"/>
          </w:tcPr>
          <w:p w14:paraId="4AE2CA00" w14:textId="77777777" w:rsidR="0016333F" w:rsidRPr="0017150F" w:rsidRDefault="0016333F" w:rsidP="0016333F">
            <w:pPr>
              <w:jc w:val="center"/>
              <w:rPr>
                <w:rFonts w:eastAsiaTheme="minorHAnsi"/>
                <w:b/>
                <w:bCs/>
                <w:sz w:val="20"/>
                <w:szCs w:val="20"/>
                <w:lang w:eastAsia="en-US"/>
              </w:rPr>
            </w:pPr>
            <w:r w:rsidRPr="0017150F">
              <w:rPr>
                <w:rFonts w:eastAsiaTheme="minorHAnsi"/>
                <w:b/>
                <w:bCs/>
                <w:sz w:val="20"/>
                <w:szCs w:val="20"/>
                <w:lang w:eastAsia="en-US"/>
              </w:rPr>
              <w:t>Nav zināms</w:t>
            </w:r>
          </w:p>
        </w:tc>
      </w:tr>
    </w:tbl>
    <w:p w14:paraId="1D29AC5A" w14:textId="04481C04" w:rsidR="0016333F" w:rsidRPr="00307028" w:rsidRDefault="0016333F" w:rsidP="00183D1A">
      <w:pPr>
        <w:numPr>
          <w:ilvl w:val="0"/>
          <w:numId w:val="15"/>
        </w:numPr>
        <w:spacing w:before="120" w:after="120" w:line="259" w:lineRule="auto"/>
        <w:ind w:left="0" w:firstLine="425"/>
        <w:jc w:val="both"/>
        <w:rPr>
          <w:rFonts w:eastAsiaTheme="minorHAnsi"/>
          <w:lang w:eastAsia="en-US"/>
        </w:rPr>
      </w:pPr>
      <w:r w:rsidRPr="00307028">
        <w:rPr>
          <w:rFonts w:eastAsiaTheme="minorHAnsi"/>
          <w:lang w:eastAsia="en-US"/>
        </w:rPr>
        <w:t xml:space="preserve">FM (VID) mobilā lietotne </w:t>
      </w:r>
      <w:r w:rsidRPr="00307028">
        <w:rPr>
          <w:rFonts w:eastAsiaTheme="minorHAnsi"/>
          <w:b/>
          <w:bCs/>
          <w:lang w:eastAsia="en-US"/>
        </w:rPr>
        <w:t xml:space="preserve">“Aizdomīgie darījumi” </w:t>
      </w:r>
      <w:r w:rsidRPr="00307028">
        <w:rPr>
          <w:rFonts w:eastAsiaTheme="minorHAnsi"/>
          <w:lang w:eastAsia="en-US"/>
        </w:rPr>
        <w:t xml:space="preserve">tika izveidota 2016. gadā vienlaikus ar mobilo lietotni “Attaisnotie izdevumi” kā izstrādes blakusprodukts, jo šīs lietotnes funkcionalitāte bija analoģiska, bet atšķīrās ar to, ka nofotografēto dokumentu nosūtīja uz nepersonalizētu (lietotājam nepiesaistītu) krātuvi, </w:t>
      </w:r>
      <w:r w:rsidR="00D165C8" w:rsidRPr="00307028">
        <w:rPr>
          <w:rFonts w:eastAsiaTheme="minorHAnsi"/>
          <w:lang w:eastAsia="en-US"/>
        </w:rPr>
        <w:t xml:space="preserve">proti, </w:t>
      </w:r>
      <w:r w:rsidRPr="00307028">
        <w:rPr>
          <w:rFonts w:eastAsiaTheme="minorHAnsi"/>
          <w:lang w:eastAsia="en-US"/>
        </w:rPr>
        <w:t>lietotājs varēja palikt anonīms</w:t>
      </w:r>
      <w:r w:rsidRPr="00307028">
        <w:rPr>
          <w:rFonts w:eastAsiaTheme="minorHAnsi"/>
          <w:b/>
          <w:bCs/>
          <w:lang w:eastAsia="en-US"/>
        </w:rPr>
        <w:t xml:space="preserve">. </w:t>
      </w:r>
      <w:r w:rsidRPr="00307028">
        <w:rPr>
          <w:rFonts w:eastAsiaTheme="minorHAnsi"/>
          <w:lang w:eastAsia="en-US"/>
        </w:rPr>
        <w:t>Ar tās palīdzību ikvienam iedzīvotājam bija iespēja ērti un vienkārši iesaistīties negodprātīgu uzņēmēju apzināšanā un atbalstīt cīņu pret ēnu ekonomiku, nosūtot </w:t>
      </w:r>
      <w:hyperlink r:id="rId57" w:tgtFrame="_blank" w:history="1">
        <w:r w:rsidRPr="00307028">
          <w:rPr>
            <w:rFonts w:eastAsiaTheme="minorHAnsi"/>
            <w:lang w:eastAsia="en-US"/>
          </w:rPr>
          <w:t>VID</w:t>
        </w:r>
      </w:hyperlink>
      <w:r w:rsidRPr="00307028">
        <w:rPr>
          <w:rFonts w:eastAsiaTheme="minorHAnsi"/>
          <w:lang w:eastAsia="en-US"/>
        </w:rPr>
        <w:t> čeku, kvīti vai citu maksājumu apliecinošu dokumentu par šaubīgiem darījumiem. Analizējot mobilajā lietotnē iesūtītos datus un to izmantošanas efektivitāti, kā arī lietotnes lietderību, 2022. gadā tika pieņemts lēmums mobilo lietotni likvidēt.</w:t>
      </w:r>
    </w:p>
    <w:p w14:paraId="5536FC79" w14:textId="7F8DD84B" w:rsidR="0016333F" w:rsidRPr="00307028" w:rsidRDefault="0016333F" w:rsidP="00183D1A">
      <w:pPr>
        <w:numPr>
          <w:ilvl w:val="0"/>
          <w:numId w:val="15"/>
        </w:numPr>
        <w:spacing w:before="120" w:after="120" w:line="259" w:lineRule="auto"/>
        <w:ind w:left="0" w:firstLine="426"/>
        <w:jc w:val="both"/>
        <w:rPr>
          <w:rFonts w:eastAsiaTheme="minorHAnsi"/>
          <w:lang w:eastAsia="en-US"/>
        </w:rPr>
      </w:pPr>
      <w:r w:rsidRPr="00307028">
        <w:rPr>
          <w:rFonts w:eastAsiaTheme="minorHAnsi"/>
          <w:lang w:eastAsia="en-US"/>
        </w:rPr>
        <w:t xml:space="preserve">KM (LNKC) mobilā lietotne </w:t>
      </w:r>
      <w:r w:rsidRPr="00307028">
        <w:rPr>
          <w:rFonts w:eastAsiaTheme="minorHAnsi"/>
          <w:b/>
          <w:bCs/>
          <w:lang w:eastAsia="en-US"/>
        </w:rPr>
        <w:t>“Svētki”</w:t>
      </w:r>
      <w:r w:rsidRPr="00307028">
        <w:rPr>
          <w:rFonts w:eastAsiaTheme="minorHAnsi"/>
          <w:lang w:eastAsia="en-US"/>
        </w:rPr>
        <w:t xml:space="preserve"> tika izveidota 2018. gadā, noslēdzot </w:t>
      </w:r>
      <w:r w:rsidR="00D165C8" w:rsidRPr="00307028">
        <w:rPr>
          <w:rFonts w:eastAsiaTheme="minorHAnsi"/>
          <w:lang w:eastAsia="en-US"/>
        </w:rPr>
        <w:t>z</w:t>
      </w:r>
      <w:r w:rsidRPr="00307028">
        <w:rPr>
          <w:rFonts w:eastAsiaTheme="minorHAnsi"/>
          <w:lang w:eastAsia="en-US"/>
        </w:rPr>
        <w:t xml:space="preserve">iedojuma līgumu par atbalstu </w:t>
      </w:r>
      <w:r w:rsidRPr="00307028">
        <w:rPr>
          <w:rFonts w:eastAsiaTheme="minorHAnsi"/>
          <w:color w:val="000000"/>
          <w:lang w:eastAsia="en-US"/>
        </w:rPr>
        <w:t>XXVI Vispārējiem latviešu Dziesmu un XVI Deju svētkiem</w:t>
      </w:r>
      <w:r w:rsidRPr="00307028">
        <w:rPr>
          <w:rFonts w:eastAsiaTheme="minorHAnsi"/>
          <w:lang w:eastAsia="en-US"/>
        </w:rPr>
        <w:t xml:space="preserve">. Mobilajā lietotnē bija pieejama aktuāla un noderīga informācija par Dziesmu un deju svētku norisi gan dalībniekiem, gan skatītājiem, tāpat bija pieejami arī interesanti fakti par svētkiem, svētku tiešraides un video stāsti. Savukārt dalībnieki varēja piekļūt arī personalizētai, sev praktiski noderīgai informācijai. </w:t>
      </w:r>
      <w:r w:rsidR="00F84BC7" w:rsidRPr="00307028">
        <w:rPr>
          <w:rFonts w:eastAsiaTheme="minorHAnsi"/>
          <w:lang w:eastAsia="en-US"/>
        </w:rPr>
        <w:t>V</w:t>
      </w:r>
      <w:r w:rsidRPr="00307028">
        <w:rPr>
          <w:rFonts w:eastAsiaTheme="minorHAnsi"/>
          <w:color w:val="000000"/>
          <w:lang w:eastAsia="en-US"/>
        </w:rPr>
        <w:t>eicot IT ekspertu aptauju, izvērtēts</w:t>
      </w:r>
      <w:r w:rsidR="00EE2D2F" w:rsidRPr="00307028">
        <w:rPr>
          <w:rFonts w:eastAsiaTheme="minorHAnsi"/>
          <w:color w:val="000000"/>
          <w:lang w:eastAsia="en-US"/>
        </w:rPr>
        <w:t xml:space="preserve"> </w:t>
      </w:r>
      <w:r w:rsidRPr="00307028">
        <w:rPr>
          <w:rFonts w:eastAsiaTheme="minorHAnsi"/>
          <w:lang w:eastAsia="en-US"/>
        </w:rPr>
        <w:t>mobilās lietotnes “Svētki”</w:t>
      </w:r>
      <w:r w:rsidRPr="00307028">
        <w:rPr>
          <w:rFonts w:eastAsiaTheme="minorHAnsi"/>
          <w:color w:val="000000"/>
          <w:lang w:eastAsia="en-US"/>
        </w:rPr>
        <w:t xml:space="preserve"> tehniskais stāvoklis, tās atjaunošanas izmaksas, lietderība un tālākās izmantošanas iespējamība. </w:t>
      </w:r>
      <w:r w:rsidRPr="00307028">
        <w:rPr>
          <w:rFonts w:eastAsiaTheme="minorHAnsi"/>
          <w:color w:val="000000"/>
          <w:lang w:eastAsia="en-US"/>
        </w:rPr>
        <w:lastRenderedPageBreak/>
        <w:t>Secināts, ka mobilā lietotne pēc pieciem gadiem būtu novecojusi, jo netiktu nodrošināta tās jaunināšana no izstrādātāja puses, kā rezultātā tālāka izmantošana apdraud lietotāju datu un datortīkla drošu izmantošanu un uzturēšanu. Tā nebūtu izmantojama paredzēto funkciju izpildei, tās atjaunošana atbilstoši mūsdienu tehniskajām prasībām nebūtu finansiāli un tehniski lietderīga, kā arī tālākā racionāla mobilās lietotnes izmantošana nebūtu iespējama.</w:t>
      </w:r>
    </w:p>
    <w:p w14:paraId="3F113819" w14:textId="6C40EC44" w:rsidR="0016333F" w:rsidRPr="00307028" w:rsidRDefault="0016333F" w:rsidP="00183D1A">
      <w:pPr>
        <w:numPr>
          <w:ilvl w:val="0"/>
          <w:numId w:val="15"/>
        </w:numPr>
        <w:spacing w:before="120" w:after="120" w:line="259" w:lineRule="auto"/>
        <w:ind w:left="0" w:firstLine="425"/>
        <w:jc w:val="both"/>
        <w:rPr>
          <w:rFonts w:eastAsiaTheme="minorHAnsi"/>
          <w:lang w:eastAsia="en-US"/>
        </w:rPr>
      </w:pPr>
      <w:bookmarkStart w:id="144" w:name="_Hlk136939733"/>
      <w:r w:rsidRPr="00307028">
        <w:rPr>
          <w:rFonts w:eastAsiaTheme="minorHAnsi"/>
          <w:lang w:eastAsia="en-US"/>
        </w:rPr>
        <w:t>MK (</w:t>
      </w:r>
      <w:bookmarkStart w:id="145" w:name="_Hlk133331534"/>
      <w:r w:rsidRPr="00307028">
        <w:rPr>
          <w:rFonts w:eastAsiaTheme="minorHAnsi"/>
          <w:lang w:eastAsia="en-US"/>
        </w:rPr>
        <w:t>VK</w:t>
      </w:r>
      <w:bookmarkEnd w:id="145"/>
      <w:r w:rsidRPr="00307028">
        <w:rPr>
          <w:rFonts w:eastAsiaTheme="minorHAnsi"/>
          <w:lang w:eastAsia="en-US"/>
        </w:rPr>
        <w:t xml:space="preserve">) mobilā lietotne </w:t>
      </w:r>
      <w:r w:rsidRPr="00307028">
        <w:rPr>
          <w:rFonts w:eastAsiaTheme="minorHAnsi"/>
          <w:b/>
          <w:bCs/>
          <w:lang w:eastAsia="en-US"/>
        </w:rPr>
        <w:t xml:space="preserve">“Futbols” </w:t>
      </w:r>
      <w:r w:rsidRPr="00307028">
        <w:rPr>
          <w:rFonts w:eastAsiaTheme="minorHAnsi"/>
          <w:lang w:eastAsia="en-US"/>
        </w:rPr>
        <w:t>izveidota 2013. gadā no valsts budžeta līdzekļiem. Mobilā lietotne bija paredzēta sadarbības sekmēšanai ar sabiedrību un veidota, lai iedzīvotājiem nodrošinātu iespēju elektroniski iesniegt priekšlikumus birokrātijas mazināšanai valsts iestāžu sniegtajos pakalpojumos. Tāpat mobilajā lietotnē tika iekļauta funkcija</w:t>
      </w:r>
      <w:r w:rsidR="00D165C8" w:rsidRPr="00307028">
        <w:rPr>
          <w:rFonts w:eastAsiaTheme="minorHAnsi"/>
          <w:lang w:eastAsia="en-US"/>
        </w:rPr>
        <w:t>, kas ļauj</w:t>
      </w:r>
      <w:r w:rsidRPr="00307028">
        <w:rPr>
          <w:rFonts w:eastAsiaTheme="minorHAnsi"/>
          <w:lang w:eastAsia="en-US"/>
        </w:rPr>
        <w:t xml:space="preserve"> uzslavēt kādu iestādi vai darbinieku, vai </w:t>
      </w:r>
      <w:r w:rsidR="005351F6" w:rsidRPr="00307028">
        <w:rPr>
          <w:rFonts w:eastAsiaTheme="minorHAnsi"/>
          <w:lang w:eastAsia="en-US"/>
        </w:rPr>
        <w:t xml:space="preserve">arī </w:t>
      </w:r>
      <w:r w:rsidRPr="00307028">
        <w:rPr>
          <w:rFonts w:eastAsiaTheme="minorHAnsi"/>
          <w:lang w:eastAsia="en-US"/>
        </w:rPr>
        <w:t>ziņot par sadarbību ar valsts iestādēm vai konkrētiem darbiniekiem, kuru dēļ notiek vislielākā novirzīšana (“futbolēšana”) no vienas iestādes uz otru. Mobilā lietotne triumfējusi ANO rīkotajā mobilo lietotņu konkursā “</w:t>
      </w:r>
      <w:r w:rsidRPr="00307028">
        <w:rPr>
          <w:rFonts w:eastAsiaTheme="minorHAnsi"/>
          <w:i/>
          <w:iCs/>
          <w:lang w:eastAsia="en-US"/>
        </w:rPr>
        <w:t>World Summit Award Mobile (WSA Mobile)</w:t>
      </w:r>
      <w:r w:rsidRPr="00307028">
        <w:rPr>
          <w:rFonts w:eastAsiaTheme="minorHAnsi"/>
          <w:lang w:eastAsia="en-US"/>
        </w:rPr>
        <w:t xml:space="preserve">” un ierindota starp 40 labākajām pasaulē. Tāpat “Futbols” novērtēta kā TOP5 mobilā </w:t>
      </w:r>
      <w:r w:rsidR="0051672C" w:rsidRPr="00307028">
        <w:rPr>
          <w:rFonts w:eastAsiaTheme="minorHAnsi"/>
          <w:lang w:eastAsia="en-US"/>
        </w:rPr>
        <w:t>lietotne</w:t>
      </w:r>
      <w:r w:rsidRPr="00307028">
        <w:rPr>
          <w:rFonts w:eastAsiaTheme="minorHAnsi"/>
          <w:lang w:eastAsia="en-US"/>
        </w:rPr>
        <w:t xml:space="preserve"> pasaulē kategorijā “m-Valdība un līdzdalība”</w:t>
      </w:r>
      <w:r w:rsidRPr="00307028">
        <w:rPr>
          <w:rFonts w:eastAsiaTheme="minorHAnsi"/>
          <w:i/>
          <w:iCs/>
          <w:lang w:eastAsia="en-US"/>
        </w:rPr>
        <w:t xml:space="preserve"> (m-Government &amp; Participation)</w:t>
      </w:r>
      <w:r w:rsidRPr="00307028">
        <w:rPr>
          <w:rFonts w:eastAsiaTheme="minorHAnsi"/>
          <w:vertAlign w:val="superscript"/>
          <w:lang w:eastAsia="en-US"/>
        </w:rPr>
        <w:t xml:space="preserve"> </w:t>
      </w:r>
      <w:r w:rsidRPr="00307028">
        <w:rPr>
          <w:rFonts w:eastAsiaTheme="minorHAnsi"/>
          <w:vertAlign w:val="superscript"/>
          <w:lang w:eastAsia="en-US"/>
        </w:rPr>
        <w:footnoteReference w:id="27"/>
      </w:r>
      <w:r w:rsidRPr="00307028">
        <w:rPr>
          <w:rFonts w:eastAsiaTheme="minorHAnsi"/>
          <w:lang w:eastAsia="en-US"/>
        </w:rPr>
        <w:t>. EK izrādīja interesi par VK izstrādātās mobilās lietotnes funkcionalitāti un pielāgošanu, lai visās ES dalībvalstīs nodrošinātu līdzīgu platformu iedzīvotāju atsauksmju saņemšanai par valsts iestāžu sniegtajiem pakalpojumiem. EK plānoja izstrādāt bezmaksas lietotni, kuras pamatā būtu Latvijā radītais “Futbols”. MK 2016. gada 2. februārī nolēma EK Informātikas ģenerāldirektorātam bez atlīdzības nodot mobilās lietotnes “Futbols” pirmkodu, tehnisko dokumentāciju, kurā aprakstīta sistēmas vispārējā uzbūve, un mobilās lietotnes darbības vadlīnijas</w:t>
      </w:r>
      <w:r w:rsidRPr="00307028">
        <w:rPr>
          <w:rFonts w:eastAsiaTheme="minorHAnsi"/>
          <w:vertAlign w:val="superscript"/>
          <w:lang w:eastAsia="en-US"/>
        </w:rPr>
        <w:footnoteReference w:id="28"/>
      </w:r>
      <w:r w:rsidRPr="00307028">
        <w:rPr>
          <w:rFonts w:eastAsiaTheme="minorHAnsi"/>
          <w:lang w:eastAsia="en-US"/>
        </w:rPr>
        <w:t>. VK rīcībā nav informācijas, kāda bijusi virzība lietotnes pielāgošanā un vai tā ir nonākusi kādā no ES dalībvalstīm.</w:t>
      </w:r>
    </w:p>
    <w:bookmarkEnd w:id="144"/>
    <w:p w14:paraId="5317FBE2" w14:textId="5AB9A11D" w:rsidR="00A8237F" w:rsidRPr="00307028" w:rsidRDefault="00A8237F" w:rsidP="00A8237F">
      <w:pPr>
        <w:spacing w:before="120" w:after="120" w:line="259" w:lineRule="auto"/>
        <w:ind w:firstLine="720"/>
        <w:jc w:val="both"/>
        <w:rPr>
          <w:rFonts w:eastAsiaTheme="minorHAnsi"/>
          <w:lang w:eastAsia="en-US"/>
        </w:rPr>
      </w:pPr>
      <w:r w:rsidRPr="00307028">
        <w:rPr>
          <w:rFonts w:eastAsiaTheme="minorHAnsi"/>
          <w:lang w:eastAsia="en-US"/>
        </w:rPr>
        <w:t xml:space="preserve">Neskatoties uz augsto mobilās lietotnes novērtējumu, VK informēja, ka laika gaitā tā zaudējusi aktualitāti un efektivitāti. Par to liecināja arvien mazāk pienākošie iedzīvotāju ziņojumi un to neatbilstība mobilās lietotnes mērķiem un saturam, tāpēc netikta veikta tās atjaunināšana. 2018. gadā arī tīmekļvietne “Mazinām slogu kopā” pārtrauca darbību. VK norāda, ka </w:t>
      </w:r>
      <w:r w:rsidR="005351F6" w:rsidRPr="00307028">
        <w:rPr>
          <w:rFonts w:eastAsiaTheme="minorHAnsi"/>
          <w:lang w:eastAsia="en-US"/>
        </w:rPr>
        <w:t xml:space="preserve">kopš tā brīža </w:t>
      </w:r>
      <w:r w:rsidRPr="00307028">
        <w:rPr>
          <w:rFonts w:eastAsiaTheme="minorHAnsi"/>
          <w:lang w:eastAsia="en-US"/>
        </w:rPr>
        <w:t xml:space="preserve">ir mainīts fokuss birokrātijas jeb administratīva sloga mazināšanai, lai resursus koncentrētu jomai, kas varētu radīt lielāku pozitīvu paliekošu efektu – pašlaik VK ir augsta līmeņa darba grupa administratīvā sloga mazināšanai tieši uzņēmējdarbības jomā, kur notiek ministriju un uzņēmēju interešu pārstāvības organizāciju sadarbība. </w:t>
      </w:r>
    </w:p>
    <w:p w14:paraId="67A1D68E" w14:textId="6551366F" w:rsidR="0016333F" w:rsidRPr="00307028" w:rsidRDefault="0016333F" w:rsidP="00183D1A">
      <w:pPr>
        <w:numPr>
          <w:ilvl w:val="0"/>
          <w:numId w:val="15"/>
        </w:numPr>
        <w:spacing w:before="120" w:after="120" w:line="259" w:lineRule="auto"/>
        <w:ind w:left="0" w:firstLine="425"/>
        <w:jc w:val="both"/>
        <w:rPr>
          <w:rFonts w:eastAsiaTheme="minorHAnsi"/>
          <w:lang w:eastAsia="en-US"/>
        </w:rPr>
      </w:pPr>
      <w:r w:rsidRPr="00307028">
        <w:rPr>
          <w:rFonts w:eastAsiaTheme="minorHAnsi"/>
          <w:lang w:eastAsia="en-US"/>
        </w:rPr>
        <w:t xml:space="preserve">TM (VVC) mobilā lietotne </w:t>
      </w:r>
      <w:r w:rsidRPr="00307028">
        <w:rPr>
          <w:rFonts w:eastAsiaTheme="minorHAnsi"/>
          <w:b/>
          <w:bCs/>
          <w:lang w:eastAsia="en-US"/>
        </w:rPr>
        <w:t xml:space="preserve">“Valodas draugs” </w:t>
      </w:r>
      <w:r w:rsidRPr="00307028">
        <w:rPr>
          <w:rFonts w:eastAsiaTheme="minorHAnsi"/>
          <w:lang w:eastAsia="en-US"/>
        </w:rPr>
        <w:t xml:space="preserve">izveidota 2017. gadā no valsts budžeta līdzekļiem. Mobilā lietotne sniedza iespēju sabiedrībai līdzdarboties VVC darbībā, nosūtot ziņojumu par iespējamu valsts valodas pārkāpumu vai, tieši pretēji, uzslavējot latviešu valodai draudzīgu uzņēmumu, preses izdevumu vai </w:t>
      </w:r>
      <w:r w:rsidR="005351F6" w:rsidRPr="00307028">
        <w:rPr>
          <w:rFonts w:eastAsiaTheme="minorHAnsi"/>
          <w:lang w:eastAsia="en-US"/>
        </w:rPr>
        <w:t>tīmekļvietni</w:t>
      </w:r>
      <w:r w:rsidRPr="00307028">
        <w:rPr>
          <w:rFonts w:eastAsiaTheme="minorHAnsi"/>
          <w:lang w:eastAsia="en-US"/>
        </w:rPr>
        <w:t>. 2022. gadā bija tehniskas problēmas ar lietotnes darbību. Lai turpmāk varētu lietot mobilo lietotni, bija jāmaina novecojusī programmēšanas valoda. Aptaujājot uzņēmumus, tika iegūta informācija, ka pārrakstīšana jaunā valodā izmaksās apmēram 8,0</w:t>
      </w:r>
      <w:r w:rsidR="005351F6" w:rsidRPr="00307028">
        <w:rPr>
          <w:rFonts w:eastAsiaTheme="minorHAnsi"/>
          <w:lang w:eastAsia="en-US"/>
        </w:rPr>
        <w:t xml:space="preserve"> </w:t>
      </w:r>
      <w:r w:rsidR="005351F6" w:rsidRPr="00307028">
        <w:rPr>
          <w:rFonts w:asciiTheme="minorHAnsi" w:eastAsiaTheme="minorHAnsi" w:hAnsiTheme="minorHAnsi" w:cstheme="minorBidi"/>
          <w:sz w:val="22"/>
          <w:szCs w:val="22"/>
          <w:lang w:eastAsia="en-US"/>
        </w:rPr>
        <w:t xml:space="preserve">– </w:t>
      </w:r>
      <w:r w:rsidRPr="00307028">
        <w:rPr>
          <w:rFonts w:eastAsiaTheme="minorHAnsi"/>
          <w:lang w:eastAsia="en-US"/>
        </w:rPr>
        <w:t>9,0 tūkst. </w:t>
      </w:r>
      <w:r w:rsidRPr="00307028">
        <w:rPr>
          <w:rFonts w:eastAsiaTheme="minorHAnsi"/>
          <w:i/>
          <w:iCs/>
          <w:lang w:eastAsia="en-US"/>
        </w:rPr>
        <w:t>euro</w:t>
      </w:r>
      <w:r w:rsidRPr="00307028">
        <w:rPr>
          <w:rFonts w:eastAsiaTheme="minorHAnsi"/>
          <w:lang w:eastAsia="en-US"/>
        </w:rPr>
        <w:t xml:space="preserve">. Ņemot vērā nesamērīgās izmaksas pret lietotnes efektivitāti, 2023. gada janvārī tika pieņemts lēmums </w:t>
      </w:r>
      <w:r w:rsidR="005351F6" w:rsidRPr="00307028">
        <w:rPr>
          <w:rFonts w:eastAsiaTheme="minorHAnsi"/>
          <w:lang w:eastAsia="en-US"/>
        </w:rPr>
        <w:t xml:space="preserve">lietotni </w:t>
      </w:r>
      <w:r w:rsidRPr="00307028">
        <w:rPr>
          <w:rFonts w:eastAsiaTheme="minorHAnsi"/>
          <w:lang w:eastAsia="en-US"/>
        </w:rPr>
        <w:t>likvidēt, tā</w:t>
      </w:r>
      <w:r w:rsidR="005351F6" w:rsidRPr="00307028">
        <w:rPr>
          <w:rFonts w:eastAsiaTheme="minorHAnsi"/>
          <w:lang w:eastAsia="en-US"/>
        </w:rPr>
        <w:t>s</w:t>
      </w:r>
      <w:r w:rsidRPr="00307028">
        <w:rPr>
          <w:rFonts w:eastAsiaTheme="minorHAnsi"/>
          <w:lang w:eastAsia="en-US"/>
        </w:rPr>
        <w:t xml:space="preserve"> vietā ieviešot ērtu risinājumu VVC tīmekļvietnē iesnieguma iesniegšanai.</w:t>
      </w:r>
    </w:p>
    <w:p w14:paraId="171C873D" w14:textId="6089FB3D" w:rsidR="0016333F" w:rsidRPr="00307028" w:rsidRDefault="0016333F" w:rsidP="00580DD6">
      <w:pPr>
        <w:numPr>
          <w:ilvl w:val="0"/>
          <w:numId w:val="15"/>
        </w:numPr>
        <w:spacing w:before="120" w:line="259" w:lineRule="auto"/>
        <w:ind w:left="0" w:firstLine="425"/>
        <w:jc w:val="both"/>
        <w:rPr>
          <w:rFonts w:eastAsiaTheme="minorHAnsi"/>
          <w:lang w:eastAsia="en-US"/>
        </w:rPr>
      </w:pPr>
      <w:r w:rsidRPr="00307028">
        <w:rPr>
          <w:rFonts w:eastAsiaTheme="minorHAnsi"/>
          <w:lang w:eastAsia="en-US"/>
        </w:rPr>
        <w:t xml:space="preserve">VM (SPKC) mobilā lietotne </w:t>
      </w:r>
      <w:r w:rsidRPr="00307028">
        <w:rPr>
          <w:rFonts w:eastAsiaTheme="minorHAnsi"/>
          <w:b/>
          <w:bCs/>
          <w:lang w:eastAsia="en-US"/>
        </w:rPr>
        <w:t>“Zobs”</w:t>
      </w:r>
      <w:r w:rsidRPr="00307028">
        <w:rPr>
          <w:rFonts w:eastAsiaTheme="minorHAnsi"/>
          <w:lang w:eastAsia="en-US"/>
        </w:rPr>
        <w:t xml:space="preserve"> izveidota 2016. gadā, VM un SPKC organizētās kampaņas “Man ir tīri zobi!” ietvaros. Mobilā lietotne sniedza iespēju kontrolēt un atcerēties par regulāru zobu tīrīšanu. Šī </w:t>
      </w:r>
      <w:r w:rsidR="0051672C" w:rsidRPr="00307028">
        <w:rPr>
          <w:rFonts w:eastAsiaTheme="minorHAnsi"/>
          <w:lang w:eastAsia="en-US"/>
        </w:rPr>
        <w:t>mobilā lietotne</w:t>
      </w:r>
      <w:r w:rsidRPr="00307028">
        <w:rPr>
          <w:rFonts w:eastAsiaTheme="minorHAnsi"/>
          <w:lang w:eastAsia="en-US"/>
        </w:rPr>
        <w:t xml:space="preserve"> bija paredzēta bērniem – tās pamatā bija atgādināšana par tīrīšanas reizēm un laika atskaite ar ilustratīvu materiālu par pareizu tīrīšanas </w:t>
      </w:r>
      <w:r w:rsidRPr="00307028">
        <w:rPr>
          <w:rFonts w:eastAsiaTheme="minorHAnsi"/>
          <w:lang w:eastAsia="en-US"/>
        </w:rPr>
        <w:lastRenderedPageBreak/>
        <w:t xml:space="preserve">tehniku. VM informēja, ka tās rīcībā nav informācijas par to, kad un kāpēc mobilā lietotne ir </w:t>
      </w:r>
      <w:r w:rsidR="00A73B4C" w:rsidRPr="00307028">
        <w:rPr>
          <w:noProof/>
          <w:lang w:eastAsia="en-US"/>
        </w:rPr>
        <mc:AlternateContent>
          <mc:Choice Requires="wps">
            <w:drawing>
              <wp:anchor distT="0" distB="0" distL="114300" distR="114300" simplePos="0" relativeHeight="251724800" behindDoc="0" locked="0" layoutInCell="1" allowOverlap="1" wp14:anchorId="2141A24F" wp14:editId="1A8CAEF2">
                <wp:simplePos x="0" y="0"/>
                <wp:positionH relativeFrom="margin">
                  <wp:align>left</wp:align>
                </wp:positionH>
                <wp:positionV relativeFrom="paragraph">
                  <wp:posOffset>431827</wp:posOffset>
                </wp:positionV>
                <wp:extent cx="5762625" cy="314325"/>
                <wp:effectExtent l="0" t="0" r="9525" b="9525"/>
                <wp:wrapTopAndBottom/>
                <wp:docPr id="276720669" name="Rectangle 276720669"/>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36463A93" w14:textId="77777777" w:rsidR="00F84BC7" w:rsidRPr="00307028" w:rsidRDefault="00F84BC7" w:rsidP="00F84BC7">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1A24F" id="Rectangle 276720669" o:spid="_x0000_s1036" style="position:absolute;left:0;text-align:left;margin-left:0;margin-top:34pt;width:453.75pt;height:24.7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" fillcolor="#85c2e0" stroked="f" strokeweight="2pt">
                <v:textbox>
                  <w:txbxContent>
                    <w:p w14:paraId="36463A93" w14:textId="77777777" w:rsidR="00F84BC7" w:rsidRPr="00307028" w:rsidRDefault="00F84BC7" w:rsidP="00F84BC7">
                      <w:pPr>
                        <w:rPr>
                          <w:b/>
                          <w:bCs/>
                          <w:color w:val="000000" w:themeColor="text1"/>
                        </w:rPr>
                      </w:pPr>
                      <w:r w:rsidRPr="00307028">
                        <w:rPr>
                          <w:b/>
                          <w:bCs/>
                        </w:rPr>
                        <w:t>SECINĀJUMI:</w:t>
                      </w:r>
                    </w:p>
                  </w:txbxContent>
                </v:textbox>
                <w10:wrap type="topAndBottom" anchorx="margin"/>
              </v:rect>
            </w:pict>
          </mc:Fallback>
        </mc:AlternateContent>
      </w:r>
      <w:r w:rsidRPr="00307028">
        <w:rPr>
          <w:rFonts w:eastAsiaTheme="minorHAnsi"/>
          <w:lang w:eastAsia="en-US"/>
        </w:rPr>
        <w:t>likvidēta.</w:t>
      </w:r>
    </w:p>
    <w:p w14:paraId="3C7CF3A5" w14:textId="5B17A83F" w:rsidR="0016333F" w:rsidRPr="00307028" w:rsidRDefault="0016333F" w:rsidP="00BE4409">
      <w:pPr>
        <w:numPr>
          <w:ilvl w:val="0"/>
          <w:numId w:val="16"/>
        </w:numPr>
        <w:spacing w:before="120" w:after="120" w:line="259" w:lineRule="auto"/>
        <w:ind w:left="714" w:hanging="430"/>
        <w:jc w:val="both"/>
        <w:rPr>
          <w:rFonts w:eastAsiaTheme="minorHAnsi"/>
          <w:lang w:eastAsia="en-US"/>
        </w:rPr>
      </w:pPr>
      <w:r w:rsidRPr="00307028">
        <w:rPr>
          <w:rFonts w:eastAsiaTheme="minorHAnsi"/>
          <w:lang w:eastAsia="en-US"/>
        </w:rPr>
        <w:t xml:space="preserve">VARAM sadarbībā ar </w:t>
      </w:r>
      <w:r w:rsidR="00F84BC7" w:rsidRPr="00307028">
        <w:rPr>
          <w:rFonts w:eastAsiaTheme="minorHAnsi"/>
          <w:lang w:eastAsia="en-US"/>
        </w:rPr>
        <w:t>NVO</w:t>
      </w:r>
      <w:r w:rsidRPr="00307028">
        <w:rPr>
          <w:rFonts w:eastAsiaTheme="minorHAnsi"/>
          <w:lang w:eastAsia="en-US"/>
        </w:rPr>
        <w:t xml:space="preserve"> reizi gadā līdz attiecīgā gada 31. decembrim nosaka tīmekļvietņu vienkāršotās izvērtēšanas un tīmekļvietņu un mobilo lietotņu padziļinātās izvērtēšanas izlases kopas nākamajam gadam. 2022. gada 30. aprīļa informatīvajā ziņojumā par publisko personu tīmekļvietņu un mobilo lietotņu piekļūstamību 2021.</w:t>
      </w:r>
      <w:r w:rsidR="005351F6" w:rsidRPr="00307028">
        <w:rPr>
          <w:rFonts w:eastAsiaTheme="minorHAnsi"/>
          <w:lang w:eastAsia="en-US"/>
        </w:rPr>
        <w:t> </w:t>
      </w:r>
      <w:r w:rsidRPr="00307028">
        <w:rPr>
          <w:rFonts w:eastAsiaTheme="minorHAnsi"/>
          <w:lang w:eastAsia="en-US"/>
        </w:rPr>
        <w:t xml:space="preserve">gada periodā norādīts, ka ir veidota vienkāršotās izvērtēšanas tīmekļvietņu izlase (113 tīmekļvietnes) un padziļinātās izvērtēšanas izlase (16 tīmekļvietnes un astoņas mobilās lietotnes). Šajā izlasē iekļauto </w:t>
      </w:r>
      <w:bookmarkStart w:id="146" w:name="_Hlk141260664"/>
      <w:r w:rsidRPr="00307028">
        <w:rPr>
          <w:rFonts w:eastAsiaTheme="minorHAnsi"/>
          <w:lang w:eastAsia="en-US"/>
        </w:rPr>
        <w:t>tīmekļvietņu piekļūstamības izvērtējumi ņemami par pamatu, lai konstatētu statistisko situāciju valstī. Mobilo lietotņu piekļūstamība nosakāma padziļinātās izvērtēšanas ietvaros, kas līdz šim nav veikta, jo nepieciešamais finansējums, lai to veiktu</w:t>
      </w:r>
      <w:r w:rsidR="005351F6" w:rsidRPr="00307028">
        <w:rPr>
          <w:rFonts w:eastAsiaTheme="minorHAnsi"/>
          <w:lang w:eastAsia="en-US"/>
        </w:rPr>
        <w:t xml:space="preserve"> pirmo reizi</w:t>
      </w:r>
      <w:r w:rsidRPr="00307028">
        <w:rPr>
          <w:rFonts w:eastAsiaTheme="minorHAnsi"/>
          <w:lang w:eastAsia="en-US"/>
        </w:rPr>
        <w:t>, tika rasts tikai šogad.</w:t>
      </w:r>
    </w:p>
    <w:bookmarkEnd w:id="146"/>
    <w:p w14:paraId="209BDB88" w14:textId="4FABEA07"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 xml:space="preserve">VARAM Latvijas Atvērto datu portālā 2020. gada 31. augustā publicējusi apkopotu informāciju par valsts un pašvaldību iestāžu mobilajām lietotnēm. </w:t>
      </w:r>
      <w:r w:rsidR="005207DF" w:rsidRPr="00307028">
        <w:rPr>
          <w:rFonts w:eastAsiaTheme="minorHAnsi"/>
          <w:lang w:eastAsia="en-US"/>
        </w:rPr>
        <w:t>D</w:t>
      </w:r>
      <w:r w:rsidRPr="00307028">
        <w:rPr>
          <w:rFonts w:eastAsiaTheme="minorHAnsi"/>
          <w:lang w:eastAsia="en-US"/>
        </w:rPr>
        <w:t>atu atjaunošanas biežums ir reizi gadā, tomēr dati nav atjaunoti kopš to ievietošanas, līdz ar to informācija ir nepilnīga un novecojusi. Lai nodrošinātu aktuālas informācijas brīvu pieejamību, VARAM būtu nepieciešams atbilstoši norādītajam atjaunot datus reizi gadā, vēršot uzmanību uz publicēto datu kvalitāti un tālākizmantojamību.</w:t>
      </w:r>
    </w:p>
    <w:p w14:paraId="1641BB0A" w14:textId="634BD3F7"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Ministrijas, to padotībā esošās valsts budžeta iestādes un kapitālsabiedrības, kurās ministrija ir kapitāldaļu turētāja, laika periodā no 2013. gada līdz 2023. gadam izveidojušas un (vai) uztur 45 sabiedrībai pieejamas mob</w:t>
      </w:r>
      <w:r w:rsidR="00427388" w:rsidRPr="00307028">
        <w:rPr>
          <w:rFonts w:eastAsiaTheme="minorHAnsi"/>
          <w:lang w:eastAsia="en-US"/>
        </w:rPr>
        <w:t>il</w:t>
      </w:r>
      <w:r w:rsidRPr="00307028">
        <w:rPr>
          <w:rFonts w:eastAsiaTheme="minorHAnsi"/>
          <w:lang w:eastAsia="en-US"/>
        </w:rPr>
        <w:t>ās lietotnes. Piecas mobilās lietotnes ir izveidotas izmantojot iestāžu pašu finansējumu, 12 ir finansētas no valsts budžeta līdzekļiem, 12 no ES fondu līdzekļiem, bet 16 no citiem līdzekļiem (tajā skaitā saņemtas bez maksas).</w:t>
      </w:r>
    </w:p>
    <w:p w14:paraId="72B11ECF" w14:textId="0FEEBEEE"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 xml:space="preserve">Aplūkojot 12 mobilās lietotnes, kas izveidotas no valsts budžeta līdzekļiem, secināts, ka visaugstākās izveides izmaksas bijušas </w:t>
      </w:r>
      <w:r w:rsidRPr="00307028">
        <w:rPr>
          <w:rFonts w:eastAsia="Times New Roman"/>
          <w:lang w:eastAsia="lv-LV"/>
        </w:rPr>
        <w:t>KM (LNKC) izveidotajai mobilajai lietotnei “Dziesmusvētki” (199,9 tūkst. </w:t>
      </w:r>
      <w:r w:rsidRPr="00307028">
        <w:rPr>
          <w:rFonts w:eastAsia="Times New Roman"/>
          <w:i/>
          <w:iCs/>
          <w:lang w:eastAsia="lv-LV"/>
        </w:rPr>
        <w:t>euro</w:t>
      </w:r>
      <w:r w:rsidRPr="00307028">
        <w:rPr>
          <w:rFonts w:eastAsia="Times New Roman"/>
          <w:lang w:eastAsia="lv-LV"/>
        </w:rPr>
        <w:t>),</w:t>
      </w:r>
      <w:r w:rsidRPr="00307028">
        <w:rPr>
          <w:rFonts w:eastAsia="Times New Roman"/>
          <w:b/>
          <w:bCs/>
          <w:lang w:eastAsia="lv-LV"/>
        </w:rPr>
        <w:t xml:space="preserve"> </w:t>
      </w:r>
      <w:r w:rsidRPr="00307028">
        <w:rPr>
          <w:rFonts w:eastAsiaTheme="minorHAnsi"/>
          <w:lang w:eastAsia="en-US"/>
        </w:rPr>
        <w:t>viszemākās izveides izmaksas bijušas IZM (LVA) mobilajai lietotnei “Lociņš” (3,3 tūkst. </w:t>
      </w:r>
      <w:r w:rsidRPr="00307028">
        <w:rPr>
          <w:rFonts w:eastAsiaTheme="minorHAnsi"/>
          <w:i/>
          <w:iCs/>
          <w:lang w:eastAsia="en-US"/>
        </w:rPr>
        <w:t>euro</w:t>
      </w:r>
      <w:r w:rsidRPr="00307028">
        <w:rPr>
          <w:rFonts w:eastAsiaTheme="minorHAnsi"/>
          <w:lang w:eastAsia="en-US"/>
        </w:rPr>
        <w:t>). Savukārt visaugstākās uzturēšanas izmaksas uz vienu lietotāju (5,5 </w:t>
      </w:r>
      <w:r w:rsidRPr="00307028">
        <w:rPr>
          <w:rFonts w:eastAsiaTheme="minorHAnsi"/>
          <w:i/>
          <w:iCs/>
          <w:lang w:eastAsia="en-US"/>
        </w:rPr>
        <w:t>euro</w:t>
      </w:r>
      <w:r w:rsidRPr="00307028">
        <w:rPr>
          <w:rFonts w:eastAsiaTheme="minorHAnsi"/>
          <w:lang w:eastAsia="en-US"/>
        </w:rPr>
        <w:t xml:space="preserve">) bijušas KNAB mobilajai lietotnei “Ziņo KNAB”, bet viszemākās izmaksas uz vienu lietotāju (0,01 </w:t>
      </w:r>
      <w:r w:rsidRPr="00307028">
        <w:rPr>
          <w:rFonts w:eastAsiaTheme="minorHAnsi"/>
          <w:i/>
          <w:iCs/>
          <w:lang w:eastAsia="en-US"/>
        </w:rPr>
        <w:t>euro</w:t>
      </w:r>
      <w:r w:rsidRPr="00307028">
        <w:rPr>
          <w:rFonts w:eastAsiaTheme="minorHAnsi"/>
          <w:lang w:eastAsia="en-US"/>
        </w:rPr>
        <w:t>) bijušas SM (AS “Pasažieru vilciens”) mobilajai lietotnei “Pasažieru vilciens” un SIF mobilajai lietotnei “3+ karte”. Iestāžu personīgais mobilo lietotņu efektivitātes novērtējums ir no 40% līdz 100%. Ministrijām būtu nepieciešams popularizēt izveidotās mobilās lietotnes un piesaistīt arvien vairāk lietotāju, tādējādi palielinot mobilās lietotnes efektivitāti un samazinot uzturēšanas izdevumus uz vienu lietotāju.</w:t>
      </w:r>
    </w:p>
    <w:p w14:paraId="0FF7E38A" w14:textId="551F7312"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Ministrijas, to padotībā esošās valsts budžeta iestādes un kapitālsabiedrības, kurās ministrija ir kapitāldaļu turētāja</w:t>
      </w:r>
      <w:r w:rsidR="005351F6" w:rsidRPr="00307028">
        <w:rPr>
          <w:rFonts w:eastAsiaTheme="minorHAnsi"/>
          <w:lang w:eastAsia="en-US"/>
        </w:rPr>
        <w:t>,</w:t>
      </w:r>
      <w:r w:rsidRPr="00307028">
        <w:rPr>
          <w:rFonts w:eastAsiaTheme="minorHAnsi"/>
          <w:lang w:eastAsia="en-US"/>
        </w:rPr>
        <w:t xml:space="preserve"> ir izveidojušas un (vai) uztur arī mobilās lietotnes, kuras paredzētas iestāžu darbības nodrošināšanai, un tās izmanto tikai iestādes darbinieki, veicot amata pienākumus. Šādu mobilo lietotņu iestāžu personīgais efektivitātes novērtējums galvenokārt ir no 90% līdz 100%. Iestādes norāda, ka mobilās lietotnes nodrošina pamatdarbības un atbalsta procesu vienkāršošanu, datu pieejamību un dokumentu apriti. Piemēram, inspektoriem, kuri veic dažādas pārbaudes ārpus biroja telpām, nav pārbaužu rezultāti jāapkopo papīra formā un pēc tam tie jāievada atkārtoti sistēmā, bet mobilā lietotne automātiski ģenerē pārbaužu aktus.</w:t>
      </w:r>
    </w:p>
    <w:p w14:paraId="33E0CDD2" w14:textId="45B1E75B"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lastRenderedPageBreak/>
        <w:t xml:space="preserve">Trīs mobilās lietotnes, kuru izveides izmaksas tika finansētas no valsts budžeta līdzekļiem, ir nolemts aizstāt ar jaunu mobilo lietotni. Ministrijām pirms esošo mobilo lietotņu likvidācijas un jaunu mobilo lietotņu izveides būtu nepieciešams izvērtēt </w:t>
      </w:r>
      <w:r w:rsidR="005351F6" w:rsidRPr="00307028">
        <w:rPr>
          <w:rFonts w:eastAsiaTheme="minorHAnsi"/>
          <w:lang w:eastAsia="en-US"/>
        </w:rPr>
        <w:t xml:space="preserve">šīs darbības </w:t>
      </w:r>
      <w:r w:rsidRPr="00307028">
        <w:rPr>
          <w:rFonts w:eastAsiaTheme="minorHAnsi"/>
          <w:lang w:eastAsia="en-US"/>
        </w:rPr>
        <w:t xml:space="preserve">pamatotību, esošās mobilās lietotnes tehniskās atjaunošanas izmaksas pret jaunas mobilās lietotnes izveides izmaksām. </w:t>
      </w:r>
    </w:p>
    <w:p w14:paraId="5244BCF7" w14:textId="761E9344" w:rsidR="0016333F"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Vairākas mobilās lietotnes laika gaitā ir zaudējušas savu aktualitāti vai tehniski novecojušas, tāpēc ir nol</w:t>
      </w:r>
      <w:r w:rsidR="00427388" w:rsidRPr="00307028">
        <w:rPr>
          <w:rFonts w:eastAsiaTheme="minorHAnsi"/>
          <w:lang w:eastAsia="en-US"/>
        </w:rPr>
        <w:t>e</w:t>
      </w:r>
      <w:r w:rsidRPr="00307028">
        <w:rPr>
          <w:rFonts w:eastAsiaTheme="minorHAnsi"/>
          <w:lang w:eastAsia="en-US"/>
        </w:rPr>
        <w:t xml:space="preserve">mts </w:t>
      </w:r>
      <w:r w:rsidR="00427388" w:rsidRPr="00307028">
        <w:rPr>
          <w:rFonts w:eastAsiaTheme="minorHAnsi"/>
          <w:lang w:eastAsia="en-US"/>
        </w:rPr>
        <w:t>tās</w:t>
      </w:r>
      <w:r w:rsidRPr="00307028">
        <w:rPr>
          <w:rFonts w:eastAsiaTheme="minorHAnsi"/>
          <w:lang w:eastAsia="en-US"/>
        </w:rPr>
        <w:t xml:space="preserve"> likvidēt. Ministrijām pirms mobilo lietotņu likvidācijas būtu nepieciešams izvērtēt mobilās lietotnes tehniskās atjaunošanas iespējas un izmaksas, izvērtēt, vai mobilo lietotni var pielāgot citiem, aktuālākiem, mērķiem, un mobilās lietotnes likvidācijas gadījumā ieviest risinājumus mobilās lietotnes funkciju iekļaušanai iestādes tīmekļvietnē, ja tādas nav. </w:t>
      </w:r>
    </w:p>
    <w:p w14:paraId="13ECBA60" w14:textId="6C36AF2B" w:rsidR="00090B98" w:rsidRPr="00307028" w:rsidRDefault="0016333F"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 xml:space="preserve">Visīsākais darbības laiks bijis KM (LNKC) </w:t>
      </w:r>
      <w:r w:rsidRPr="00307028">
        <w:rPr>
          <w:rFonts w:eastAsiaTheme="minorHAnsi"/>
          <w:color w:val="000000"/>
          <w:lang w:eastAsia="en-US"/>
        </w:rPr>
        <w:t>XXVI Vispārējo latviešu Dziesmu un XVI Deju svētku</w:t>
      </w:r>
      <w:r w:rsidRPr="00307028">
        <w:rPr>
          <w:rFonts w:eastAsiaTheme="minorHAnsi"/>
          <w:lang w:eastAsia="en-US"/>
        </w:rPr>
        <w:t xml:space="preserve"> mobilajai lietotnei “Svētki” – tā izveidota un likvidēta 2018. gadā. T</w:t>
      </w:r>
      <w:r w:rsidRPr="00307028">
        <w:rPr>
          <w:rFonts w:eastAsiaTheme="minorHAnsi"/>
          <w:color w:val="000000"/>
          <w:lang w:eastAsia="en-US"/>
        </w:rPr>
        <w:t>ika izvērtēts</w:t>
      </w:r>
      <w:r w:rsidR="00EE2D2F" w:rsidRPr="00307028">
        <w:rPr>
          <w:rFonts w:eastAsiaTheme="minorHAnsi"/>
          <w:color w:val="000000"/>
          <w:lang w:eastAsia="en-US"/>
        </w:rPr>
        <w:t xml:space="preserve"> </w:t>
      </w:r>
      <w:r w:rsidRPr="00307028">
        <w:rPr>
          <w:rFonts w:eastAsiaTheme="minorHAnsi"/>
          <w:lang w:eastAsia="en-US"/>
        </w:rPr>
        <w:t xml:space="preserve">mobilās lietotnes </w:t>
      </w:r>
      <w:r w:rsidRPr="00307028">
        <w:rPr>
          <w:rFonts w:eastAsiaTheme="minorHAnsi"/>
          <w:color w:val="000000"/>
          <w:lang w:eastAsia="en-US"/>
        </w:rPr>
        <w:t>tehniskais stāvoklis un secināts, ka mobilā lietotne pēc pieciem gadiem bū</w:t>
      </w:r>
      <w:r w:rsidR="00427388" w:rsidRPr="00307028">
        <w:rPr>
          <w:rFonts w:eastAsiaTheme="minorHAnsi"/>
          <w:color w:val="000000"/>
          <w:lang w:eastAsia="en-US"/>
        </w:rPr>
        <w:t>s</w:t>
      </w:r>
      <w:r w:rsidRPr="00307028">
        <w:rPr>
          <w:rFonts w:eastAsiaTheme="minorHAnsi"/>
          <w:color w:val="000000"/>
          <w:lang w:eastAsia="en-US"/>
        </w:rPr>
        <w:t xml:space="preserve"> novecojusi un nebū</w:t>
      </w:r>
      <w:r w:rsidR="00427388" w:rsidRPr="00307028">
        <w:rPr>
          <w:rFonts w:eastAsiaTheme="minorHAnsi"/>
          <w:color w:val="000000"/>
          <w:lang w:eastAsia="en-US"/>
        </w:rPr>
        <w:t>s</w:t>
      </w:r>
      <w:r w:rsidRPr="00307028">
        <w:rPr>
          <w:rFonts w:eastAsiaTheme="minorHAnsi"/>
          <w:color w:val="000000"/>
          <w:lang w:eastAsia="en-US"/>
        </w:rPr>
        <w:t xml:space="preserve"> izmantojama paredzēto funkciju izpildei. </w:t>
      </w:r>
      <w:r w:rsidRPr="00307028">
        <w:rPr>
          <w:rFonts w:eastAsia="Times New Roman"/>
          <w:lang w:eastAsia="lv-LV"/>
        </w:rPr>
        <w:t>Attiecīgi 2022.</w:t>
      </w:r>
      <w:r w:rsidR="005351F6" w:rsidRPr="00307028">
        <w:rPr>
          <w:rFonts w:eastAsia="Times New Roman"/>
          <w:lang w:eastAsia="lv-LV"/>
        </w:rPr>
        <w:t xml:space="preserve"> </w:t>
      </w:r>
      <w:r w:rsidR="005351F6" w:rsidRPr="00307028">
        <w:rPr>
          <w:rFonts w:eastAsiaTheme="minorHAnsi"/>
          <w:lang w:eastAsia="en-US"/>
        </w:rPr>
        <w:t xml:space="preserve">– </w:t>
      </w:r>
      <w:r w:rsidRPr="00307028">
        <w:rPr>
          <w:rFonts w:eastAsia="Times New Roman"/>
          <w:lang w:eastAsia="lv-LV"/>
        </w:rPr>
        <w:t>2023. gadā tika izveidota jauna XXVII Vispārējo latviešu Dziesmu un XVII Deju svētku mobilā lietotne “Dziesmusvētki”, ka</w:t>
      </w:r>
      <w:r w:rsidR="005351F6" w:rsidRPr="00307028">
        <w:rPr>
          <w:rFonts w:eastAsia="Times New Roman"/>
          <w:lang w:eastAsia="lv-LV"/>
        </w:rPr>
        <w:t>s</w:t>
      </w:r>
      <w:r w:rsidRPr="00307028">
        <w:rPr>
          <w:rFonts w:eastAsia="Times New Roman"/>
          <w:lang w:eastAsia="lv-LV"/>
        </w:rPr>
        <w:t xml:space="preserve"> veidota ilgtspējīgi, īpaši Dziesmu un deju svētku pasākumu menedžmentam, tā būs izmantojama arī nākošo Vispārējo latviešu dziesmu un deju svētku un Latvijas </w:t>
      </w:r>
      <w:r w:rsidR="00E25617" w:rsidRPr="00307028">
        <w:rPr>
          <w:rFonts w:eastAsia="Times New Roman"/>
          <w:lang w:eastAsia="lv-LV"/>
        </w:rPr>
        <w:t>S</w:t>
      </w:r>
      <w:r w:rsidRPr="00307028">
        <w:rPr>
          <w:rFonts w:eastAsia="Times New Roman"/>
          <w:lang w:eastAsia="lv-LV"/>
        </w:rPr>
        <w:t>kolu jaunatnes dziesmu un deju svētku organizēšanai.</w:t>
      </w:r>
    </w:p>
    <w:p w14:paraId="78AF3F22" w14:textId="77777777" w:rsidR="0051672C" w:rsidRPr="00307028" w:rsidRDefault="0051672C"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Mobilā lietotne “Apturi Covid” ir bijis svarīgs papildu rīks Covid-19 infekcijas izplatīšanās ierobežošanai. Līdzīgas sistēmas tika izmantotas vairākās ES valstīs un citur pasaulē, taču, ņemot vērā, ka uzlabojusies epidemioloģiskā situācija un samazinājies reģistrēto Covid-19 gadījumu skaits, samazinājusies arī mobilās lietotnes nozīmība un tās darbība tiks apturēta līdz brīdim, ja atkal izplatīsies Covid-19 vai cita infekcijas slimība, kura izraisīs ārkārtas situāciju valstī.</w:t>
      </w:r>
    </w:p>
    <w:p w14:paraId="32123B1B" w14:textId="39950AF2" w:rsidR="0016333F" w:rsidRPr="00307028" w:rsidRDefault="0051672C" w:rsidP="00BE4409">
      <w:pPr>
        <w:numPr>
          <w:ilvl w:val="0"/>
          <w:numId w:val="16"/>
        </w:numPr>
        <w:spacing w:before="120" w:after="120" w:line="259" w:lineRule="auto"/>
        <w:ind w:left="714" w:right="-1" w:hanging="430"/>
        <w:jc w:val="both"/>
        <w:rPr>
          <w:rFonts w:eastAsiaTheme="minorHAnsi"/>
          <w:lang w:eastAsia="en-US"/>
        </w:rPr>
      </w:pPr>
      <w:r w:rsidRPr="00307028">
        <w:rPr>
          <w:rFonts w:eastAsiaTheme="minorHAnsi"/>
          <w:lang w:eastAsia="en-US"/>
        </w:rPr>
        <w:t>Uzlabojoties epidemioloģiskajai situācijai valstī, mobilā lietotne “Covid19Verify” vairs netiek aktīvi uzturēta un atkarībā no politikas uzstādījumiem sertifikātu pielietošanā mobilo lietotni var pielāgot arī citiem mērķiem, piemēram, vakcināciju, Eiropas veselības apdrošināšanas kartes, vai citu medicīnas dokumentu verifikācijai.</w:t>
      </w:r>
    </w:p>
    <w:p w14:paraId="4CF02A5B" w14:textId="425E24D5" w:rsidR="00017993" w:rsidRPr="00307028" w:rsidRDefault="00017993" w:rsidP="000500E3">
      <w:pPr>
        <w:spacing w:after="120"/>
        <w:rPr>
          <w:b/>
          <w:bCs/>
          <w:i/>
          <w:iCs/>
          <w:sz w:val="28"/>
          <w:szCs w:val="28"/>
        </w:rPr>
      </w:pPr>
      <w:bookmarkStart w:id="147" w:name="_Hlk139453546"/>
    </w:p>
    <w:p w14:paraId="4AA55A6F" w14:textId="2E0D3D29" w:rsidR="007917E2" w:rsidRPr="00307028" w:rsidRDefault="0008137A" w:rsidP="000468A1">
      <w:pPr>
        <w:pStyle w:val="Heading5"/>
      </w:pPr>
      <w:r w:rsidRPr="00307028">
        <w:t xml:space="preserve">2.4.2. </w:t>
      </w:r>
      <w:r w:rsidR="00153CC3" w:rsidRPr="00307028">
        <w:t>Valsts pārvaldē veikt</w:t>
      </w:r>
      <w:r w:rsidR="00D75FB9" w:rsidRPr="00307028">
        <w:t>o</w:t>
      </w:r>
      <w:r w:rsidR="00153CC3" w:rsidRPr="00307028">
        <w:t xml:space="preserve"> tulkojum</w:t>
      </w:r>
      <w:bookmarkEnd w:id="147"/>
      <w:r w:rsidR="00D75FB9" w:rsidRPr="00307028">
        <w:t>u analīze</w:t>
      </w:r>
    </w:p>
    <w:p w14:paraId="3671F995" w14:textId="77777777" w:rsidR="009E5D04" w:rsidRPr="00307028" w:rsidRDefault="009E5D04" w:rsidP="009E5D04">
      <w:pPr>
        <w:spacing w:after="120" w:line="259" w:lineRule="auto"/>
        <w:ind w:firstLine="720"/>
        <w:jc w:val="both"/>
        <w:rPr>
          <w:rFonts w:eastAsia="Times New Roman"/>
          <w:lang w:eastAsia="en-US"/>
        </w:rPr>
      </w:pPr>
      <w:r w:rsidRPr="00307028">
        <w:rPr>
          <w:rFonts w:eastAsia="Times New Roman"/>
          <w:lang w:eastAsia="en-US"/>
        </w:rPr>
        <w:t>Šī gada sākuma FM nosūtīja visiem resoriem informācijas pieprasījumu par valsts pārvaldē veiktajiem tulkojumiem un to izmaksām 2022. gadā ar mērķi apkopot un analizēt valsts pārvaldē veikto tulkojumu apjomu un tulkojumiem izlietoto finansējuma apmēru, kā arī resoru pieredzi mašīntulkošanas pakalpojumu izmatošanā. Informācijas pieprasījumā resoriem tika lūgts sniegt informāciju par:</w:t>
      </w:r>
    </w:p>
    <w:p w14:paraId="4D808A3E" w14:textId="77777777" w:rsidR="009E5D04" w:rsidRPr="00307028" w:rsidRDefault="009E5D04" w:rsidP="00183D1A">
      <w:pPr>
        <w:numPr>
          <w:ilvl w:val="0"/>
          <w:numId w:val="17"/>
        </w:numPr>
        <w:spacing w:after="120" w:line="259" w:lineRule="auto"/>
        <w:contextualSpacing/>
        <w:jc w:val="both"/>
        <w:rPr>
          <w:rFonts w:eastAsia="Times New Roman"/>
          <w:lang w:eastAsia="en-US"/>
        </w:rPr>
      </w:pPr>
      <w:r w:rsidRPr="00307028">
        <w:rPr>
          <w:rFonts w:eastAsia="Times New Roman"/>
          <w:lang w:eastAsia="en-US"/>
        </w:rPr>
        <w:t>2022. gadā veiktajiem tulkojumiem un to veidiem;</w:t>
      </w:r>
    </w:p>
    <w:p w14:paraId="57444071" w14:textId="77777777" w:rsidR="009E5D04" w:rsidRPr="00307028" w:rsidRDefault="009E5D04" w:rsidP="00183D1A">
      <w:pPr>
        <w:numPr>
          <w:ilvl w:val="0"/>
          <w:numId w:val="17"/>
        </w:numPr>
        <w:spacing w:after="120" w:line="259" w:lineRule="auto"/>
        <w:contextualSpacing/>
        <w:jc w:val="both"/>
        <w:rPr>
          <w:rFonts w:eastAsia="Times New Roman"/>
          <w:lang w:eastAsia="en-US"/>
        </w:rPr>
      </w:pPr>
      <w:r w:rsidRPr="00307028">
        <w:rPr>
          <w:rFonts w:eastAsia="Times New Roman"/>
          <w:lang w:eastAsia="en-US"/>
        </w:rPr>
        <w:t>izveidotajām tulka amata vietām 2022. gadā;</w:t>
      </w:r>
    </w:p>
    <w:p w14:paraId="706919AC" w14:textId="77777777" w:rsidR="009E5D04" w:rsidRPr="00307028" w:rsidRDefault="009E5D04" w:rsidP="00183D1A">
      <w:pPr>
        <w:numPr>
          <w:ilvl w:val="0"/>
          <w:numId w:val="17"/>
        </w:numPr>
        <w:spacing w:after="120" w:line="259" w:lineRule="auto"/>
        <w:contextualSpacing/>
        <w:jc w:val="both"/>
        <w:rPr>
          <w:rFonts w:eastAsia="Times New Roman"/>
          <w:lang w:eastAsia="en-US"/>
        </w:rPr>
      </w:pPr>
      <w:r w:rsidRPr="00307028">
        <w:rPr>
          <w:rFonts w:eastAsia="Times New Roman"/>
          <w:lang w:eastAsia="en-US"/>
        </w:rPr>
        <w:t>kopējiem izdevumiem tulkojumiem 2022. gadā;</w:t>
      </w:r>
    </w:p>
    <w:p w14:paraId="0B0AC789" w14:textId="77777777" w:rsidR="009E5D04" w:rsidRPr="00307028" w:rsidRDefault="009E5D04" w:rsidP="00183D1A">
      <w:pPr>
        <w:numPr>
          <w:ilvl w:val="0"/>
          <w:numId w:val="17"/>
        </w:numPr>
        <w:spacing w:after="120" w:line="259" w:lineRule="auto"/>
        <w:contextualSpacing/>
        <w:jc w:val="both"/>
        <w:rPr>
          <w:rFonts w:eastAsia="Times New Roman"/>
          <w:lang w:eastAsia="en-US"/>
        </w:rPr>
      </w:pPr>
      <w:r w:rsidRPr="00307028">
        <w:rPr>
          <w:rFonts w:eastAsia="Times New Roman"/>
          <w:lang w:eastAsia="en-US"/>
        </w:rPr>
        <w:t>mašīntulkošanas pakalpojumu izmantošanu, tostarp ietaupījumu no mašīntulkošanas izmantošanas, kā arī par mašīntulkošanas neizmantošanas iemesliem;</w:t>
      </w:r>
    </w:p>
    <w:p w14:paraId="294C3212" w14:textId="1D33F725" w:rsidR="00141523" w:rsidRPr="00307028" w:rsidRDefault="009E5D04" w:rsidP="00141523">
      <w:pPr>
        <w:numPr>
          <w:ilvl w:val="0"/>
          <w:numId w:val="17"/>
        </w:numPr>
        <w:spacing w:after="120" w:line="259" w:lineRule="auto"/>
        <w:ind w:left="1434" w:hanging="357"/>
        <w:jc w:val="both"/>
        <w:rPr>
          <w:rFonts w:eastAsia="Times New Roman"/>
          <w:lang w:eastAsia="en-US"/>
        </w:rPr>
      </w:pPr>
      <w:r w:rsidRPr="00307028">
        <w:rPr>
          <w:rFonts w:eastAsia="Times New Roman"/>
          <w:lang w:eastAsia="en-US"/>
        </w:rPr>
        <w:lastRenderedPageBreak/>
        <w:t>Latvijas valsts pārvaldes valodas tehnoloģiju platformas Hugo.lv izmantošanu, kā arī tulkoto datu nodošanu platformas Hugo.lv kvalitātes uzlabošanai.</w:t>
      </w:r>
    </w:p>
    <w:p w14:paraId="33AD50C1" w14:textId="5AE10E1C" w:rsidR="00DC4D64" w:rsidRPr="00307028" w:rsidRDefault="009E5D04" w:rsidP="00141523">
      <w:pPr>
        <w:spacing w:before="120" w:line="259" w:lineRule="auto"/>
        <w:ind w:firstLine="720"/>
        <w:jc w:val="both"/>
        <w:rPr>
          <w:b/>
          <w:bCs/>
          <w:sz w:val="22"/>
          <w:szCs w:val="22"/>
          <w:lang w:eastAsia="en-US"/>
        </w:rPr>
      </w:pPr>
      <w:r w:rsidRPr="00307028">
        <w:rPr>
          <w:lang w:eastAsia="en-US"/>
        </w:rPr>
        <w:t>Kopumā informācijas pieprasījumu aizpildīja 145 iestādes. Apkopotie dati liecina, ka 2022. gadā tulkojumus ir veikušas 90 iestādes jeb 62%, savukārt nav veikušas 55 iestādes jeb 38%</w:t>
      </w:r>
      <w:r w:rsidR="00141523" w:rsidRPr="00307028">
        <w:rPr>
          <w:lang w:eastAsia="en-US"/>
        </w:rPr>
        <w:t>.</w:t>
      </w:r>
    </w:p>
    <w:p w14:paraId="61EE1843" w14:textId="77777777" w:rsidR="00DC4D64" w:rsidRPr="00307028" w:rsidRDefault="00DC4D64" w:rsidP="00DC4D64">
      <w:pPr>
        <w:jc w:val="center"/>
        <w:rPr>
          <w:b/>
          <w:bCs/>
          <w:sz w:val="22"/>
          <w:szCs w:val="22"/>
          <w:lang w:eastAsia="en-US"/>
        </w:rPr>
      </w:pPr>
    </w:p>
    <w:p w14:paraId="38F76DB3" w14:textId="77777777" w:rsidR="00141523" w:rsidRPr="00307028" w:rsidRDefault="00141523" w:rsidP="00DC4D64">
      <w:pPr>
        <w:jc w:val="center"/>
        <w:rPr>
          <w:b/>
          <w:bCs/>
          <w:sz w:val="22"/>
          <w:szCs w:val="22"/>
          <w:lang w:eastAsia="en-US"/>
        </w:rPr>
        <w:sectPr w:rsidR="00141523" w:rsidRPr="00307028" w:rsidSect="00141523">
          <w:footerReference w:type="default" r:id="rId58"/>
          <w:pgSz w:w="11906" w:h="16838"/>
          <w:pgMar w:top="1134" w:right="1134" w:bottom="1134" w:left="1701" w:header="709" w:footer="709" w:gutter="0"/>
          <w:cols w:space="708"/>
          <w:docGrid w:linePitch="360"/>
        </w:sectPr>
      </w:pPr>
    </w:p>
    <w:p w14:paraId="602BCB9B" w14:textId="1AFFC9D1" w:rsidR="009E5D04" w:rsidRPr="00307028" w:rsidRDefault="009E5D04" w:rsidP="00DC4D64">
      <w:pPr>
        <w:jc w:val="center"/>
        <w:rPr>
          <w:b/>
          <w:bCs/>
          <w:sz w:val="22"/>
          <w:szCs w:val="22"/>
          <w:lang w:eastAsia="en-US"/>
        </w:rPr>
      </w:pPr>
      <w:r w:rsidRPr="00307028">
        <w:rPr>
          <w:b/>
          <w:bCs/>
          <w:sz w:val="22"/>
          <w:szCs w:val="22"/>
          <w:lang w:eastAsia="en-US"/>
        </w:rPr>
        <w:t>2.4.</w:t>
      </w:r>
      <w:r w:rsidR="003A08AC" w:rsidRPr="00307028">
        <w:rPr>
          <w:b/>
          <w:bCs/>
          <w:sz w:val="22"/>
          <w:szCs w:val="22"/>
          <w:lang w:eastAsia="en-US"/>
        </w:rPr>
        <w:t>2.1.</w:t>
      </w:r>
      <w:r w:rsidRPr="00307028">
        <w:rPr>
          <w:b/>
          <w:bCs/>
          <w:sz w:val="22"/>
          <w:szCs w:val="22"/>
          <w:lang w:eastAsia="en-US"/>
        </w:rPr>
        <w:t> attēls Iestāžu sadalījums pa veikto tulkojumu veidiem</w:t>
      </w:r>
    </w:p>
    <w:p w14:paraId="1F168297" w14:textId="28CB4B48" w:rsidR="009E5D04" w:rsidRPr="00307028" w:rsidRDefault="009E5D04" w:rsidP="00DC4D64">
      <w:pPr>
        <w:jc w:val="center"/>
        <w:rPr>
          <w:lang w:eastAsia="en-US"/>
        </w:rPr>
      </w:pPr>
      <w:r w:rsidRPr="00307028">
        <w:rPr>
          <w:noProof/>
          <w:lang w:eastAsia="en-US"/>
        </w:rPr>
        <w:drawing>
          <wp:inline distT="0" distB="0" distL="0" distR="0" wp14:anchorId="2DDE3CE0" wp14:editId="7EE4081A">
            <wp:extent cx="3050439" cy="2077516"/>
            <wp:effectExtent l="0" t="0" r="0" b="0"/>
            <wp:docPr id="1625865921" name="Chart 1">
              <a:extLst xmlns:a="http://schemas.openxmlformats.org/drawingml/2006/main">
                <a:ext uri="{FF2B5EF4-FFF2-40B4-BE49-F238E27FC236}">
                  <a16:creationId xmlns:a16="http://schemas.microsoft.com/office/drawing/2014/main" id="{A88493A2-4F2F-F7D1-21DE-AC2AD5E33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3726035" w14:textId="77777777" w:rsidR="00141523" w:rsidRPr="00307028" w:rsidRDefault="00141523" w:rsidP="00DC4D64">
      <w:pPr>
        <w:ind w:firstLine="720"/>
        <w:jc w:val="both"/>
        <w:rPr>
          <w:rFonts w:eastAsia="Times New Roman"/>
          <w:lang w:eastAsia="en-US"/>
        </w:rPr>
      </w:pPr>
    </w:p>
    <w:p w14:paraId="7298FE17" w14:textId="3C3FEFD9" w:rsidR="00DC4D64" w:rsidRPr="00307028" w:rsidRDefault="009E5D04" w:rsidP="00DC4D64">
      <w:pPr>
        <w:ind w:firstLine="720"/>
        <w:jc w:val="both"/>
        <w:rPr>
          <w:rFonts w:eastAsia="Calibri"/>
          <w:lang w:eastAsia="en-US"/>
        </w:rPr>
        <w:sectPr w:rsidR="00DC4D64" w:rsidRPr="00307028" w:rsidSect="00141523">
          <w:type w:val="continuous"/>
          <w:pgSz w:w="11906" w:h="16838"/>
          <w:pgMar w:top="1134" w:right="1134" w:bottom="1134" w:left="1701" w:header="709" w:footer="709" w:gutter="0"/>
          <w:cols w:num="2" w:space="708"/>
          <w:docGrid w:linePitch="360"/>
        </w:sectPr>
      </w:pPr>
      <w:r w:rsidRPr="00307028">
        <w:rPr>
          <w:rFonts w:eastAsia="Times New Roman"/>
          <w:lang w:eastAsia="en-US"/>
        </w:rPr>
        <w:t>Aplūkojot attēlu Nr. 2.4.1.</w:t>
      </w:r>
      <w:r w:rsidR="009641BE" w:rsidRPr="00307028">
        <w:rPr>
          <w:rFonts w:eastAsia="Times New Roman"/>
          <w:lang w:eastAsia="en-US"/>
        </w:rPr>
        <w:t>1.</w:t>
      </w:r>
      <w:r w:rsidRPr="00307028">
        <w:rPr>
          <w:rFonts w:eastAsia="Times New Roman"/>
          <w:lang w:eastAsia="en-US"/>
        </w:rPr>
        <w:t>, redzams, ka no tām iestādēm, kuras ir veikušas tulkojumus, 54% jeb 49 iestādes ir veikušas tikai rakstveida tulkojumus, 41%</w:t>
      </w:r>
      <w:r w:rsidR="00EE2D2F" w:rsidRPr="00307028">
        <w:rPr>
          <w:rFonts w:eastAsia="Times New Roman"/>
          <w:lang w:eastAsia="en-US"/>
        </w:rPr>
        <w:t xml:space="preserve"> </w:t>
      </w:r>
      <w:r w:rsidRPr="00307028">
        <w:rPr>
          <w:rFonts w:eastAsia="Times New Roman"/>
          <w:lang w:eastAsia="en-US"/>
        </w:rPr>
        <w:t xml:space="preserve">jeb 37 iestādes rakstveida un mutvārdu, savukārt tikai 5% jeb 4 iestādes tikai mutvārdu. </w:t>
      </w:r>
      <w:r w:rsidRPr="00307028">
        <w:rPr>
          <w:rFonts w:eastAsia="Calibri"/>
          <w:lang w:eastAsia="en-US"/>
        </w:rPr>
        <w:t xml:space="preserve">Apkopojot iestāžu iesniegto informāciju par 2022. gadā tulkoto, secināms, ka visvairāk tika tulkota tiesvedības dokumentācija un process (galvenokārt kriminālprocesā). Tāpat daudz tika tulkoti iestāžu izstrādātie reprezentācijas materiāli (runas, preses konferences, relīzes, projektu rezultāti), </w:t>
      </w:r>
      <w:r w:rsidR="00141523" w:rsidRPr="00307028">
        <w:rPr>
          <w:rFonts w:eastAsia="Calibri"/>
          <w:lang w:eastAsia="en-US"/>
        </w:rPr>
        <w:t>tīmekļvietnēs</w:t>
      </w:r>
      <w:r w:rsidRPr="00307028">
        <w:rPr>
          <w:rFonts w:eastAsia="Calibri"/>
          <w:lang w:eastAsia="en-US"/>
        </w:rPr>
        <w:t xml:space="preserve"> ievietotā informācija un informatīvie materiāli. </w:t>
      </w:r>
    </w:p>
    <w:p w14:paraId="3C8E27B6" w14:textId="4DFBC3FE" w:rsidR="009E5D04" w:rsidRPr="00307028" w:rsidRDefault="00017993" w:rsidP="00017993">
      <w:pPr>
        <w:spacing w:before="240" w:after="120" w:line="259" w:lineRule="auto"/>
        <w:jc w:val="both"/>
        <w:rPr>
          <w:rFonts w:eastAsia="Calibri"/>
          <w:lang w:eastAsia="en-US"/>
        </w:rPr>
      </w:pPr>
      <w:r w:rsidRPr="00307028">
        <w:rPr>
          <w:rFonts w:eastAsia="Calibri"/>
          <w:lang w:eastAsia="en-US"/>
        </w:rPr>
        <w:tab/>
      </w:r>
      <w:r w:rsidR="009E5D04" w:rsidRPr="00307028">
        <w:rPr>
          <w:rFonts w:eastAsia="Calibri"/>
          <w:lang w:eastAsia="en-US"/>
        </w:rPr>
        <w:t xml:space="preserve">Salīdzinoši </w:t>
      </w:r>
      <w:r w:rsidR="00141523" w:rsidRPr="00307028">
        <w:rPr>
          <w:rFonts w:eastAsia="Calibri"/>
          <w:lang w:eastAsia="en-US"/>
        </w:rPr>
        <w:t>liels iestāžu skaits</w:t>
      </w:r>
      <w:r w:rsidR="009E5D04" w:rsidRPr="00307028">
        <w:rPr>
          <w:rFonts w:eastAsia="Calibri"/>
          <w:lang w:eastAsia="en-US"/>
        </w:rPr>
        <w:t xml:space="preserve"> norāda, ka tulkojumi tiek veikti starptautiskās sadarbības ietvaros (tikšanās, konferences, pasākumi, semināri, ziņojumi), kā arī tiek veikta juridiskā teksta tulkošana (normatīvie akti, vadlīnijas, pilnvaras, līgumi, lēmumi, izziņas). Vairākas iestādes norāda, ka tiek veikta arī iestādes iekšējo dokumentu tulkošana (darba līgumi, amata apraksti, e-pasti).</w:t>
      </w:r>
    </w:p>
    <w:p w14:paraId="0BFD69FB" w14:textId="77777777" w:rsidR="00141523" w:rsidRPr="00307028" w:rsidRDefault="00141523" w:rsidP="00AA145A">
      <w:pPr>
        <w:spacing w:before="120" w:after="120" w:line="259" w:lineRule="auto"/>
        <w:ind w:firstLine="720"/>
        <w:jc w:val="both"/>
        <w:rPr>
          <w:rFonts w:eastAsia="Calibri"/>
          <w:lang w:eastAsia="en-US"/>
        </w:rPr>
        <w:sectPr w:rsidR="00141523" w:rsidRPr="00307028" w:rsidSect="00141523">
          <w:type w:val="continuous"/>
          <w:pgSz w:w="11906" w:h="16838"/>
          <w:pgMar w:top="1134" w:right="1134" w:bottom="1134" w:left="1701" w:header="709" w:footer="709" w:gutter="0"/>
          <w:cols w:space="708"/>
          <w:docGrid w:linePitch="360"/>
        </w:sectPr>
      </w:pPr>
    </w:p>
    <w:p w14:paraId="331DFCC1" w14:textId="54C5283A" w:rsidR="00017993" w:rsidRPr="00307028" w:rsidRDefault="009E5D04" w:rsidP="00A73B4C">
      <w:pPr>
        <w:spacing w:before="120" w:after="120" w:line="259" w:lineRule="auto"/>
        <w:ind w:firstLine="720"/>
        <w:jc w:val="both"/>
        <w:rPr>
          <w:rFonts w:eastAsia="Times New Roman"/>
          <w:lang w:eastAsia="en-US"/>
        </w:rPr>
      </w:pPr>
      <w:r w:rsidRPr="00307028">
        <w:rPr>
          <w:rFonts w:eastAsia="Calibri"/>
          <w:lang w:eastAsia="en-US"/>
        </w:rPr>
        <w:t>Gandrīz visas iestādes, kuras 2022. gadā ir veikušas tulkojumus, tulkojumu veikšanu ir iepirkušas ārpakalpojumā, tomēr vairākām iestādēm (skatīt attēlu Nr. 2.4.2</w:t>
      </w:r>
      <w:r w:rsidR="009641BE" w:rsidRPr="00307028">
        <w:rPr>
          <w:rFonts w:eastAsia="Calibri"/>
          <w:lang w:eastAsia="en-US"/>
        </w:rPr>
        <w:t>.2</w:t>
      </w:r>
      <w:r w:rsidRPr="00307028">
        <w:rPr>
          <w:rFonts w:eastAsia="Calibri"/>
          <w:lang w:eastAsia="en-US"/>
        </w:rPr>
        <w:t xml:space="preserve">) papildu tulkojumu iepirkšanai ārpakalpojumā ir izveidotas arī tulka amata vietas. </w:t>
      </w:r>
      <w:r w:rsidRPr="00307028">
        <w:rPr>
          <w:rFonts w:eastAsia="Times New Roman"/>
          <w:lang w:eastAsia="en-US"/>
        </w:rPr>
        <w:t>Apkopotie dati liecina, ka 2022. gadā 13 iestādēs jeb 14% no visām iestādēm ir izveidotas kopumā 199,45 tulka amata vietas.</w:t>
      </w:r>
    </w:p>
    <w:p w14:paraId="04F7487B" w14:textId="75079398" w:rsidR="009E5D04" w:rsidRPr="00307028" w:rsidRDefault="009E5D04" w:rsidP="009E5D04">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2.4.2.</w:t>
      </w:r>
      <w:r w:rsidR="009641BE" w:rsidRPr="00307028">
        <w:rPr>
          <w:rFonts w:eastAsia="Times New Roman"/>
          <w:b/>
          <w:bCs/>
          <w:i/>
          <w:iCs/>
          <w:sz w:val="22"/>
          <w:szCs w:val="22"/>
          <w:lang w:eastAsia="en-US"/>
        </w:rPr>
        <w:t>2.</w:t>
      </w:r>
      <w:r w:rsidRPr="00307028">
        <w:rPr>
          <w:rFonts w:eastAsia="Times New Roman"/>
          <w:b/>
          <w:bCs/>
          <w:i/>
          <w:iCs/>
          <w:sz w:val="22"/>
          <w:szCs w:val="22"/>
          <w:lang w:eastAsia="en-US"/>
        </w:rPr>
        <w:t> attēls</w:t>
      </w:r>
      <w:r w:rsidRPr="00307028">
        <w:rPr>
          <w:rFonts w:eastAsia="Times New Roman"/>
          <w:b/>
          <w:bCs/>
          <w:sz w:val="22"/>
          <w:szCs w:val="22"/>
          <w:lang w:eastAsia="en-US"/>
        </w:rPr>
        <w:t xml:space="preserve"> Tulka amata vietas sadalījumā pa resoriem 2022. gadā</w:t>
      </w:r>
    </w:p>
    <w:p w14:paraId="1DA45061" w14:textId="77777777" w:rsidR="009E5D04" w:rsidRPr="00307028" w:rsidRDefault="009E5D04" w:rsidP="009E5D04">
      <w:pPr>
        <w:spacing w:after="120" w:line="259" w:lineRule="auto"/>
        <w:jc w:val="center"/>
        <w:rPr>
          <w:rFonts w:eastAsia="Times New Roman"/>
          <w:b/>
          <w:bCs/>
          <w:sz w:val="22"/>
          <w:szCs w:val="22"/>
          <w:lang w:eastAsia="en-US"/>
        </w:rPr>
      </w:pPr>
      <w:r w:rsidRPr="000468A1">
        <w:rPr>
          <w:rFonts w:eastAsia="Times New Roman"/>
          <w:noProof/>
          <w:szCs w:val="22"/>
          <w:shd w:val="clear" w:color="auto" w:fill="85C2E0"/>
          <w:lang w:eastAsia="en-US"/>
        </w:rPr>
        <w:drawing>
          <wp:inline distT="0" distB="0" distL="0" distR="0" wp14:anchorId="37A8B5A5" wp14:editId="1977656F">
            <wp:extent cx="5766435" cy="2266122"/>
            <wp:effectExtent l="0" t="0" r="5715" b="1270"/>
            <wp:docPr id="1211682322" name="Chart 1">
              <a:extLst xmlns:a="http://schemas.openxmlformats.org/drawingml/2006/main">
                <a:ext uri="{FF2B5EF4-FFF2-40B4-BE49-F238E27FC236}">
                  <a16:creationId xmlns:a16="http://schemas.microsoft.com/office/drawing/2014/main" id="{FAC2804F-3E5B-F742-DF6D-E59965064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3AC6DD5" w14:textId="73A2E19B" w:rsidR="009E5D04" w:rsidRPr="00307028" w:rsidRDefault="009E5D04" w:rsidP="000468A1">
      <w:pPr>
        <w:spacing w:after="120" w:line="259" w:lineRule="auto"/>
        <w:jc w:val="both"/>
        <w:rPr>
          <w:rFonts w:eastAsia="Times New Roman"/>
          <w:lang w:eastAsia="en-US"/>
        </w:rPr>
      </w:pPr>
      <w:r w:rsidRPr="00307028">
        <w:rPr>
          <w:rFonts w:eastAsia="Times New Roman"/>
          <w:lang w:eastAsia="en-US"/>
        </w:rPr>
        <w:tab/>
        <w:t>Aplūkojot attēlu Nr. 2.4.2.</w:t>
      </w:r>
      <w:r w:rsidR="00303004" w:rsidRPr="00307028">
        <w:rPr>
          <w:rFonts w:eastAsia="Times New Roman"/>
          <w:lang w:eastAsia="en-US"/>
        </w:rPr>
        <w:t>2.</w:t>
      </w:r>
      <w:r w:rsidRPr="00307028">
        <w:rPr>
          <w:rFonts w:eastAsia="Times New Roman"/>
          <w:lang w:eastAsia="en-US"/>
        </w:rPr>
        <w:t>, redzams, ka visvairāk amata viet</w:t>
      </w:r>
      <w:r w:rsidR="00141523" w:rsidRPr="00307028">
        <w:rPr>
          <w:rFonts w:eastAsia="Times New Roman"/>
          <w:lang w:eastAsia="en-US"/>
        </w:rPr>
        <w:t>u</w:t>
      </w:r>
      <w:r w:rsidRPr="00307028">
        <w:rPr>
          <w:rFonts w:eastAsia="Times New Roman"/>
          <w:lang w:eastAsia="en-US"/>
        </w:rPr>
        <w:t xml:space="preserve"> ir TM (TA) – 79,2, kuras izveidotas saistībā ar tiesvedības procesa un dokumentācijas tulkojumu veikšanu. Šādam </w:t>
      </w:r>
      <w:r w:rsidRPr="00307028">
        <w:rPr>
          <w:rFonts w:eastAsia="Times New Roman"/>
          <w:lang w:eastAsia="en-US"/>
        </w:rPr>
        <w:lastRenderedPageBreak/>
        <w:t>pašam mērķim izveidotas arī amata vietas IeM (VP) – 46, Prok</w:t>
      </w:r>
      <w:r w:rsidR="00303004" w:rsidRPr="00307028">
        <w:rPr>
          <w:rFonts w:eastAsia="Times New Roman"/>
          <w:lang w:eastAsia="en-US"/>
        </w:rPr>
        <w:t>uratūra</w:t>
      </w:r>
      <w:r w:rsidRPr="00307028">
        <w:rPr>
          <w:rFonts w:eastAsia="Times New Roman"/>
          <w:lang w:eastAsia="en-US"/>
        </w:rPr>
        <w:t xml:space="preserve"> – 42, TM (IeVP) – 8 un ST – 1. Salīdzinoši daudz tulka amata viet</w:t>
      </w:r>
      <w:r w:rsidR="00141523" w:rsidRPr="00307028">
        <w:rPr>
          <w:rFonts w:eastAsia="Times New Roman"/>
          <w:lang w:eastAsia="en-US"/>
        </w:rPr>
        <w:t>u</w:t>
      </w:r>
      <w:r w:rsidRPr="00307028">
        <w:rPr>
          <w:rFonts w:eastAsia="Times New Roman"/>
          <w:lang w:eastAsia="en-US"/>
        </w:rPr>
        <w:t xml:space="preserve"> ir arī TM (VVC) – 10, kuras izveidotas, lai nodrošinātu valsts pārvaldes normatīvo aktu tulkošanu, kā arī Saeimai – 6, kas savukārt izveidotas saistībā ar Saeimas reprezentācijas ietvaros nepieciešamo rakstisko un mutisko tulkojumu veikšanu. Arī VPK un ĀM, līdzīgi kā Saeimai, tulki nodrošina galvenokārt reprezentācijas ietvaros nepieciešamo tulkojumu veikšanu. EM (CSP) ir izveidotas divas amata vietas, kas veic dažāda veida tulkojums no/uz anglu valodu. VARAM (DAP) ir izveidota amata vieta uz noteiktu laiku LIFE projekta ietvaros. VKo izveidota amata vieta dažāda veida reprezentācijas materiālu un darba dokumentu tulkošanai. Savukārt VM (PSMVM) izveidota 0,25 tulka amata vieta latīņu valodas tu</w:t>
      </w:r>
      <w:r w:rsidR="00E25617" w:rsidRPr="00307028">
        <w:rPr>
          <w:rFonts w:eastAsia="Times New Roman"/>
          <w:lang w:eastAsia="en-US"/>
        </w:rPr>
        <w:t>l</w:t>
      </w:r>
      <w:r w:rsidRPr="00307028">
        <w:rPr>
          <w:rFonts w:eastAsia="Times New Roman"/>
          <w:lang w:eastAsia="en-US"/>
        </w:rPr>
        <w:t>kojumu veikšanai.</w:t>
      </w:r>
    </w:p>
    <w:p w14:paraId="48FE60FD" w14:textId="77777777"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Izdevumu pārskatīšanas sarunās ministrijām tika lūgts sniegt viedokli par iespēju pāriet uz tulkojumu veikšanu tikai ārpakalpojumā vai arī tulkojumu veikšanā vairāk iesaistīt nozares darbiniekus. Iestādes iesniedza šādas atbildes:</w:t>
      </w:r>
    </w:p>
    <w:p w14:paraId="61DBB73B" w14:textId="28D7159F"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ĀM</w:t>
      </w:r>
      <w:r w:rsidRPr="00307028">
        <w:rPr>
          <w:rFonts w:eastAsia="Times New Roman"/>
          <w:lang w:eastAsia="en-US"/>
        </w:rPr>
        <w:t xml:space="preserve"> norāda, ka tulka amatu ir nepieciešams turpināt uzturēt, jo ĀM tulka veiktie tulkošanas darbi (relīzes, paziņojumi, u.c.), rediģējumi un valodas konsultācijas ir ĀM ikdienas publiskās starptautiskās komunikācijas sastāvdaļa un prasa reaģēt operatīvi. Vienlaikus norāda, ka ĀM publicēto un tulkoto preses ziņu skaits ir ievērojami lielāks nekā tas ir citās valsts iestādēs;</w:t>
      </w:r>
    </w:p>
    <w:p w14:paraId="45112CCC" w14:textId="13066128"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CSP</w:t>
      </w:r>
      <w:r w:rsidRPr="00307028">
        <w:rPr>
          <w:rFonts w:eastAsia="Times New Roman"/>
          <w:lang w:eastAsia="en-US"/>
        </w:rPr>
        <w:t xml:space="preserve"> norāda, ka, nododot tulkošanu nozares speciālistiem, efektivitāte mazināsies (laiks tulkošanai pieaugs), radīsies riski ar kvalitāti, attiecīgi ieguvums nav saskatāms. Vienlaikus norāda, ka CSP ir vidēji 35</w:t>
      </w:r>
      <w:r w:rsidR="00141523" w:rsidRPr="00307028">
        <w:rPr>
          <w:rFonts w:eastAsia="Times New Roman"/>
          <w:lang w:eastAsia="en-US"/>
        </w:rPr>
        <w:t xml:space="preserve"> – </w:t>
      </w:r>
      <w:r w:rsidRPr="00307028">
        <w:rPr>
          <w:rFonts w:eastAsia="Times New Roman"/>
          <w:lang w:eastAsia="en-US"/>
        </w:rPr>
        <w:t xml:space="preserve">40 aktīvi grantu shēmas projekti, kam jāgatavo starpziņojumi un gala ziņojumi, </w:t>
      </w:r>
      <w:r w:rsidR="00141523" w:rsidRPr="00307028">
        <w:rPr>
          <w:rFonts w:eastAsia="Times New Roman"/>
          <w:lang w:eastAsia="en-US"/>
        </w:rPr>
        <w:t xml:space="preserve">un </w:t>
      </w:r>
      <w:r w:rsidRPr="00307028">
        <w:rPr>
          <w:rFonts w:eastAsia="Times New Roman"/>
          <w:lang w:eastAsia="en-US"/>
        </w:rPr>
        <w:t>tos nav iespējams profesionālai tulkošanai uzdot ne darbiniekam, ne mašīntulkotājam, jo tas rada riskus dažādām interpretācijām, kas var radīt problēmas projektu nodevumu apstiprināšanai;</w:t>
      </w:r>
    </w:p>
    <w:p w14:paraId="3EF06A32" w14:textId="77777777"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IeVP</w:t>
      </w:r>
      <w:r w:rsidRPr="00307028">
        <w:rPr>
          <w:rFonts w:eastAsia="Times New Roman"/>
          <w:lang w:eastAsia="en-US"/>
        </w:rPr>
        <w:t xml:space="preserve"> norāda, ka jau šobrīd tiek izmatoti ārpakalpojumi nedzirdīgo zīmju valodas (surdotulks) tulkošanai personām ar dzirdes invaliditāti un izvērtēšanas komisijas laikā, kurā tiek izskatīti jautājumi par notiesātā soda izciešanas režīma mīkstināšanu vai soda izciešanas režīma pastiprināšanu, nodrošinot ieslodzītajam surdotulka pakalpojumu saziņai ar izvērtēšanas komisiju atbilstoši ieslodzītā uztverei un komunikācijas spējām. Vienlaikus IeVP norāda, ka šī gada laikā plāno veikt optimizāciju, lai tulkošanu novirzītu mašīntulkošanas vai ārpakalpojumu izmantošanai;</w:t>
      </w:r>
    </w:p>
    <w:p w14:paraId="2826E312" w14:textId="49D5ECFC"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Prok</w:t>
      </w:r>
      <w:r w:rsidR="00911252" w:rsidRPr="00307028">
        <w:rPr>
          <w:rFonts w:eastAsia="Times New Roman"/>
          <w:b/>
          <w:bCs/>
          <w:lang w:eastAsia="en-US"/>
        </w:rPr>
        <w:t>uratūra</w:t>
      </w:r>
      <w:r w:rsidRPr="00307028">
        <w:rPr>
          <w:rFonts w:eastAsia="Times New Roman"/>
          <w:lang w:eastAsia="en-US"/>
        </w:rPr>
        <w:t xml:space="preserve"> norāda, ka šī gada sākumā tika īstenota tulku centralizācija ar mērķi izvērtēt tulku noslodzi, īpaši attiecībā uz tulkiem reģionos. Tiem tulkiem, kuriem tiks konstatēta mazāka noslodze, tiks papildus uzdots veikt rakstiskus tulkojumus, tādējādi atslogojot tulkus ar pārāk lielu noslodzi, respektīvi, sabalansējot noslodzi. Vienlaikus norāda, ka ārpa</w:t>
      </w:r>
      <w:r w:rsidR="00E25617" w:rsidRPr="00307028">
        <w:rPr>
          <w:rFonts w:eastAsia="Times New Roman"/>
          <w:lang w:eastAsia="en-US"/>
        </w:rPr>
        <w:t>ka</w:t>
      </w:r>
      <w:r w:rsidRPr="00307028">
        <w:rPr>
          <w:rFonts w:eastAsia="Times New Roman"/>
          <w:lang w:eastAsia="en-US"/>
        </w:rPr>
        <w:t>lpojuma izmantošana nereti nav iespējama, jo tulkojumu veikšana ir nepieciešama steidzami un augstā kvalitātē;</w:t>
      </w:r>
    </w:p>
    <w:p w14:paraId="76E1FA62" w14:textId="20299CA2"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TA</w:t>
      </w:r>
      <w:r w:rsidRPr="00307028">
        <w:rPr>
          <w:rFonts w:eastAsia="Times New Roman"/>
          <w:lang w:eastAsia="en-US"/>
        </w:rPr>
        <w:t xml:space="preserve"> norāda, ka tiesu tulki nodrošina mutisko un rakstisko tulkošanu vienīgi latviešu – krievu – latviešu valodā. Pārējo valodu tulkojumi tiek nodrošināti ārpakalpojumā. Vienlaikus informē, ka tulku noslodzes izvērtējums tika veikts 2016. gada nogalē/2017. gada sākumā īstenotās tiesu reformas ietvaros. Uz 2017. gada 1. janvāri tiesās bija 117 tulka amata vietas. Sākot ar 2017. gada 1. martu, tulku skaits samazināts par 21 amata vietu. Laikā no 2017. gada 1. marta līdz 2022. gada sākumam tulku amata vietu skaits ir vēl samazināts</w:t>
      </w:r>
      <w:r w:rsidR="007C204C" w:rsidRPr="00307028">
        <w:rPr>
          <w:rFonts w:eastAsia="Times New Roman"/>
          <w:lang w:eastAsia="en-US"/>
        </w:rPr>
        <w:t>.</w:t>
      </w:r>
      <w:r w:rsidRPr="00307028">
        <w:rPr>
          <w:rFonts w:eastAsia="Times New Roman"/>
          <w:lang w:eastAsia="en-US"/>
        </w:rPr>
        <w:t xml:space="preserve"> Turklāt Rīgas apgabaltiesā ir </w:t>
      </w:r>
      <w:r w:rsidRPr="00307028">
        <w:rPr>
          <w:rFonts w:eastAsia="Times New Roman"/>
          <w:lang w:eastAsia="en-US"/>
        </w:rPr>
        <w:lastRenderedPageBreak/>
        <w:t>likvidētas visas tulka amata vietas, saglabājot vienu tiesas sekretāra (ar tulka pienākumiem) amata vietu, un arī latviešu – krievu – latviešu valodas tulkojumus nodod izpildei ārpakalpojumam;</w:t>
      </w:r>
    </w:p>
    <w:p w14:paraId="564F816E" w14:textId="77777777"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 xml:space="preserve">VARAM </w:t>
      </w:r>
      <w:r w:rsidRPr="00307028">
        <w:rPr>
          <w:rFonts w:eastAsia="Times New Roman"/>
          <w:lang w:eastAsia="en-US"/>
        </w:rPr>
        <w:t>norāda, ka izveidotā amata vieta ir uz noteiktu laiku LIFE projekta ietvaros, kas tiks likvidēta pēc aktivitātes noslēgšanās;</w:t>
      </w:r>
    </w:p>
    <w:p w14:paraId="43252E4E" w14:textId="4EAB2691"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 xml:space="preserve">VP </w:t>
      </w:r>
      <w:r w:rsidRPr="00307028">
        <w:rPr>
          <w:rFonts w:eastAsia="Times New Roman"/>
          <w:lang w:eastAsia="en-US"/>
        </w:rPr>
        <w:t xml:space="preserve">norāda, ka ir vērtējusi iespēju tulkošanas pakalpojuma pilnīgu nodošanu ārpakalpojumā. Tajās </w:t>
      </w:r>
      <w:r w:rsidR="00911252" w:rsidRPr="00307028">
        <w:rPr>
          <w:rFonts w:eastAsia="Times New Roman"/>
          <w:lang w:eastAsia="en-US"/>
        </w:rPr>
        <w:t xml:space="preserve">VP </w:t>
      </w:r>
      <w:r w:rsidRPr="00307028">
        <w:rPr>
          <w:rFonts w:eastAsia="Times New Roman"/>
          <w:lang w:eastAsia="en-US"/>
        </w:rPr>
        <w:t xml:space="preserve">struktūrvienībās, kuru apkalpojamā teritorijā nepieciešamība pēc tulkošanas ir maza, piemēram, </w:t>
      </w:r>
      <w:r w:rsidR="00911252" w:rsidRPr="00307028">
        <w:rPr>
          <w:rFonts w:eastAsia="Times New Roman"/>
          <w:lang w:eastAsia="en-US"/>
        </w:rPr>
        <w:t>VP</w:t>
      </w:r>
      <w:r w:rsidRPr="00307028">
        <w:rPr>
          <w:rFonts w:eastAsia="Times New Roman"/>
          <w:lang w:eastAsia="en-US"/>
        </w:rPr>
        <w:t xml:space="preserve"> Vidzemes reģiona pārvaldē un Zemgales reģiona pārvaldē, tulki nav nodarbināti, bet šo pakalpojumu pilnībā nodrošina ārpakalpojums. Savukārt tajās struktūrvienībās, kurās nepieciešamība pēc tulkošanas pakalpojuma ir liela, ir saglabāti tulki. Vienlaikus norāda, ka izmaksu ziņā ir izdevīgāk algot darbiniekus;</w:t>
      </w:r>
    </w:p>
    <w:p w14:paraId="046E3BE8" w14:textId="77777777" w:rsidR="009E5D04" w:rsidRPr="00307028" w:rsidRDefault="009E5D04" w:rsidP="00183D1A">
      <w:pPr>
        <w:numPr>
          <w:ilvl w:val="0"/>
          <w:numId w:val="18"/>
        </w:numPr>
        <w:spacing w:before="120" w:after="120" w:line="259" w:lineRule="auto"/>
        <w:ind w:left="993" w:hanging="284"/>
        <w:jc w:val="both"/>
        <w:rPr>
          <w:rFonts w:eastAsia="Times New Roman"/>
          <w:lang w:eastAsia="en-US"/>
        </w:rPr>
      </w:pPr>
      <w:r w:rsidRPr="00307028">
        <w:rPr>
          <w:rFonts w:eastAsia="Times New Roman"/>
          <w:b/>
          <w:bCs/>
          <w:lang w:eastAsia="en-US"/>
        </w:rPr>
        <w:t>VVC</w:t>
      </w:r>
      <w:r w:rsidRPr="00307028">
        <w:rPr>
          <w:rFonts w:eastAsia="Times New Roman"/>
          <w:lang w:eastAsia="en-US"/>
        </w:rPr>
        <w:t xml:space="preserve"> norāda, ka jau šobrīd tiesību aktu tulkojumi daļēji top ārpakalpojumā, taču to vērtēšanu un saskaņošanu ar pasūtītājiem veic VVC darbinieki. Arī sevišķi steidzamus un augstas sarežģītības dokumentus tulko un/vai rediģē tikai VVC darbinieki, lai nodrošinātu augstāko tulkojumu kvalitāti. Turklāt arī iekšēji tulkoti un rediģēti dokumenti tiek pakļauti tādai pašai kvalitātes kontrolei un saskaņošanai ar pasūtītājiem. Preses relīzes un citus dokumentus, kas nav tiesību akti un ir saistīti ar VVC vispārīgi, nepieciešamības gadījumā tulko tikai VVC darbinieki.</w:t>
      </w:r>
    </w:p>
    <w:p w14:paraId="366B7EB7" w14:textId="536A1A82" w:rsidR="00017993" w:rsidRPr="00307028" w:rsidRDefault="009E5D04" w:rsidP="000500E3">
      <w:pPr>
        <w:spacing w:before="120" w:after="120" w:line="259" w:lineRule="auto"/>
        <w:ind w:firstLine="709"/>
        <w:jc w:val="both"/>
        <w:rPr>
          <w:rFonts w:eastAsia="Times New Roman"/>
          <w:b/>
          <w:bCs/>
          <w:i/>
          <w:iCs/>
          <w:sz w:val="22"/>
          <w:szCs w:val="22"/>
          <w:lang w:eastAsia="en-US"/>
        </w:rPr>
      </w:pPr>
      <w:r w:rsidRPr="00307028">
        <w:rPr>
          <w:rFonts w:eastAsia="Times New Roman"/>
          <w:lang w:eastAsia="en-US"/>
        </w:rPr>
        <w:t xml:space="preserve">Kopējie izdevumi tulkojumiem valsts pārvaldē 2022. gadā ir 5,0 milj. </w:t>
      </w:r>
      <w:r w:rsidRPr="00307028">
        <w:rPr>
          <w:rFonts w:eastAsia="Times New Roman"/>
          <w:i/>
          <w:iCs/>
          <w:lang w:eastAsia="en-US"/>
        </w:rPr>
        <w:t>euro</w:t>
      </w:r>
      <w:r w:rsidRPr="00307028">
        <w:rPr>
          <w:rFonts w:eastAsia="Times New Roman"/>
          <w:lang w:eastAsia="en-US"/>
        </w:rPr>
        <w:t>, no kuriem vairāk nekā 75% ir saistīti ar tiesvedību procesa ietvaros veiktajiem mutiskajiem un rakstiskajiem tulkojumiem. Aptuveni 70% no izdevumiem tulkojumiem ir tulku atlīdzība, savukārt pārējais ir izdevumi ārpakalpojumu tulkojumu sniedzējiem.</w:t>
      </w:r>
    </w:p>
    <w:p w14:paraId="6AAB9570" w14:textId="3C2A1B70" w:rsidR="009E5D04" w:rsidRPr="00307028" w:rsidRDefault="009E5D04" w:rsidP="009E5D04">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2.4.</w:t>
      </w:r>
      <w:r w:rsidR="00411012" w:rsidRPr="00307028">
        <w:rPr>
          <w:rFonts w:eastAsia="Times New Roman"/>
          <w:b/>
          <w:bCs/>
          <w:i/>
          <w:iCs/>
          <w:sz w:val="22"/>
          <w:szCs w:val="22"/>
          <w:lang w:eastAsia="en-US"/>
        </w:rPr>
        <w:t>2.</w:t>
      </w:r>
      <w:r w:rsidRPr="00307028">
        <w:rPr>
          <w:rFonts w:eastAsia="Times New Roman"/>
          <w:b/>
          <w:bCs/>
          <w:i/>
          <w:iCs/>
          <w:sz w:val="22"/>
          <w:szCs w:val="22"/>
          <w:lang w:eastAsia="en-US"/>
        </w:rPr>
        <w:t>3. attēls</w:t>
      </w:r>
      <w:r w:rsidRPr="00307028">
        <w:rPr>
          <w:rFonts w:eastAsia="Times New Roman"/>
          <w:b/>
          <w:bCs/>
          <w:sz w:val="22"/>
          <w:szCs w:val="22"/>
          <w:lang w:eastAsia="en-US"/>
        </w:rPr>
        <w:t xml:space="preserve"> Izdevumi tulkojumiem 2022. gadā, </w:t>
      </w:r>
      <w:r w:rsidRPr="00307028">
        <w:rPr>
          <w:rFonts w:eastAsia="Times New Roman"/>
          <w:b/>
          <w:bCs/>
          <w:i/>
          <w:iCs/>
          <w:sz w:val="22"/>
          <w:szCs w:val="22"/>
          <w:lang w:eastAsia="en-US"/>
        </w:rPr>
        <w:t>euro</w:t>
      </w:r>
    </w:p>
    <w:p w14:paraId="5390C8EC" w14:textId="77777777" w:rsidR="009E5D04" w:rsidRPr="00307028" w:rsidRDefault="009E5D04" w:rsidP="009E5D04">
      <w:pPr>
        <w:spacing w:after="120" w:line="259" w:lineRule="auto"/>
        <w:jc w:val="center"/>
        <w:rPr>
          <w:rFonts w:eastAsia="Times New Roman"/>
          <w:b/>
          <w:bCs/>
          <w:sz w:val="22"/>
          <w:szCs w:val="22"/>
          <w:lang w:eastAsia="en-US"/>
        </w:rPr>
      </w:pPr>
      <w:r w:rsidRPr="00307028">
        <w:rPr>
          <w:rFonts w:eastAsia="Times New Roman"/>
          <w:noProof/>
          <w:szCs w:val="22"/>
          <w:lang w:eastAsia="en-US"/>
        </w:rPr>
        <w:drawing>
          <wp:inline distT="0" distB="0" distL="0" distR="0" wp14:anchorId="5869A670" wp14:editId="11A059D7">
            <wp:extent cx="5760085" cy="2611062"/>
            <wp:effectExtent l="0" t="0" r="12065" b="18415"/>
            <wp:docPr id="1953157029" name="Chart 1">
              <a:extLst xmlns:a="http://schemas.openxmlformats.org/drawingml/2006/main">
                <a:ext uri="{FF2B5EF4-FFF2-40B4-BE49-F238E27FC236}">
                  <a16:creationId xmlns:a16="http://schemas.microsoft.com/office/drawing/2014/main" id="{C4C7AC3C-684D-3B16-E2A0-67CB10FC7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478DA67" w14:textId="2414128F" w:rsidR="009E5D04" w:rsidRPr="00307028" w:rsidRDefault="009E5D04" w:rsidP="00EC49CB">
      <w:pPr>
        <w:spacing w:before="120" w:after="120" w:line="259" w:lineRule="auto"/>
        <w:ind w:firstLine="720"/>
        <w:jc w:val="both"/>
        <w:rPr>
          <w:rFonts w:eastAsia="Times New Roman"/>
          <w:lang w:eastAsia="en-US"/>
        </w:rPr>
      </w:pPr>
      <w:r w:rsidRPr="00307028">
        <w:rPr>
          <w:rFonts w:eastAsia="Times New Roman"/>
          <w:lang w:eastAsia="en-US"/>
        </w:rPr>
        <w:t>Kā redzams attēlā Nr. 2.4.</w:t>
      </w:r>
      <w:r w:rsidR="00411012" w:rsidRPr="00307028">
        <w:rPr>
          <w:rFonts w:eastAsia="Times New Roman"/>
          <w:lang w:eastAsia="en-US"/>
        </w:rPr>
        <w:t>2.</w:t>
      </w:r>
      <w:r w:rsidRPr="00307028">
        <w:rPr>
          <w:rFonts w:eastAsia="Times New Roman"/>
          <w:lang w:eastAsia="en-US"/>
        </w:rPr>
        <w:t xml:space="preserve">3. lielākie izdevumi tulkojumiem ir IeM (2,1 milj. </w:t>
      </w:r>
      <w:r w:rsidRPr="00307028">
        <w:rPr>
          <w:rFonts w:eastAsia="Times New Roman"/>
          <w:i/>
          <w:iCs/>
          <w:lang w:eastAsia="en-US"/>
        </w:rPr>
        <w:t>euro</w:t>
      </w:r>
      <w:r w:rsidRPr="00307028">
        <w:rPr>
          <w:rFonts w:eastAsia="Times New Roman"/>
          <w:lang w:eastAsia="en-US"/>
        </w:rPr>
        <w:t xml:space="preserve">), </w:t>
      </w:r>
      <w:r w:rsidR="00141523" w:rsidRPr="00307028">
        <w:rPr>
          <w:rFonts w:eastAsia="Times New Roman"/>
          <w:lang w:eastAsia="en-US"/>
        </w:rPr>
        <w:t xml:space="preserve">sastādot </w:t>
      </w:r>
      <w:r w:rsidRPr="00307028">
        <w:rPr>
          <w:rFonts w:eastAsia="Times New Roman"/>
          <w:lang w:eastAsia="en-US"/>
        </w:rPr>
        <w:t xml:space="preserve">teju pusi no visiem valsts pārvaldes izdevumiem tulkojumiem, no kuriem lielākā daļa (1,8 milj. </w:t>
      </w:r>
      <w:r w:rsidRPr="00307028">
        <w:rPr>
          <w:rFonts w:eastAsia="Times New Roman"/>
          <w:i/>
          <w:iCs/>
          <w:lang w:eastAsia="en-US"/>
        </w:rPr>
        <w:t>euro</w:t>
      </w:r>
      <w:r w:rsidRPr="00307028">
        <w:rPr>
          <w:rFonts w:eastAsia="Times New Roman"/>
          <w:lang w:eastAsia="en-US"/>
        </w:rPr>
        <w:t xml:space="preserve">) ir mutvārdu un rakstveida tulkošana VP vajadzībām atbilstoši Kriminālprocesa likuma un Administratīvās atbildības likuma noteiktajam. Tāpat salīdzinoši lieli izdevumu tulkojumiem ir arī TM (0,9 milj. </w:t>
      </w:r>
      <w:r w:rsidRPr="00307028">
        <w:rPr>
          <w:rFonts w:eastAsia="Times New Roman"/>
          <w:i/>
          <w:iCs/>
          <w:lang w:eastAsia="en-US"/>
        </w:rPr>
        <w:t>euro</w:t>
      </w:r>
      <w:r w:rsidRPr="00307028">
        <w:rPr>
          <w:rFonts w:eastAsia="Times New Roman"/>
          <w:lang w:eastAsia="en-US"/>
        </w:rPr>
        <w:t>) un Prok</w:t>
      </w:r>
      <w:r w:rsidR="009675FB" w:rsidRPr="00307028">
        <w:rPr>
          <w:rFonts w:eastAsia="Times New Roman"/>
          <w:lang w:eastAsia="en-US"/>
        </w:rPr>
        <w:t>uratūrai</w:t>
      </w:r>
      <w:r w:rsidRPr="00307028">
        <w:rPr>
          <w:rFonts w:eastAsia="Times New Roman"/>
          <w:lang w:eastAsia="en-US"/>
        </w:rPr>
        <w:t xml:space="preserve"> (0,9 milj. </w:t>
      </w:r>
      <w:r w:rsidRPr="00307028">
        <w:rPr>
          <w:rFonts w:eastAsia="Times New Roman"/>
          <w:i/>
          <w:iCs/>
          <w:lang w:eastAsia="en-US"/>
        </w:rPr>
        <w:t>euro</w:t>
      </w:r>
      <w:r w:rsidRPr="00307028">
        <w:rPr>
          <w:rFonts w:eastAsia="Times New Roman"/>
          <w:lang w:eastAsia="en-US"/>
        </w:rPr>
        <w:t xml:space="preserve">), kas galvenokārt tiek izlietota resoros izveidoto tulka amata vietu atlīdzības nodrošināšanai. Būtiski izdevumi </w:t>
      </w:r>
      <w:r w:rsidRPr="00307028">
        <w:rPr>
          <w:rFonts w:eastAsia="Times New Roman"/>
          <w:lang w:eastAsia="en-US"/>
        </w:rPr>
        <w:lastRenderedPageBreak/>
        <w:t xml:space="preserve">tulkojumiem ir arī FM (0,5 milj. </w:t>
      </w:r>
      <w:r w:rsidRPr="00307028">
        <w:rPr>
          <w:rFonts w:eastAsia="Times New Roman"/>
          <w:i/>
          <w:iCs/>
          <w:lang w:eastAsia="en-US"/>
        </w:rPr>
        <w:t>euro</w:t>
      </w:r>
      <w:r w:rsidRPr="00307028">
        <w:rPr>
          <w:rFonts w:eastAsia="Times New Roman"/>
          <w:lang w:eastAsia="en-US"/>
        </w:rPr>
        <w:t>), kur liekākais izdevumu apjoms ir VID saistībā ar ārpakalpojumā veiktajiem tulkojumiem krimināllietās un administratīv</w:t>
      </w:r>
      <w:r w:rsidR="00E25617" w:rsidRPr="00307028">
        <w:rPr>
          <w:rFonts w:eastAsia="Times New Roman"/>
          <w:lang w:eastAsia="en-US"/>
        </w:rPr>
        <w:t>a</w:t>
      </w:r>
      <w:r w:rsidRPr="00307028">
        <w:rPr>
          <w:rFonts w:eastAsia="Times New Roman"/>
          <w:lang w:eastAsia="en-US"/>
        </w:rPr>
        <w:t>jās lietās.</w:t>
      </w:r>
    </w:p>
    <w:p w14:paraId="5B5F84FF" w14:textId="185C0155" w:rsidR="009E5D04" w:rsidRPr="00307028" w:rsidRDefault="009E5D04" w:rsidP="00EC49CB">
      <w:pPr>
        <w:spacing w:before="120" w:after="120" w:line="259" w:lineRule="auto"/>
        <w:ind w:firstLine="720"/>
        <w:jc w:val="both"/>
        <w:rPr>
          <w:rFonts w:eastAsia="Times New Roman"/>
          <w:lang w:eastAsia="en-US"/>
        </w:rPr>
      </w:pPr>
      <w:r w:rsidRPr="00307028">
        <w:rPr>
          <w:rFonts w:eastAsia="Times New Roman"/>
          <w:lang w:eastAsia="en-US"/>
        </w:rPr>
        <w:t xml:space="preserve">Lielākā daļa iestāžu, īpaši tās, kurām tulkojumi ir </w:t>
      </w:r>
      <w:r w:rsidR="003C2F35" w:rsidRPr="00307028">
        <w:rPr>
          <w:rFonts w:eastAsia="Times New Roman"/>
          <w:lang w:eastAsia="en-US"/>
        </w:rPr>
        <w:t xml:space="preserve">pamatā </w:t>
      </w:r>
      <w:r w:rsidRPr="00307028">
        <w:rPr>
          <w:rFonts w:eastAsia="Times New Roman"/>
          <w:lang w:eastAsia="en-US"/>
        </w:rPr>
        <w:t xml:space="preserve">saistīti ar tiesvedību procesu, uzsver, ka tulkojumu apjoms ik gadu pieaug, attiecīgi ar </w:t>
      </w:r>
      <w:r w:rsidR="003C2F35" w:rsidRPr="00307028">
        <w:rPr>
          <w:rFonts w:eastAsia="Times New Roman"/>
          <w:lang w:eastAsia="en-US"/>
        </w:rPr>
        <w:t xml:space="preserve">pieaugošu tendenci ir arī </w:t>
      </w:r>
      <w:r w:rsidRPr="00307028">
        <w:rPr>
          <w:rFonts w:eastAsia="Times New Roman"/>
          <w:lang w:eastAsia="en-US"/>
        </w:rPr>
        <w:t xml:space="preserve">izdevumi tulkojumiem. Līdz ar to, lai </w:t>
      </w:r>
      <w:r w:rsidR="003C2F35" w:rsidRPr="00307028">
        <w:rPr>
          <w:rFonts w:eastAsia="Times New Roman"/>
          <w:lang w:eastAsia="en-US"/>
        </w:rPr>
        <w:t xml:space="preserve">skaidrotu iespējas </w:t>
      </w:r>
      <w:r w:rsidRPr="00307028">
        <w:rPr>
          <w:rFonts w:eastAsia="Times New Roman"/>
          <w:lang w:eastAsia="en-US"/>
        </w:rPr>
        <w:t xml:space="preserve">samazināt izdevumus tulkojumiem tiesvedību procesos, FM nosūtīja TM vēstuli ar lūgumu informēt, vai ir iespējamas izmaiņas tulkojumu veikšanā tiesvedības procesos, tostarp normatīvajā regulējumā attiecībā uz nepieciešamību veikt tulkojumus par valsts budžeta līdzekļiem. </w:t>
      </w:r>
    </w:p>
    <w:p w14:paraId="7A7E13E8" w14:textId="77777777" w:rsidR="009E5D04" w:rsidRPr="00307028" w:rsidRDefault="009E5D04" w:rsidP="00EC49CB">
      <w:pPr>
        <w:shd w:val="clear" w:color="auto" w:fill="FFFFFF"/>
        <w:spacing w:before="120" w:after="120" w:line="259" w:lineRule="auto"/>
        <w:ind w:firstLine="720"/>
        <w:jc w:val="both"/>
        <w:rPr>
          <w:rFonts w:eastAsia="Times New Roman"/>
          <w:lang w:eastAsia="en-US"/>
        </w:rPr>
      </w:pPr>
      <w:r w:rsidRPr="00307028">
        <w:rPr>
          <w:rFonts w:eastAsia="Times New Roman"/>
          <w:lang w:eastAsia="en-US"/>
        </w:rPr>
        <w:t xml:space="preserve">TM atbildes vēstulē norāda, ka, izvērtējot šobrīd spēkā esošo regulējumu, atbilstoši likuma “Par tiesu varu” 21. panta otrajai daļai ir nostiprināts princips, kas paredz, ka tiesiskā valstī personai, kas piedalās lietā, bet nepārvalda tiesvedības valodu, tiesai ir jānodrošina tiesības iepazīties ar lietas materiāliem un piedalīties tiesas darbībā ar tulka palīdzību, kā arī tiesības uzstāties tiesā tajā valodā, kuru šī persona pārvalda. Protams, atšķirībā no procesa, kurā notiek tiesvedība, atšķiras tulkošanas nodrošināšanai nepieciešamo izmaksu segšana. Procesos, kas primāri tiek īstenoti sabiedrības interesēs vai lai risinātu publiski tiesiskās attiecības starp valsti un privātpersonu, tulkošanas izdevumus tiesvedības stadijā sedz no valsts budžeta. Savukārt civilprocesā tulkošanas izdevumu segšana un dokumentu tulkošana galvenokārt gulstas uz tiesvedībā iesaistītajām pusēm (ar atsevišķiem izņēmumiem). </w:t>
      </w:r>
    </w:p>
    <w:p w14:paraId="51CEB35A" w14:textId="77777777" w:rsidR="009E5D04" w:rsidRPr="00307028" w:rsidRDefault="009E5D04" w:rsidP="00EC49CB">
      <w:pPr>
        <w:shd w:val="clear" w:color="auto" w:fill="FFFFFF"/>
        <w:spacing w:before="120" w:after="120" w:line="259" w:lineRule="auto"/>
        <w:ind w:firstLine="720"/>
        <w:jc w:val="both"/>
        <w:rPr>
          <w:rFonts w:eastAsia="Times New Roman"/>
          <w:lang w:eastAsia="en-US"/>
        </w:rPr>
      </w:pPr>
      <w:r w:rsidRPr="00307028">
        <w:rPr>
          <w:rFonts w:eastAsia="Times New Roman"/>
          <w:lang w:eastAsia="en-US"/>
        </w:rPr>
        <w:t xml:space="preserve">Tāpat TM norāda, ka prasība nodrošināt tulkošanu tiesvedības laikā noteiktā apmērā izriet arī no Latvijai uzņemtajām starptautiskajām saistībām. Spēkā esošais regulējums Kriminālprocesa likumā un Administratīvās atbildības likumā ir cieši saistīts ar Eiropas Cilvēktiesību konvencijas 6. pantu un ES tiesību aktiem, kas katrai dalībvalstij uzlikto pienākumu nodrošināt personas tiesības uz taisnīgu tiesu. </w:t>
      </w:r>
      <w:bookmarkStart w:id="148" w:name="_Hlk134444585"/>
    </w:p>
    <w:bookmarkEnd w:id="148"/>
    <w:p w14:paraId="01C35825" w14:textId="21E78098" w:rsidR="009E5D04" w:rsidRPr="00307028" w:rsidRDefault="009E5D04" w:rsidP="00EC49CB">
      <w:pPr>
        <w:spacing w:before="120" w:after="120" w:line="259" w:lineRule="auto"/>
        <w:ind w:firstLine="720"/>
        <w:jc w:val="both"/>
        <w:rPr>
          <w:rFonts w:ascii="TimesNewRomanPS-BoldMT" w:eastAsia="Times New Roman" w:hAnsi="TimesNewRomanPS-BoldMT" w:cs="TimesNewRomanPS-BoldMT"/>
          <w:lang w:eastAsia="en-US"/>
        </w:rPr>
      </w:pPr>
      <w:r w:rsidRPr="00307028">
        <w:rPr>
          <w:rFonts w:ascii="TimesNewRomanPS-BoldMT" w:eastAsia="Times New Roman" w:hAnsi="TimesNewRomanPS-BoldMT" w:cs="TimesNewRomanPS-BoldMT"/>
          <w:lang w:eastAsia="en-US"/>
        </w:rPr>
        <w:t xml:space="preserve">Attiecībā uz tulkojumiem </w:t>
      </w:r>
      <w:r w:rsidRPr="00307028">
        <w:rPr>
          <w:rFonts w:ascii="TimesNewRomanPS-BoldMT" w:eastAsia="Times New Roman" w:hAnsi="TimesNewRomanPS-BoldMT" w:cs="TimesNewRomanPS-BoldMT"/>
          <w:b/>
          <w:bCs/>
          <w:lang w:eastAsia="en-US"/>
        </w:rPr>
        <w:t>kriminālprocesā</w:t>
      </w:r>
      <w:r w:rsidRPr="00307028">
        <w:rPr>
          <w:rFonts w:ascii="TimesNewRomanPS-BoldMT" w:eastAsia="Times New Roman" w:hAnsi="TimesNewRomanPS-BoldMT" w:cs="TimesNewRomanPS-BoldMT"/>
          <w:lang w:eastAsia="en-US"/>
        </w:rPr>
        <w:t xml:space="preserve"> TM secina, ka </w:t>
      </w:r>
      <w:r w:rsidR="009675FB" w:rsidRPr="00307028">
        <w:rPr>
          <w:rFonts w:ascii="TimesNewRomanPS-BoldMT" w:eastAsia="Times New Roman" w:hAnsi="TimesNewRomanPS-BoldMT" w:cs="TimesNewRomanPS-BoldMT"/>
          <w:lang w:eastAsia="en-US"/>
        </w:rPr>
        <w:t>k</w:t>
      </w:r>
      <w:r w:rsidRPr="00307028">
        <w:rPr>
          <w:rFonts w:ascii="TimesNewRomanPS-BoldMT" w:eastAsia="Times New Roman" w:hAnsi="TimesNewRomanPS-BoldMT" w:cs="TimesNewRomanPS-BoldMT"/>
          <w:lang w:eastAsia="en-US"/>
        </w:rPr>
        <w:t>riminālprocesā nostiprinātais regulējums paredz cietušā un personas, kurai ir tiesības uz aizstāvību, un citu kriminālprocesā iesaistīto personu tiesības likumā noteiktajā kārtībā un apjomā bez atlīdzības saņemt mutvārdu vai rakstveida tulkojumu kriminālprocesā un minētais nesaraujami saistītas ar tiesībām uz taisnīgu tiesu, kuras prevalē pār procesuālās ekonomijas principu.</w:t>
      </w:r>
    </w:p>
    <w:p w14:paraId="3E192BC1" w14:textId="77777777" w:rsidR="009E5D04" w:rsidRPr="00307028" w:rsidRDefault="009E5D04" w:rsidP="00EC49CB">
      <w:pPr>
        <w:spacing w:before="120" w:after="120" w:line="259" w:lineRule="auto"/>
        <w:ind w:firstLine="720"/>
        <w:jc w:val="both"/>
        <w:rPr>
          <w:rFonts w:eastAsia="Times New Roman"/>
          <w:lang w:eastAsia="lv-LV"/>
        </w:rPr>
      </w:pPr>
      <w:r w:rsidRPr="00307028">
        <w:rPr>
          <w:rFonts w:eastAsia="Times New Roman"/>
          <w:szCs w:val="22"/>
          <w:lang w:eastAsia="en-US"/>
        </w:rPr>
        <w:t xml:space="preserve">Savukārt attiecībā uz Administratīvās atbildības likumā ietverto regulējumu </w:t>
      </w:r>
      <w:r w:rsidRPr="00307028">
        <w:rPr>
          <w:rFonts w:eastAsia="Times New Roman"/>
          <w:b/>
          <w:bCs/>
          <w:szCs w:val="22"/>
          <w:lang w:eastAsia="en-US"/>
        </w:rPr>
        <w:t>administratīvā pārkāpuma procesa</w:t>
      </w:r>
      <w:r w:rsidRPr="00307028">
        <w:rPr>
          <w:rFonts w:eastAsia="Times New Roman"/>
          <w:szCs w:val="22"/>
          <w:lang w:eastAsia="en-US"/>
        </w:rPr>
        <w:t xml:space="preserve"> norises regulēšanai TM norāda, ka minētais likums paredz, ka samaksu par tulka darbu sedz no valsts vai pašvaldības līdzekļiem, jo pretējā gadījumā summas piedziņa no sodītās personas nozīmētu, ka šī persona “maksā” par valodas nezināšanu nevis par izdarīto pārkāpumu</w:t>
      </w:r>
      <w:r w:rsidRPr="00307028">
        <w:rPr>
          <w:rFonts w:eastAsia="Times New Roman"/>
          <w:szCs w:val="22"/>
          <w:vertAlign w:val="superscript"/>
          <w:lang w:eastAsia="en-US"/>
        </w:rPr>
        <w:footnoteReference w:id="29"/>
      </w:r>
      <w:r w:rsidRPr="00307028">
        <w:rPr>
          <w:rFonts w:eastAsia="Times New Roman"/>
          <w:szCs w:val="22"/>
          <w:lang w:eastAsia="en-US"/>
        </w:rPr>
        <w:t xml:space="preserve">. </w:t>
      </w:r>
      <w:r w:rsidRPr="00307028">
        <w:rPr>
          <w:rFonts w:eastAsia="Times New Roman"/>
          <w:lang w:eastAsia="en-US"/>
        </w:rPr>
        <w:t>Līdz ar to secina, ka regulējums par tulkošanu Administratīvās atbildības likumā, tāpat kā Kriminālprocesa likumā, ir būtisks personu tiesībām uz taisnīgu tiesu nodrošināšanai.</w:t>
      </w:r>
    </w:p>
    <w:p w14:paraId="66B05A50" w14:textId="77777777" w:rsidR="009E5D04" w:rsidRPr="00307028" w:rsidRDefault="009E5D04" w:rsidP="00EC49CB">
      <w:pPr>
        <w:spacing w:before="120" w:after="120" w:line="259" w:lineRule="auto"/>
        <w:ind w:firstLine="720"/>
        <w:jc w:val="both"/>
        <w:rPr>
          <w:rFonts w:eastAsia="Times New Roman"/>
          <w:shd w:val="clear" w:color="auto" w:fill="FFFFFF"/>
          <w:lang w:eastAsia="en-US"/>
        </w:rPr>
      </w:pPr>
      <w:r w:rsidRPr="00307028">
        <w:rPr>
          <w:rFonts w:eastAsia="Times New Roman"/>
          <w:szCs w:val="22"/>
          <w:lang w:eastAsia="en-US"/>
        </w:rPr>
        <w:t xml:space="preserve">Vērtējot tulkošanas nodrošināšanas pienākumu </w:t>
      </w:r>
      <w:r w:rsidRPr="00307028">
        <w:rPr>
          <w:rFonts w:eastAsia="Times New Roman"/>
          <w:b/>
          <w:bCs/>
          <w:szCs w:val="22"/>
          <w:lang w:eastAsia="en-US"/>
        </w:rPr>
        <w:t>administratīvajā procesā</w:t>
      </w:r>
      <w:r w:rsidRPr="00307028">
        <w:rPr>
          <w:rFonts w:eastAsia="Times New Roman"/>
          <w:szCs w:val="22"/>
          <w:lang w:eastAsia="en-US"/>
        </w:rPr>
        <w:t xml:space="preserve">, TM norāda, ka </w:t>
      </w:r>
      <w:r w:rsidRPr="00307028">
        <w:rPr>
          <w:rFonts w:eastAsia="Times New Roman"/>
          <w:shd w:val="clear" w:color="auto" w:fill="FFFFFF"/>
          <w:lang w:eastAsia="en-US"/>
        </w:rPr>
        <w:t>procesā, kurā tiek vērtēts valsts vai pašvaldības iestādes iespējami kļūdaini pieņemtais lēmums, kas ir radījis personai nelabvēlīgas sekas, kontroles process tiek īstenots lietas dalībniekam saprotamā valodā. Līdz ar to, lai administratīvajā procesā nodrošinātu taisnīgas tiesas principu, tulkošanas izdevumi gulstas uz valsts budžetu. Jāvērš uzmanība, ka šī procesa ietvaros ir samērīgs tulkošanas pienākuma sadalījums starp lietas dalībnieku, kuram jāiesniedz tiesā dokumenti, tiem pievienojot tulkojumu valsts valodā, un tiesas (valsts) pienākums nodrošināt tiesas procesu lietas dalībniekiem saprotamā valodā.</w:t>
      </w:r>
      <w:r w:rsidRPr="00307028">
        <w:rPr>
          <w:rFonts w:eastAsia="Times New Roman"/>
          <w:lang w:eastAsia="en-US"/>
        </w:rPr>
        <w:t xml:space="preserve"> </w:t>
      </w:r>
    </w:p>
    <w:p w14:paraId="16859FAF" w14:textId="77777777" w:rsidR="009E5D04" w:rsidRPr="00307028" w:rsidRDefault="009E5D04" w:rsidP="00EC49CB">
      <w:pPr>
        <w:shd w:val="clear" w:color="auto" w:fill="FFFFFF"/>
        <w:spacing w:before="120" w:after="120" w:line="259" w:lineRule="auto"/>
        <w:ind w:firstLine="720"/>
        <w:jc w:val="both"/>
        <w:rPr>
          <w:rFonts w:eastAsia="Times New Roman"/>
          <w:color w:val="201F1E"/>
          <w:szCs w:val="22"/>
          <w:bdr w:val="none" w:sz="0" w:space="0" w:color="auto" w:frame="1"/>
          <w:lang w:eastAsia="lv-LV"/>
        </w:rPr>
      </w:pPr>
      <w:r w:rsidRPr="00307028">
        <w:rPr>
          <w:rFonts w:eastAsia="Times New Roman"/>
          <w:lang w:eastAsia="en-US"/>
        </w:rPr>
        <w:lastRenderedPageBreak/>
        <w:t xml:space="preserve">Attiecībā uz tulkojumiem </w:t>
      </w:r>
      <w:r w:rsidRPr="00307028">
        <w:rPr>
          <w:rFonts w:eastAsia="Times New Roman"/>
          <w:b/>
          <w:bCs/>
          <w:lang w:eastAsia="en-US"/>
        </w:rPr>
        <w:t>civilprocesā</w:t>
      </w:r>
      <w:r w:rsidRPr="00307028">
        <w:rPr>
          <w:rFonts w:eastAsia="Times New Roman"/>
          <w:lang w:eastAsia="en-US"/>
        </w:rPr>
        <w:t xml:space="preserve"> TM norāda, </w:t>
      </w:r>
      <w:r w:rsidRPr="00307028">
        <w:rPr>
          <w:rFonts w:eastAsia="Times New Roman"/>
          <w:color w:val="201F1E"/>
          <w:szCs w:val="22"/>
          <w:bdr w:val="none" w:sz="0" w:space="0" w:color="auto" w:frame="1"/>
          <w:lang w:eastAsia="lv-LV"/>
        </w:rPr>
        <w:t>ka tulkošanas izdevumi civilprocesa ietvaros ir jānodrošina no valsts budžeta tikai atsevišķos gadījumos vai personām, kas ir atbrīvotas no tiesas izdevumu segšanas, līdz ar to nav nepieciešams veikt izmaiņas civilprocesa regulējumā attiecībā uz nepieciešamību veikt tulkojumu, jo pārsvarā šīs izmaksas ir jāsedz tiesvedībā iesaistītajām pusēm.</w:t>
      </w:r>
    </w:p>
    <w:p w14:paraId="1F4BB047" w14:textId="77777777" w:rsidR="009E5D04" w:rsidRPr="00307028" w:rsidRDefault="009E5D04" w:rsidP="00EC49CB">
      <w:pPr>
        <w:spacing w:before="120" w:after="120" w:line="259" w:lineRule="auto"/>
        <w:ind w:firstLine="720"/>
        <w:jc w:val="both"/>
        <w:rPr>
          <w:rFonts w:eastAsia="Times New Roman"/>
          <w:lang w:eastAsia="en-US"/>
        </w:rPr>
      </w:pPr>
      <w:r w:rsidRPr="00307028">
        <w:rPr>
          <w:rFonts w:eastAsia="Times New Roman"/>
          <w:lang w:eastAsia="en-US"/>
        </w:rPr>
        <w:t>Noslēgumā TM secina, ka atbilstoši analizētajiem tiesību aktiem secināms, ka šobrīd nav saskatāma nepieciešamība veikt izmaiņas regulējumā attiecībā uz tulkojumu veikšanu par valsts budžeta līdzekļiem.</w:t>
      </w:r>
    </w:p>
    <w:p w14:paraId="2EC19DC1" w14:textId="1B51048F" w:rsidR="009E5D04" w:rsidRPr="00307028" w:rsidRDefault="009E5D04" w:rsidP="00EC49CB">
      <w:pPr>
        <w:spacing w:before="120" w:after="120" w:line="259" w:lineRule="auto"/>
        <w:ind w:firstLine="720"/>
        <w:jc w:val="both"/>
        <w:rPr>
          <w:rFonts w:eastAsia="Times New Roman"/>
          <w:i/>
          <w:iCs/>
          <w:lang w:eastAsia="en-US"/>
        </w:rPr>
      </w:pPr>
      <w:r w:rsidRPr="00307028">
        <w:rPr>
          <w:rFonts w:eastAsia="Times New Roman"/>
          <w:lang w:eastAsia="en-US"/>
        </w:rPr>
        <w:t xml:space="preserve">Vairākas iestādes norāda, ka tulkojumu veikšanu tiesvedībās apgrūtina tulkojamo dokumentu esamība papīra formātā, kā arī to piegādes izmaksas. Lai noskaidrotu, kāpēc šāda situācija veidojas un vai to nevar atrisināt ar portāla E-lieta.lv palīdzību, FM lūdza sniegt TM atbildi uz šādiem jautājumiem - </w:t>
      </w:r>
      <w:r w:rsidRPr="00307028">
        <w:rPr>
          <w:rFonts w:eastAsia="Times New Roman"/>
          <w:i/>
          <w:iCs/>
          <w:lang w:eastAsia="en-US"/>
        </w:rPr>
        <w:t>Vai portāls elieta.lv nodrošina iespēju iestādēm saņemt visus dokumentus tulkošanai, kā arī iesniegt veiktos tulkojumus elektroniski? Vai tuvākajā laikā plānoti kādi uzlabojumi portālā E-lieta.lv attiecībā uz tulkojumu veikšanu vai tulkojumu aprites uzlabošanu?</w:t>
      </w:r>
      <w:r w:rsidR="00EC49CB" w:rsidRPr="00307028">
        <w:rPr>
          <w:rFonts w:eastAsia="Times New Roman"/>
          <w:i/>
          <w:iCs/>
          <w:lang w:eastAsia="en-US"/>
        </w:rPr>
        <w:t xml:space="preserve"> </w:t>
      </w:r>
      <w:r w:rsidRPr="00307028">
        <w:rPr>
          <w:rFonts w:eastAsia="Times New Roman"/>
          <w:lang w:eastAsia="en-US"/>
        </w:rPr>
        <w:t xml:space="preserve">TM, atbildot norāda, ka E-lietas portālā lietas dalībnieki var lejupielādēt lietas materiālus un ar lejupielādētajām datnēm rīkoties pēc saviem ieskatiem, tajā skaitā nodot šīs datnes tulkošanai. Tāpat E-lietas portālā ir pieejama e-veidlapa “Iesniegums tiesai”, </w:t>
      </w:r>
      <w:r w:rsidR="003C2F35" w:rsidRPr="00307028">
        <w:rPr>
          <w:rFonts w:eastAsia="Times New Roman"/>
          <w:lang w:eastAsia="en-US"/>
        </w:rPr>
        <w:t>ar kuras palīdzību</w:t>
      </w:r>
      <w:r w:rsidRPr="00307028">
        <w:rPr>
          <w:rFonts w:eastAsia="Times New Roman"/>
          <w:lang w:eastAsia="en-US"/>
        </w:rPr>
        <w:t xml:space="preserve"> tiesā var iesniegt papildu dokumentus, tajā skaitā tulkojumus. Vienlaikus </w:t>
      </w:r>
      <w:r w:rsidR="003C2F35" w:rsidRPr="00307028">
        <w:rPr>
          <w:rFonts w:eastAsia="Times New Roman"/>
          <w:lang w:eastAsia="en-US"/>
        </w:rPr>
        <w:t xml:space="preserve">TM </w:t>
      </w:r>
      <w:r w:rsidRPr="00307028">
        <w:rPr>
          <w:rFonts w:eastAsia="Times New Roman"/>
          <w:lang w:eastAsia="en-US"/>
        </w:rPr>
        <w:t>informē, ka jau šobrīd, ja tulkojamais dokuments ir pieejams elektroniskā veidā, tas netiek pārvērsts papīra formā. Neskatoties uz E-lietas portāla funkcionalitāti, arī šobrīd tulkojumu aprite notiek elektroniskā formātā, ja tāds tas ir bijis sākotnēji.</w:t>
      </w:r>
    </w:p>
    <w:p w14:paraId="54CDC476" w14:textId="21B3829F" w:rsidR="009E5D04" w:rsidRPr="00307028" w:rsidRDefault="009E5D04" w:rsidP="00EC49CB">
      <w:pPr>
        <w:suppressAutoHyphens/>
        <w:spacing w:before="120" w:after="120" w:line="259" w:lineRule="auto"/>
        <w:ind w:firstLine="720"/>
        <w:jc w:val="both"/>
        <w:rPr>
          <w:rFonts w:eastAsia="Times New Roman"/>
          <w:lang w:eastAsia="en-US"/>
        </w:rPr>
      </w:pPr>
      <w:r w:rsidRPr="00307028">
        <w:rPr>
          <w:rFonts w:eastAsia="Times New Roman"/>
          <w:lang w:eastAsia="en-US"/>
        </w:rPr>
        <w:t>Būtiska loma tulkojumu veikšanā, tostarp izdevumu tulkojumiem samazināšanai, ir m</w:t>
      </w:r>
      <w:r w:rsidR="003C2F35" w:rsidRPr="00307028">
        <w:rPr>
          <w:rFonts w:eastAsia="Times New Roman"/>
          <w:lang w:eastAsia="en-US"/>
        </w:rPr>
        <w:t>a</w:t>
      </w:r>
      <w:r w:rsidRPr="00307028">
        <w:rPr>
          <w:rFonts w:eastAsia="Times New Roman"/>
          <w:lang w:eastAsia="en-US"/>
        </w:rPr>
        <w:t>š</w:t>
      </w:r>
      <w:r w:rsidR="003C2F35" w:rsidRPr="00307028">
        <w:rPr>
          <w:rFonts w:eastAsia="Times New Roman"/>
          <w:lang w:eastAsia="en-US"/>
        </w:rPr>
        <w:t>ī</w:t>
      </w:r>
      <w:r w:rsidRPr="00307028">
        <w:rPr>
          <w:rFonts w:eastAsia="Times New Roman"/>
          <w:lang w:eastAsia="en-US"/>
        </w:rPr>
        <w:t>ntulkošanai, kas ir automātiska tulkošana, ko veic datorsistēmas</w:t>
      </w:r>
      <w:r w:rsidRPr="00307028">
        <w:rPr>
          <w:rFonts w:eastAsia="Times New Roman"/>
          <w:vertAlign w:val="superscript"/>
          <w:lang w:eastAsia="en-US"/>
        </w:rPr>
        <w:footnoteReference w:id="30"/>
      </w:r>
      <w:r w:rsidRPr="00307028">
        <w:rPr>
          <w:rFonts w:eastAsia="Times New Roman"/>
          <w:lang w:eastAsia="en-US"/>
        </w:rPr>
        <w:t>. Apkopotie dati liecina, ka lielākā daļa iestāžu jeb 71% tulkojumu veikšanai neizmanto mašīntulkošanas pakalpojumus (skatīt attēlu Nr. 2.4.4).</w:t>
      </w:r>
    </w:p>
    <w:p w14:paraId="53F3338D" w14:textId="77777777" w:rsidR="003C2F35" w:rsidRPr="00307028" w:rsidRDefault="003C2F35" w:rsidP="009E5D04">
      <w:pPr>
        <w:spacing w:after="120" w:line="259" w:lineRule="auto"/>
        <w:jc w:val="center"/>
        <w:rPr>
          <w:rFonts w:eastAsia="Times New Roman"/>
          <w:b/>
          <w:bCs/>
          <w:i/>
          <w:iCs/>
          <w:sz w:val="22"/>
          <w:szCs w:val="22"/>
          <w:lang w:eastAsia="en-US"/>
        </w:rPr>
        <w:sectPr w:rsidR="003C2F35" w:rsidRPr="00307028" w:rsidSect="00DC4D64">
          <w:type w:val="continuous"/>
          <w:pgSz w:w="11906" w:h="16838"/>
          <w:pgMar w:top="1134" w:right="1134" w:bottom="1134" w:left="1701" w:header="709" w:footer="709" w:gutter="0"/>
          <w:cols w:space="708"/>
          <w:docGrid w:linePitch="360"/>
        </w:sectPr>
      </w:pPr>
    </w:p>
    <w:p w14:paraId="3AC045C2" w14:textId="36A56C71" w:rsidR="009E5D04" w:rsidRPr="00307028" w:rsidRDefault="009E5D04" w:rsidP="009E5D04">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2.4.</w:t>
      </w:r>
      <w:r w:rsidR="00EC49CB" w:rsidRPr="00307028">
        <w:rPr>
          <w:rFonts w:eastAsia="Times New Roman"/>
          <w:b/>
          <w:bCs/>
          <w:i/>
          <w:iCs/>
          <w:sz w:val="22"/>
          <w:szCs w:val="22"/>
          <w:lang w:eastAsia="en-US"/>
        </w:rPr>
        <w:t>2.</w:t>
      </w:r>
      <w:r w:rsidRPr="00307028">
        <w:rPr>
          <w:rFonts w:eastAsia="Times New Roman"/>
          <w:b/>
          <w:bCs/>
          <w:i/>
          <w:iCs/>
          <w:sz w:val="22"/>
          <w:szCs w:val="22"/>
          <w:lang w:eastAsia="en-US"/>
        </w:rPr>
        <w:t>4. attēls</w:t>
      </w:r>
      <w:r w:rsidRPr="00307028">
        <w:rPr>
          <w:rFonts w:eastAsia="Times New Roman"/>
          <w:b/>
          <w:bCs/>
          <w:sz w:val="22"/>
          <w:szCs w:val="22"/>
          <w:lang w:eastAsia="en-US"/>
        </w:rPr>
        <w:t xml:space="preserve"> Iestādes, kas izmanto/neizmanto mašīntulkošnas pakalpojumus</w:t>
      </w:r>
      <w:r w:rsidR="00BF15EE" w:rsidRPr="00307028">
        <w:rPr>
          <w:rFonts w:eastAsia="Times New Roman"/>
          <w:noProof/>
          <w:szCs w:val="22"/>
          <w:lang w:eastAsia="en-US"/>
        </w:rPr>
        <w:drawing>
          <wp:inline distT="0" distB="0" distL="0" distR="0" wp14:anchorId="033E0618" wp14:editId="3052AB65">
            <wp:extent cx="2619375" cy="2209800"/>
            <wp:effectExtent l="0" t="0" r="0" b="0"/>
            <wp:docPr id="1858953093" name="Chart 1">
              <a:extLst xmlns:a="http://schemas.openxmlformats.org/drawingml/2006/main">
                <a:ext uri="{FF2B5EF4-FFF2-40B4-BE49-F238E27FC236}">
                  <a16:creationId xmlns:a16="http://schemas.microsoft.com/office/drawing/2014/main" id="{2D23D7B0-BFCC-4116-ADA5-35570B154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BA68C61" w14:textId="380F9CBE" w:rsidR="003C2F35" w:rsidRPr="00307028" w:rsidRDefault="003C2F35" w:rsidP="000500E3">
      <w:pPr>
        <w:suppressAutoHyphens/>
        <w:spacing w:after="120" w:line="259" w:lineRule="auto"/>
        <w:jc w:val="center"/>
        <w:rPr>
          <w:rFonts w:eastAsia="Times New Roman"/>
          <w:lang w:eastAsia="en-US"/>
        </w:rPr>
      </w:pPr>
    </w:p>
    <w:p w14:paraId="27BBBA86" w14:textId="77777777" w:rsidR="00BF15EE" w:rsidRDefault="00BF15EE" w:rsidP="00402331">
      <w:pPr>
        <w:suppressAutoHyphens/>
        <w:spacing w:after="120" w:line="259" w:lineRule="auto"/>
        <w:ind w:firstLine="720"/>
        <w:jc w:val="both"/>
        <w:rPr>
          <w:rFonts w:eastAsia="Times New Roman"/>
          <w:lang w:eastAsia="en-US"/>
        </w:rPr>
      </w:pPr>
    </w:p>
    <w:p w14:paraId="79B608C9" w14:textId="6E860D5E" w:rsidR="00402331" w:rsidRPr="00307028" w:rsidRDefault="009E5D04" w:rsidP="00402331">
      <w:pPr>
        <w:suppressAutoHyphens/>
        <w:spacing w:after="120" w:line="259" w:lineRule="auto"/>
        <w:ind w:firstLine="720"/>
        <w:jc w:val="both"/>
        <w:rPr>
          <w:rFonts w:eastAsia="Times New Roman"/>
          <w:lang w:eastAsia="en-US"/>
        </w:rPr>
      </w:pPr>
      <w:r w:rsidRPr="00307028">
        <w:rPr>
          <w:rFonts w:eastAsia="Times New Roman"/>
          <w:lang w:eastAsia="en-US"/>
        </w:rPr>
        <w:t>Kā redzams attēlā Nr. 2.4.</w:t>
      </w:r>
      <w:r w:rsidR="00EC49CB" w:rsidRPr="00307028">
        <w:rPr>
          <w:rFonts w:eastAsia="Times New Roman"/>
          <w:lang w:eastAsia="en-US"/>
        </w:rPr>
        <w:t>2.</w:t>
      </w:r>
      <w:r w:rsidRPr="00307028">
        <w:rPr>
          <w:rFonts w:eastAsia="Times New Roman"/>
          <w:lang w:eastAsia="en-US"/>
        </w:rPr>
        <w:t>4.,</w:t>
      </w:r>
      <w:r w:rsidRPr="00307028">
        <w:rPr>
          <w:rFonts w:eastAsia="Times New Roman"/>
          <w:szCs w:val="22"/>
          <w:lang w:eastAsia="en-US"/>
        </w:rPr>
        <w:t xml:space="preserve"> tikai </w:t>
      </w:r>
      <w:r w:rsidRPr="00307028">
        <w:rPr>
          <w:rFonts w:eastAsia="Times New Roman"/>
          <w:lang w:eastAsia="en-US"/>
        </w:rPr>
        <w:t>31 iestāde jeb 29% tulkojumu veikšanai izmanto mašīntulkošanas pakalpojumus. Lielāka daļa šo iestāžu norāda, ka mašīntulkošanas pakalpojumu izmantošana ir ļāvusi ietaupīt izdevumus tulkojumu veikšanai. Tām iestādēm, kuras izmanto mašīntulkošanas pakalpojumus, informācijas pieprasījama ietvaros tika lūgts norādīt aptuveno procentuālo ietaupījuma apmēru izdevumos tulkojumiem, ka</w:t>
      </w:r>
      <w:r w:rsidR="003C2F35" w:rsidRPr="00307028">
        <w:rPr>
          <w:rFonts w:eastAsia="Times New Roman"/>
          <w:lang w:eastAsia="en-US"/>
        </w:rPr>
        <w:t>s</w:t>
      </w:r>
      <w:r w:rsidRPr="00307028">
        <w:rPr>
          <w:rFonts w:eastAsia="Times New Roman"/>
          <w:lang w:eastAsia="en-US"/>
        </w:rPr>
        <w:t xml:space="preserve"> radušies no mašīntulkošanas izmantošanas. Vairums iestāžu norādīja, ka mašīntulkošana sniedz iespēju ietaupīt gan laiku, gan finanses, bet nav iespējams noteikt aptuveno procentuālo ietaupījumu, jo netiek veikta šāda veida uzskaite.</w:t>
      </w:r>
    </w:p>
    <w:p w14:paraId="340D843C" w14:textId="77777777" w:rsidR="003C2F35" w:rsidRPr="00307028" w:rsidRDefault="003C2F35" w:rsidP="00402331">
      <w:pPr>
        <w:suppressAutoHyphens/>
        <w:spacing w:after="120" w:line="259" w:lineRule="auto"/>
        <w:ind w:firstLine="720"/>
        <w:jc w:val="both"/>
        <w:rPr>
          <w:rFonts w:eastAsia="Times New Roman"/>
          <w:lang w:eastAsia="en-US"/>
        </w:rPr>
        <w:sectPr w:rsidR="003C2F35" w:rsidRPr="00307028" w:rsidSect="003C2F35">
          <w:type w:val="continuous"/>
          <w:pgSz w:w="11906" w:h="16838"/>
          <w:pgMar w:top="1134" w:right="1134" w:bottom="1134" w:left="1701" w:header="709" w:footer="709" w:gutter="0"/>
          <w:cols w:num="2" w:space="708"/>
          <w:docGrid w:linePitch="360"/>
        </w:sectPr>
      </w:pPr>
    </w:p>
    <w:p w14:paraId="1AA42426" w14:textId="577C04E6" w:rsidR="00AA145A" w:rsidRPr="00307028" w:rsidRDefault="009E5D04" w:rsidP="00402331">
      <w:pPr>
        <w:suppressAutoHyphens/>
        <w:spacing w:after="120" w:line="259" w:lineRule="auto"/>
        <w:ind w:firstLine="720"/>
        <w:jc w:val="both"/>
        <w:rPr>
          <w:rFonts w:eastAsia="Times New Roman"/>
          <w:lang w:eastAsia="en-US"/>
        </w:rPr>
      </w:pPr>
      <w:r w:rsidRPr="00307028">
        <w:rPr>
          <w:rFonts w:eastAsia="Times New Roman"/>
          <w:lang w:eastAsia="en-US"/>
        </w:rPr>
        <w:lastRenderedPageBreak/>
        <w:t>Tomēr trīs iestādes ir norādījušas konkrētu ietaupījuma apmēru, piemēram, VAS – 30%, VKo – 15% un VID – 0,055% no izdevumiem tulkojumiem tiek ietaupīti, izmantojot mašīntulkošanas pakalpojumus. Informācijas pieprasījumā iestādes kā visbiežāk izmantotās mašīntulkošanas platformas norāda Hugo.lv un Google tulkotāju (skatīt attēlu Nr.2.4.</w:t>
      </w:r>
      <w:r w:rsidR="00EC49CB" w:rsidRPr="00307028">
        <w:rPr>
          <w:rFonts w:eastAsia="Times New Roman"/>
          <w:lang w:eastAsia="en-US"/>
        </w:rPr>
        <w:t>2.</w:t>
      </w:r>
      <w:r w:rsidRPr="00307028">
        <w:rPr>
          <w:rFonts w:eastAsia="Times New Roman"/>
          <w:lang w:eastAsia="en-US"/>
        </w:rPr>
        <w:t>5.).</w:t>
      </w:r>
    </w:p>
    <w:p w14:paraId="5E8A22D4" w14:textId="252F1778" w:rsidR="009E5D04" w:rsidRPr="00307028" w:rsidRDefault="009E5D04" w:rsidP="009E5D04">
      <w:pPr>
        <w:spacing w:after="120" w:line="259" w:lineRule="auto"/>
        <w:jc w:val="center"/>
        <w:rPr>
          <w:rFonts w:eastAsia="Times New Roman"/>
          <w:b/>
          <w:bCs/>
          <w:sz w:val="22"/>
          <w:szCs w:val="22"/>
          <w:lang w:eastAsia="en-US"/>
        </w:rPr>
      </w:pPr>
      <w:r w:rsidRPr="00307028">
        <w:rPr>
          <w:rFonts w:eastAsia="Times New Roman"/>
          <w:b/>
          <w:bCs/>
          <w:i/>
          <w:iCs/>
          <w:sz w:val="22"/>
          <w:szCs w:val="22"/>
          <w:lang w:eastAsia="en-US"/>
        </w:rPr>
        <w:t>2.4.</w:t>
      </w:r>
      <w:r w:rsidR="00EC49CB" w:rsidRPr="00307028">
        <w:rPr>
          <w:rFonts w:eastAsia="Times New Roman"/>
          <w:b/>
          <w:bCs/>
          <w:i/>
          <w:iCs/>
          <w:sz w:val="22"/>
          <w:szCs w:val="22"/>
          <w:lang w:eastAsia="en-US"/>
        </w:rPr>
        <w:t>2.</w:t>
      </w:r>
      <w:r w:rsidRPr="00307028">
        <w:rPr>
          <w:rFonts w:eastAsia="Times New Roman"/>
          <w:b/>
          <w:bCs/>
          <w:i/>
          <w:iCs/>
          <w:sz w:val="22"/>
          <w:szCs w:val="22"/>
          <w:lang w:eastAsia="en-US"/>
        </w:rPr>
        <w:t>5. attēls</w:t>
      </w:r>
      <w:r w:rsidRPr="00307028">
        <w:rPr>
          <w:rFonts w:eastAsia="Times New Roman"/>
          <w:b/>
          <w:bCs/>
          <w:sz w:val="22"/>
          <w:szCs w:val="22"/>
          <w:lang w:eastAsia="en-US"/>
        </w:rPr>
        <w:t xml:space="preserve"> Visbiežāk izmantotās mašīntulkošanas platformas</w:t>
      </w:r>
    </w:p>
    <w:p w14:paraId="74670331" w14:textId="77777777" w:rsidR="009E5D04" w:rsidRPr="00307028" w:rsidRDefault="009E5D04" w:rsidP="009E5D04">
      <w:pPr>
        <w:spacing w:after="120" w:line="259" w:lineRule="auto"/>
        <w:jc w:val="center"/>
        <w:rPr>
          <w:rFonts w:eastAsia="Times New Roman"/>
          <w:lang w:eastAsia="en-US"/>
        </w:rPr>
      </w:pPr>
      <w:r w:rsidRPr="00307028">
        <w:rPr>
          <w:rFonts w:eastAsia="Times New Roman"/>
          <w:noProof/>
          <w:szCs w:val="22"/>
          <w:lang w:eastAsia="en-US"/>
        </w:rPr>
        <mc:AlternateContent>
          <mc:Choice Requires="cx2">
            <w:drawing>
              <wp:inline distT="0" distB="0" distL="0" distR="0" wp14:anchorId="1D844375" wp14:editId="1C9F03E9">
                <wp:extent cx="5746391" cy="1971040"/>
                <wp:effectExtent l="0" t="0" r="6985" b="10160"/>
                <wp:docPr id="1021152603" name="Chart 1">
                  <a:extLst xmlns:a="http://schemas.openxmlformats.org/drawingml/2006/main">
                    <a:ext uri="{FF2B5EF4-FFF2-40B4-BE49-F238E27FC236}">
                      <a16:creationId xmlns:a16="http://schemas.microsoft.com/office/drawing/2014/main" id="{4280833F-1E3B-C58B-C7A7-AA8B079C188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3"/>
                  </a:graphicData>
                </a:graphic>
              </wp:inline>
            </w:drawing>
          </mc:Choice>
          <mc:Fallback>
            <w:drawing>
              <wp:inline distT="0" distB="0" distL="0" distR="0" wp14:anchorId="1D844375" wp14:editId="1C9F03E9">
                <wp:extent cx="5746391" cy="1971040"/>
                <wp:effectExtent l="0" t="0" r="6985" b="10160"/>
                <wp:docPr id="1021152603" name="Chart 1">
                  <a:extLst xmlns:a="http://schemas.openxmlformats.org/drawingml/2006/main">
                    <a:ext uri="{FF2B5EF4-FFF2-40B4-BE49-F238E27FC236}">
                      <a16:creationId xmlns:a16="http://schemas.microsoft.com/office/drawing/2014/main" id="{4280833F-1E3B-C58B-C7A7-AA8B079C188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21152603" name="Chart 1">
                          <a:extLst>
                            <a:ext uri="{FF2B5EF4-FFF2-40B4-BE49-F238E27FC236}">
                              <a16:creationId xmlns:a16="http://schemas.microsoft.com/office/drawing/2014/main" id="{4280833F-1E3B-C58B-C7A7-AA8B079C1884}"/>
                            </a:ext>
                          </a:extLst>
                        </pic:cNvPr>
                        <pic:cNvPicPr>
                          <a:picLocks noGrp="1" noRot="1" noChangeAspect="1" noMove="1" noResize="1" noEditPoints="1" noAdjustHandles="1" noChangeArrowheads="1" noChangeShapeType="1"/>
                        </pic:cNvPicPr>
                      </pic:nvPicPr>
                      <pic:blipFill>
                        <a:blip r:embed="rId64"/>
                        <a:stretch>
                          <a:fillRect/>
                        </a:stretch>
                      </pic:blipFill>
                      <pic:spPr>
                        <a:xfrm>
                          <a:off x="0" y="0"/>
                          <a:ext cx="5746115" cy="1971040"/>
                        </a:xfrm>
                        <a:prstGeom prst="rect">
                          <a:avLst/>
                        </a:prstGeom>
                      </pic:spPr>
                    </pic:pic>
                  </a:graphicData>
                </a:graphic>
              </wp:inline>
            </w:drawing>
          </mc:Fallback>
        </mc:AlternateContent>
      </w:r>
    </w:p>
    <w:p w14:paraId="2EF26963" w14:textId="541F5FF7" w:rsidR="009E5D04" w:rsidRPr="00307028" w:rsidRDefault="009E5D04" w:rsidP="009E5D04">
      <w:pPr>
        <w:spacing w:after="120" w:line="259" w:lineRule="auto"/>
        <w:ind w:firstLine="720"/>
        <w:jc w:val="both"/>
        <w:rPr>
          <w:rFonts w:eastAsia="Times New Roman"/>
          <w:lang w:eastAsia="en-US"/>
        </w:rPr>
      </w:pPr>
      <w:r w:rsidRPr="00307028">
        <w:rPr>
          <w:rFonts w:eastAsia="Times New Roman"/>
          <w:lang w:eastAsia="en-US"/>
        </w:rPr>
        <w:t>Aplūkojot attēlu Nr. 2.4.</w:t>
      </w:r>
      <w:r w:rsidR="00EC49CB" w:rsidRPr="00307028">
        <w:rPr>
          <w:rFonts w:eastAsia="Times New Roman"/>
          <w:lang w:eastAsia="en-US"/>
        </w:rPr>
        <w:t>2.</w:t>
      </w:r>
      <w:r w:rsidRPr="00307028">
        <w:rPr>
          <w:rFonts w:eastAsia="Times New Roman"/>
          <w:lang w:eastAsia="en-US"/>
        </w:rPr>
        <w:t>5., redzams, ka salīdzinoši bieži tiek izmantots arī Tildes tulkotājs, DeepL Translator un Digital Europe eTraslation. Iestādes norāda, ka ar mašīntulkotājiem visbiežāk tulko mājaslapu saturu, informāciju sociālajiem kontiem, preses relīzes, vēstules, sarakstes ar ES institūcijām, mācību dokumentus, iepirkumu dokumentāciju, dažādus starptautiskos dokumentus, tiesību aktus, vadlīnijas u.c. Tostarp vairākas iestādes norāda, ka ar mašīntulkotājiem tulko visu, kam nav nepieciešams tulka apliecinājums. Svarīgi pieminēt, ka vairākas iestādes, kas norādīja, ka neizmanto mašīntulkošanu, apsver iespēju to turpmāk izmantot.</w:t>
      </w:r>
    </w:p>
    <w:p w14:paraId="24C1B4BD" w14:textId="29B39958" w:rsidR="009E5D04" w:rsidRPr="00307028" w:rsidRDefault="009E5D04" w:rsidP="009E5D04">
      <w:pPr>
        <w:spacing w:after="120" w:line="259" w:lineRule="auto"/>
        <w:ind w:firstLine="720"/>
        <w:jc w:val="both"/>
        <w:rPr>
          <w:rFonts w:eastAsia="Times New Roman"/>
          <w:lang w:eastAsia="en-US"/>
        </w:rPr>
      </w:pPr>
      <w:r w:rsidRPr="00307028">
        <w:rPr>
          <w:rFonts w:eastAsia="Times New Roman"/>
          <w:lang w:eastAsia="en-US"/>
        </w:rPr>
        <w:t>Iestādes, kuras norādīja, ka tulkojumu veikšanai neizmanto mašīntulkošanas pakalpojumus, tika lūgtas norādīt neizmantošanas iemeslus (skatīt attēlu Nr.2.4.</w:t>
      </w:r>
      <w:r w:rsidR="00EC49CB" w:rsidRPr="00307028">
        <w:rPr>
          <w:rFonts w:eastAsia="Times New Roman"/>
          <w:lang w:eastAsia="en-US"/>
        </w:rPr>
        <w:t>2.</w:t>
      </w:r>
      <w:r w:rsidRPr="00307028">
        <w:rPr>
          <w:rFonts w:eastAsia="Times New Roman"/>
          <w:lang w:eastAsia="en-US"/>
        </w:rPr>
        <w:t xml:space="preserve">6). </w:t>
      </w:r>
    </w:p>
    <w:p w14:paraId="363F6BDC" w14:textId="4DD55E09" w:rsidR="009E5D04" w:rsidRPr="00307028" w:rsidRDefault="009E5D04" w:rsidP="009E5D04">
      <w:pPr>
        <w:spacing w:after="120" w:line="259" w:lineRule="auto"/>
        <w:ind w:firstLine="720"/>
        <w:jc w:val="center"/>
        <w:rPr>
          <w:rFonts w:eastAsia="Times New Roman"/>
          <w:lang w:eastAsia="en-US"/>
        </w:rPr>
      </w:pPr>
      <w:r w:rsidRPr="00307028">
        <w:rPr>
          <w:rFonts w:eastAsia="Times New Roman"/>
          <w:b/>
          <w:bCs/>
          <w:i/>
          <w:iCs/>
          <w:sz w:val="22"/>
          <w:szCs w:val="22"/>
          <w:lang w:eastAsia="en-US"/>
        </w:rPr>
        <w:t>2.4.</w:t>
      </w:r>
      <w:r w:rsidR="00EC49CB" w:rsidRPr="00307028">
        <w:rPr>
          <w:rFonts w:eastAsia="Times New Roman"/>
          <w:b/>
          <w:bCs/>
          <w:i/>
          <w:iCs/>
          <w:sz w:val="22"/>
          <w:szCs w:val="22"/>
          <w:lang w:eastAsia="en-US"/>
        </w:rPr>
        <w:t>2.</w:t>
      </w:r>
      <w:r w:rsidRPr="00307028">
        <w:rPr>
          <w:rFonts w:eastAsia="Times New Roman"/>
          <w:b/>
          <w:bCs/>
          <w:i/>
          <w:iCs/>
          <w:sz w:val="22"/>
          <w:szCs w:val="22"/>
          <w:lang w:eastAsia="en-US"/>
        </w:rPr>
        <w:t>6. attēls</w:t>
      </w:r>
      <w:r w:rsidRPr="00307028">
        <w:rPr>
          <w:rFonts w:eastAsia="Times New Roman"/>
          <w:b/>
          <w:bCs/>
          <w:sz w:val="22"/>
          <w:szCs w:val="22"/>
          <w:lang w:eastAsia="en-US"/>
        </w:rPr>
        <w:t xml:space="preserve"> Mašīntulkošanas neizmantošanas iemesli</w:t>
      </w:r>
    </w:p>
    <w:p w14:paraId="3A19AF6A" w14:textId="77777777" w:rsidR="009E5D04" w:rsidRPr="00307028" w:rsidRDefault="009E5D04" w:rsidP="009E5D04">
      <w:pPr>
        <w:spacing w:after="120" w:line="259" w:lineRule="auto"/>
        <w:jc w:val="both"/>
        <w:rPr>
          <w:rFonts w:eastAsia="Times New Roman"/>
          <w:lang w:eastAsia="en-US"/>
        </w:rPr>
      </w:pPr>
      <w:r w:rsidRPr="00307028">
        <w:rPr>
          <w:rFonts w:eastAsia="Times New Roman"/>
          <w:noProof/>
          <w:lang w:eastAsia="en-US"/>
        </w:rPr>
        <w:drawing>
          <wp:inline distT="0" distB="0" distL="0" distR="0" wp14:anchorId="422E0E1F" wp14:editId="54320FBD">
            <wp:extent cx="5760720" cy="2859482"/>
            <wp:effectExtent l="38100" t="0" r="11430" b="0"/>
            <wp:docPr id="1787900809" name="Diagram 1">
              <a:extLst xmlns:a="http://schemas.openxmlformats.org/drawingml/2006/main">
                <a:ext uri="{FF2B5EF4-FFF2-40B4-BE49-F238E27FC236}">
                  <a16:creationId xmlns:a16="http://schemas.microsoft.com/office/drawing/2014/main" id="{BD9359BC-9293-9975-8370-37DC7AB162C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066B3CD8" w14:textId="36FD5890" w:rsidR="009E5D04" w:rsidRPr="00307028" w:rsidRDefault="009E5D04" w:rsidP="009E5D04">
      <w:pPr>
        <w:spacing w:before="240" w:after="120" w:line="259" w:lineRule="auto"/>
        <w:ind w:firstLine="720"/>
        <w:jc w:val="both"/>
        <w:rPr>
          <w:rFonts w:eastAsia="Times New Roman"/>
          <w:lang w:eastAsia="en-US"/>
        </w:rPr>
      </w:pPr>
      <w:r w:rsidRPr="00307028">
        <w:rPr>
          <w:rFonts w:eastAsia="Times New Roman"/>
          <w:lang w:eastAsia="en-US"/>
        </w:rPr>
        <w:t>Aplūkojot attēlu Nr. 2.4.</w:t>
      </w:r>
      <w:r w:rsidR="00EC49CB" w:rsidRPr="00307028">
        <w:rPr>
          <w:rFonts w:eastAsia="Times New Roman"/>
          <w:lang w:eastAsia="en-US"/>
        </w:rPr>
        <w:t>2.</w:t>
      </w:r>
      <w:r w:rsidRPr="00307028">
        <w:rPr>
          <w:rFonts w:eastAsia="Times New Roman"/>
          <w:lang w:eastAsia="en-US"/>
        </w:rPr>
        <w:t>6., redzams, ka viens no mašīntulkošanas neizmantošanas iemesl</w:t>
      </w:r>
      <w:r w:rsidR="003C2F35" w:rsidRPr="00307028">
        <w:rPr>
          <w:rFonts w:eastAsia="Times New Roman"/>
          <w:lang w:eastAsia="en-US"/>
        </w:rPr>
        <w:t>iem</w:t>
      </w:r>
      <w:r w:rsidRPr="00307028">
        <w:rPr>
          <w:rFonts w:eastAsia="Times New Roman"/>
          <w:lang w:eastAsia="en-US"/>
        </w:rPr>
        <w:t xml:space="preserve"> ir tas, ka nav bijusi nepieciešamība izmantot mašīntulkošanas pakalpojumus, kas varētu būt skaidrojams ar to, ka iestāžu darbinieki nav informēti par mašīntulkošanas </w:t>
      </w:r>
      <w:r w:rsidRPr="00307028">
        <w:rPr>
          <w:rFonts w:eastAsia="Times New Roman"/>
          <w:lang w:eastAsia="en-US"/>
        </w:rPr>
        <w:lastRenderedPageBreak/>
        <w:t xml:space="preserve">izmantošanas iespējām, tiem nav pietiekamas zināšanas efektīvai mašīntulkotāju izmantošanai vai arī nav informēti par ieguvumiem, kas rastos, izmantojot mašīntulkošanu. Tāpat daudzas iestādes norāda, ka mašīntulkošana nenodrošina kvalitatīvu tulkojumu, kā arī uzsver, ka tulkojumi ir sarežģīti un apjomīgi, jo satur specifisku nozaru terminoloģiju, </w:t>
      </w:r>
      <w:r w:rsidR="005B1A17" w:rsidRPr="00307028">
        <w:rPr>
          <w:rFonts w:eastAsia="Times New Roman"/>
          <w:lang w:eastAsia="en-US"/>
        </w:rPr>
        <w:t>ko</w:t>
      </w:r>
      <w:r w:rsidRPr="00307028">
        <w:rPr>
          <w:rFonts w:eastAsia="Times New Roman"/>
          <w:lang w:eastAsia="en-US"/>
        </w:rPr>
        <w:t xml:space="preserve"> mašīntulkotājs</w:t>
      </w:r>
      <w:r w:rsidR="005B1A17" w:rsidRPr="00307028">
        <w:rPr>
          <w:rFonts w:eastAsia="Times New Roman"/>
          <w:lang w:eastAsia="en-US"/>
        </w:rPr>
        <w:t xml:space="preserve"> nespēj korekti iztulkot</w:t>
      </w:r>
      <w:r w:rsidRPr="00307028">
        <w:rPr>
          <w:rFonts w:eastAsia="Times New Roman"/>
          <w:lang w:eastAsia="en-US"/>
        </w:rPr>
        <w:t>. Vairākas iestādes norāda, ka neizmanto mašīntulkošanu, jo tulkojumam ir nepieciešams tulka apliecinājums, līdz ar to visi šāda veida tulkojumi tiek nodoti tulk</w:t>
      </w:r>
      <w:r w:rsidR="00E25617" w:rsidRPr="00307028">
        <w:rPr>
          <w:rFonts w:eastAsia="Times New Roman"/>
          <w:lang w:eastAsia="en-US"/>
        </w:rPr>
        <w:t>o</w:t>
      </w:r>
      <w:r w:rsidRPr="00307028">
        <w:rPr>
          <w:rFonts w:eastAsia="Times New Roman"/>
          <w:lang w:eastAsia="en-US"/>
        </w:rPr>
        <w:t>šanai iestādes tulkam vai tulkošanai ārpakalpojumā.</w:t>
      </w:r>
    </w:p>
    <w:p w14:paraId="5B09DAF2" w14:textId="442DE925"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 xml:space="preserve">Atbildēs tiek norādīts arī, ka darbiniekiem ir jāiegulda laiks, lai rediģētu ar mašīntulkošanu veiktos tulkojumus, kā arī ka iestādei nav pietiekamas kapacitātes mašīntulkošanas izmantošanai, līdz ar to visi tulkojumi tiek nodoti tulkošanai ārpakalpojumā, Šāda prakse nesamērīgi palielina izdevumus tulkošanai, iestādes darbiniekiem būtu jāspēj pašiem veikt nelielu tekstu tulkošanu, piemēram, preses relīzes vai informācijas iestādes </w:t>
      </w:r>
      <w:r w:rsidR="005B1A17" w:rsidRPr="00307028">
        <w:rPr>
          <w:rFonts w:eastAsia="Times New Roman"/>
          <w:lang w:eastAsia="en-US"/>
        </w:rPr>
        <w:t>tīmekļvietnei</w:t>
      </w:r>
      <w:r w:rsidRPr="00307028">
        <w:rPr>
          <w:rFonts w:eastAsia="Times New Roman"/>
          <w:lang w:eastAsia="en-US"/>
        </w:rPr>
        <w:t xml:space="preserve"> tulkošanu angļu valodā. </w:t>
      </w:r>
    </w:p>
    <w:p w14:paraId="3462E119" w14:textId="50623BFF" w:rsidR="00402331" w:rsidRPr="00307028" w:rsidRDefault="009E5D04" w:rsidP="00402331">
      <w:pPr>
        <w:spacing w:before="120" w:after="120" w:line="259" w:lineRule="auto"/>
        <w:ind w:firstLine="720"/>
        <w:jc w:val="both"/>
        <w:rPr>
          <w:rFonts w:eastAsia="Times New Roman"/>
          <w:lang w:eastAsia="en-US"/>
        </w:rPr>
      </w:pPr>
      <w:r w:rsidRPr="00307028">
        <w:rPr>
          <w:rFonts w:eastAsia="Times New Roman"/>
          <w:lang w:eastAsia="en-US"/>
        </w:rPr>
        <w:t>Informācijas pieprasījumā sadarbībā ar KISC, kas ir Latvijas valsts pārvaldes valodas tehnoloģiju platformas Hugo.lv</w:t>
      </w:r>
      <w:r w:rsidRPr="00307028">
        <w:rPr>
          <w:rFonts w:eastAsia="Times New Roman"/>
          <w:vertAlign w:val="superscript"/>
          <w:lang w:eastAsia="en-US"/>
        </w:rPr>
        <w:footnoteReference w:id="31"/>
      </w:r>
      <w:r w:rsidRPr="00307028">
        <w:rPr>
          <w:rFonts w:eastAsia="Times New Roman"/>
          <w:lang w:eastAsia="en-US"/>
        </w:rPr>
        <w:t xml:space="preserve"> (turpmāk – Hugo.lv) uzturētājs, iekļauti jautājumi par informētību par Hugo.lv piedāvātajām tulkošanas iespējām, tulkoto datu nodošanu Hugo.lv kvalitātes uzlabošanai, kā arī par datu nenodošanas iemesliem.</w:t>
      </w:r>
    </w:p>
    <w:p w14:paraId="17EF9499" w14:textId="77777777" w:rsidR="005B1A17" w:rsidRPr="00307028" w:rsidRDefault="005B1A17" w:rsidP="008570C1">
      <w:pPr>
        <w:spacing w:before="120" w:after="120" w:line="259" w:lineRule="auto"/>
        <w:rPr>
          <w:rFonts w:eastAsia="Times New Roman"/>
          <w:b/>
          <w:bCs/>
          <w:i/>
          <w:iCs/>
          <w:sz w:val="22"/>
          <w:szCs w:val="22"/>
          <w:lang w:eastAsia="en-US"/>
        </w:rPr>
        <w:sectPr w:rsidR="005B1A17" w:rsidRPr="00307028" w:rsidSect="00DC4D64">
          <w:type w:val="continuous"/>
          <w:pgSz w:w="11906" w:h="16838"/>
          <w:pgMar w:top="1134" w:right="1134" w:bottom="1134" w:left="1701" w:header="709" w:footer="709" w:gutter="0"/>
          <w:cols w:space="708"/>
          <w:docGrid w:linePitch="360"/>
        </w:sectPr>
      </w:pPr>
    </w:p>
    <w:p w14:paraId="60FDB1C9" w14:textId="18F160FB" w:rsidR="009E5D04" w:rsidRPr="00307028" w:rsidRDefault="009E5D04" w:rsidP="00402331">
      <w:pPr>
        <w:spacing w:before="120" w:after="120" w:line="259" w:lineRule="auto"/>
        <w:ind w:firstLine="720"/>
        <w:jc w:val="center"/>
        <w:rPr>
          <w:rFonts w:eastAsia="Times New Roman"/>
          <w:b/>
          <w:bCs/>
          <w:sz w:val="22"/>
          <w:szCs w:val="22"/>
          <w:lang w:eastAsia="en-US"/>
        </w:rPr>
      </w:pPr>
      <w:r w:rsidRPr="00307028">
        <w:rPr>
          <w:rFonts w:eastAsia="Times New Roman"/>
          <w:b/>
          <w:bCs/>
          <w:i/>
          <w:iCs/>
          <w:sz w:val="22"/>
          <w:szCs w:val="22"/>
          <w:lang w:eastAsia="en-US"/>
        </w:rPr>
        <w:t>2.4.</w:t>
      </w:r>
      <w:r w:rsidR="00EC49CB" w:rsidRPr="00307028">
        <w:rPr>
          <w:rFonts w:eastAsia="Times New Roman"/>
          <w:b/>
          <w:bCs/>
          <w:i/>
          <w:iCs/>
          <w:sz w:val="22"/>
          <w:szCs w:val="22"/>
          <w:lang w:eastAsia="en-US"/>
        </w:rPr>
        <w:t>2.</w:t>
      </w:r>
      <w:r w:rsidRPr="00307028">
        <w:rPr>
          <w:rFonts w:eastAsia="Times New Roman"/>
          <w:b/>
          <w:bCs/>
          <w:i/>
          <w:iCs/>
          <w:sz w:val="22"/>
          <w:szCs w:val="22"/>
          <w:lang w:eastAsia="en-US"/>
        </w:rPr>
        <w:t>7. attēls</w:t>
      </w:r>
      <w:r w:rsidRPr="00307028">
        <w:rPr>
          <w:rFonts w:eastAsia="Times New Roman"/>
          <w:b/>
          <w:bCs/>
          <w:sz w:val="22"/>
          <w:szCs w:val="22"/>
          <w:lang w:eastAsia="en-US"/>
        </w:rPr>
        <w:t xml:space="preserve"> Iestāžu informētība par Hugo.lv</w:t>
      </w:r>
    </w:p>
    <w:p w14:paraId="16B48145" w14:textId="727871EB" w:rsidR="00402331" w:rsidRPr="00307028" w:rsidRDefault="00402331" w:rsidP="005B1A17">
      <w:pPr>
        <w:spacing w:after="120" w:line="259" w:lineRule="auto"/>
        <w:ind w:firstLine="426"/>
        <w:jc w:val="center"/>
        <w:rPr>
          <w:rFonts w:eastAsia="Times New Roman"/>
          <w:szCs w:val="22"/>
          <w:lang w:eastAsia="en-US"/>
        </w:rPr>
      </w:pPr>
      <w:r w:rsidRPr="00307028">
        <w:rPr>
          <w:rFonts w:eastAsia="Times New Roman"/>
          <w:noProof/>
          <w:szCs w:val="22"/>
          <w:lang w:eastAsia="en-US"/>
        </w:rPr>
        <w:drawing>
          <wp:inline distT="0" distB="0" distL="0" distR="0" wp14:anchorId="3BA6AF24" wp14:editId="461170D9">
            <wp:extent cx="2530780" cy="2165299"/>
            <wp:effectExtent l="0" t="0" r="3175" b="6985"/>
            <wp:docPr id="368654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0">
                      <a:extLst>
                        <a:ext uri="{28A0092B-C50C-407E-A947-70E740481C1C}">
                          <a14:useLocalDpi xmlns:a14="http://schemas.microsoft.com/office/drawing/2010/main" val="0"/>
                        </a:ext>
                      </a:extLst>
                    </a:blip>
                    <a:srcRect l="6711" t="4522" r="4000" b="6227"/>
                    <a:stretch/>
                  </pic:blipFill>
                  <pic:spPr bwMode="auto">
                    <a:xfrm>
                      <a:off x="0" y="0"/>
                      <a:ext cx="2531039" cy="2165521"/>
                    </a:xfrm>
                    <a:prstGeom prst="rect">
                      <a:avLst/>
                    </a:prstGeom>
                    <a:noFill/>
                    <a:ln>
                      <a:noFill/>
                    </a:ln>
                    <a:extLst>
                      <a:ext uri="{53640926-AAD7-44D8-BBD7-CCE9431645EC}">
                        <a14:shadowObscured xmlns:a14="http://schemas.microsoft.com/office/drawing/2010/main"/>
                      </a:ext>
                    </a:extLst>
                  </pic:spPr>
                </pic:pic>
              </a:graphicData>
            </a:graphic>
          </wp:inline>
        </w:drawing>
      </w:r>
    </w:p>
    <w:p w14:paraId="0B716CAD" w14:textId="7D71860F" w:rsidR="001F4D57" w:rsidRPr="00307028" w:rsidRDefault="009E5D04" w:rsidP="001F4D57">
      <w:pPr>
        <w:spacing w:after="120" w:line="259" w:lineRule="auto"/>
        <w:ind w:firstLine="720"/>
        <w:jc w:val="both"/>
        <w:rPr>
          <w:rFonts w:eastAsia="Times New Roman"/>
          <w:lang w:eastAsia="en-US"/>
        </w:rPr>
      </w:pPr>
      <w:r w:rsidRPr="00307028">
        <w:rPr>
          <w:rFonts w:eastAsia="Times New Roman"/>
          <w:lang w:eastAsia="en-US"/>
        </w:rPr>
        <w:t>Aplūkojot attēlu Nr. 2.4.</w:t>
      </w:r>
      <w:r w:rsidR="00EC49CB" w:rsidRPr="00307028">
        <w:rPr>
          <w:rFonts w:eastAsia="Times New Roman"/>
          <w:lang w:eastAsia="en-US"/>
        </w:rPr>
        <w:t>2.</w:t>
      </w:r>
      <w:r w:rsidRPr="00307028">
        <w:rPr>
          <w:rFonts w:eastAsia="Times New Roman"/>
          <w:lang w:eastAsia="en-US"/>
        </w:rPr>
        <w:t>7</w:t>
      </w:r>
      <w:r w:rsidR="00EC49CB" w:rsidRPr="00307028">
        <w:rPr>
          <w:rFonts w:eastAsia="Times New Roman"/>
          <w:lang w:eastAsia="en-US"/>
        </w:rPr>
        <w:t>.</w:t>
      </w:r>
      <w:r w:rsidRPr="00307028">
        <w:rPr>
          <w:rFonts w:eastAsia="Times New Roman"/>
          <w:lang w:eastAsia="en-US"/>
        </w:rPr>
        <w:t>, secināms, ka lielākā daļa jeb 87 iestādes (76%) ir informētas par Hugo.lv, savukārt 28 iestāde</w:t>
      </w:r>
      <w:r w:rsidR="005B1A17" w:rsidRPr="00307028">
        <w:rPr>
          <w:rFonts w:eastAsia="Times New Roman"/>
          <w:lang w:eastAsia="en-US"/>
        </w:rPr>
        <w:t>s</w:t>
      </w:r>
      <w:r w:rsidRPr="00307028">
        <w:rPr>
          <w:rFonts w:eastAsia="Times New Roman"/>
          <w:lang w:eastAsia="en-US"/>
        </w:rPr>
        <w:t xml:space="preserve"> jeb 24% nav informētas par Hugo.lv. Lai varētu uzlabot Hugo.lv tulkošanas kvalitāti, nepieciešami tulkojumi, ar kuru palīdzību apmācīt mašīntulkotāju veikt kvalitatīvākus tulkojumus, līdz ar to KISC ir aicinājis iestādes iesniegt veiktos tulkojumus. Tomēr atsaucība ir neliela – tikai 11 iestādes jeb 10% ir nodevušas tulkojumus, savukārt 100 iestādes jeb 90% </w:t>
      </w:r>
      <w:r w:rsidR="00E25617" w:rsidRPr="00307028">
        <w:rPr>
          <w:rFonts w:eastAsia="Times New Roman"/>
          <w:lang w:eastAsia="en-US"/>
        </w:rPr>
        <w:t xml:space="preserve">tulkojumus </w:t>
      </w:r>
      <w:r w:rsidRPr="00307028">
        <w:rPr>
          <w:rFonts w:eastAsia="Times New Roman"/>
          <w:lang w:eastAsia="en-US"/>
        </w:rPr>
        <w:t>nav nodevušas.</w:t>
      </w:r>
    </w:p>
    <w:p w14:paraId="2922A614" w14:textId="77777777" w:rsidR="001F4D57" w:rsidRPr="00307028" w:rsidRDefault="001F4D57" w:rsidP="00C55533">
      <w:pPr>
        <w:spacing w:before="120" w:after="120" w:line="259" w:lineRule="auto"/>
        <w:ind w:firstLine="720"/>
        <w:jc w:val="both"/>
        <w:rPr>
          <w:rFonts w:eastAsia="Times New Roman"/>
          <w:lang w:eastAsia="en-US"/>
        </w:rPr>
        <w:sectPr w:rsidR="001F4D57" w:rsidRPr="00307028" w:rsidSect="005B1A17">
          <w:type w:val="continuous"/>
          <w:pgSz w:w="11906" w:h="16838"/>
          <w:pgMar w:top="1134" w:right="1134" w:bottom="1134" w:left="1701" w:header="709" w:footer="709" w:gutter="0"/>
          <w:cols w:num="2" w:space="708"/>
          <w:docGrid w:linePitch="360"/>
        </w:sectPr>
      </w:pPr>
    </w:p>
    <w:p w14:paraId="444570D3" w14:textId="089BF60A" w:rsidR="009E5D04" w:rsidRPr="00307028" w:rsidRDefault="009E5D04" w:rsidP="00C55533">
      <w:pPr>
        <w:spacing w:before="120" w:after="120" w:line="259" w:lineRule="auto"/>
        <w:ind w:firstLine="720"/>
        <w:jc w:val="both"/>
        <w:rPr>
          <w:rFonts w:eastAsia="Times New Roman"/>
          <w:lang w:eastAsia="en-US"/>
        </w:rPr>
      </w:pPr>
      <w:r w:rsidRPr="00307028">
        <w:rPr>
          <w:rFonts w:eastAsia="Times New Roman"/>
          <w:lang w:eastAsia="en-US"/>
        </w:rPr>
        <w:t xml:space="preserve">Tām iestādēm, kuras nav nodevušas tulkojumus Hugo.lv kvalitātes uzlabošanai, tika lūgts norādīt tulkojumu nenodošanas iemeslus. Kā visbiežākais tulkojumu nenodošanas iemesls tika norādīts, ka nav bijusi pietiekama informācija par tulkojumu nodošanas iespējām un ka iztrūkst informācija par nodošanas kārtību un nosacījumiem. Tāpat kā arguments tiek minēts, ka tulkojumu apjoms ir neliels, lai to nodotu Hugo.lv, </w:t>
      </w:r>
      <w:r w:rsidR="005B1A17" w:rsidRPr="00307028">
        <w:rPr>
          <w:rFonts w:eastAsia="Times New Roman"/>
          <w:lang w:eastAsia="en-US"/>
        </w:rPr>
        <w:t xml:space="preserve">vai arī </w:t>
      </w:r>
      <w:r w:rsidRPr="00307028">
        <w:rPr>
          <w:rFonts w:eastAsia="Times New Roman"/>
          <w:lang w:eastAsia="en-US"/>
        </w:rPr>
        <w:t>ka tulkojumi ir ierobežotas pieejamības, līdz ar to</w:t>
      </w:r>
      <w:r w:rsidR="00D126A1" w:rsidRPr="00307028">
        <w:rPr>
          <w:rFonts w:eastAsia="Times New Roman"/>
          <w:lang w:eastAsia="en-US"/>
        </w:rPr>
        <w:t xml:space="preserve"> tos</w:t>
      </w:r>
      <w:r w:rsidRPr="00307028">
        <w:rPr>
          <w:rFonts w:eastAsia="Times New Roman"/>
          <w:lang w:eastAsia="en-US"/>
        </w:rPr>
        <w:t xml:space="preserve"> nav iespējams nodot. </w:t>
      </w:r>
    </w:p>
    <w:p w14:paraId="370620D9" w14:textId="77777777"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 xml:space="preserve">Vairākas iestādes arī norāda, ka nav pieņemts kopīgs iestādes lēmums piedalīties tulkojumu kvalitātes uzlabošanā, kā arī nav pietiekama kapacitāte, lai veiktu tulkoto dokumentu pēcapstrādi to nodošanai Hugo.lv, tādā veidā nodrošinot atbilstību personas datu aizsardzības nosacījumiem. Tiek minēts arī, ka tulkotie dati nav nodoti lielās darba noslodzes dēļ, kā arī ka nepieciešams izvērtēt, kuri no datiem būtu nododami, lai ievērotu datu drošības nosacījumus. </w:t>
      </w:r>
      <w:r w:rsidRPr="00307028">
        <w:rPr>
          <w:rFonts w:eastAsia="Times New Roman"/>
          <w:lang w:eastAsia="en-US"/>
        </w:rPr>
        <w:lastRenderedPageBreak/>
        <w:t>Tostarp dažas iestādes norāda, ka tulkojumu nodošanu trešajām pusēm ierobežo autortiesības un intelektuālā īpašuma tiesības.</w:t>
      </w:r>
    </w:p>
    <w:p w14:paraId="012708A4" w14:textId="77777777"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Neskatoties uz to, ka valsts pārvaldē ir izveidots bezmaksas mašīntulkotājs Hugo.lv, vairākas iestādes uztur individuālus mašīntulkotājus. Piemēram, ĀM norāda, ka sadarbībā ar “Tildi” ir uzstādīts serveris ar sensitīvu tekstu tulkošanai piemērotu drošu mašīntulkotāju. Izdevumu pārskatīšanas darba grupas sanāksmē ĀM tika uzdots jautājums, vai atsevišķa mašīntulkotāja uzturēšana ir ekonomisks risinājums, ņemot vērā, ka ir izveidots valsts pārvaldes mašīntulkotājs Hugo.lv. Atbildot uz uzdoto jautājumu, ĀM norāda, ka Hugo.lv uz ĀM datoriem nav atverams, arī citi publiski brīvi pieejamie tulkošanas pakalpojumi nenodrošina tulkojamo datu konfidencialitāti, un ka atsevišķa mašīntulka uzturēšana ir vienīgais risinājums, kas atbilst nepieciešamajam diplomātiskā dienesta informācijas aizsardzības drošības līmenim.</w:t>
      </w:r>
    </w:p>
    <w:p w14:paraId="51832CF5" w14:textId="73D79FE4" w:rsidR="009E5D04" w:rsidRPr="00307028" w:rsidRDefault="009E5D04" w:rsidP="009E5D04">
      <w:pPr>
        <w:spacing w:before="120" w:after="120" w:line="259" w:lineRule="auto"/>
        <w:ind w:firstLine="720"/>
        <w:jc w:val="both"/>
        <w:rPr>
          <w:rFonts w:eastAsia="Times New Roman"/>
          <w:bCs/>
          <w:szCs w:val="22"/>
          <w:lang w:eastAsia="en-US"/>
        </w:rPr>
      </w:pPr>
      <w:r w:rsidRPr="00307028">
        <w:rPr>
          <w:rFonts w:eastAsia="Times New Roman"/>
          <w:lang w:eastAsia="en-US"/>
        </w:rPr>
        <w:t>Arī IeM tiek uzturēts atsevišķs mašīntulkošanas rīks – “Endzelīns</w:t>
      </w:r>
      <w:r w:rsidR="005B1A17" w:rsidRPr="00307028">
        <w:rPr>
          <w:rFonts w:eastAsia="Times New Roman"/>
          <w:lang w:eastAsia="en-US"/>
        </w:rPr>
        <w:t>”</w:t>
      </w:r>
      <w:r w:rsidRPr="00307028">
        <w:rPr>
          <w:rFonts w:eastAsia="Times New Roman"/>
          <w:bCs/>
          <w:szCs w:val="22"/>
          <w:lang w:eastAsia="en-US"/>
        </w:rPr>
        <w:t>, ko pamatā izmanto Valsts policija</w:t>
      </w:r>
      <w:r w:rsidRPr="00307028">
        <w:rPr>
          <w:rFonts w:eastAsia="Times New Roman"/>
          <w:szCs w:val="22"/>
          <w:lang w:eastAsia="en-US"/>
        </w:rPr>
        <w:t xml:space="preserve">, </w:t>
      </w:r>
      <w:r w:rsidRPr="00307028">
        <w:rPr>
          <w:rFonts w:eastAsia="Times New Roman"/>
          <w:lang w:eastAsia="en-US"/>
        </w:rPr>
        <w:t xml:space="preserve">lai tulkotu dokumentus, kas nav kriminālprocesa un administratīvā pārkāpuma procesa dokumenti. IeM norāda, ka </w:t>
      </w:r>
      <w:r w:rsidRPr="00307028">
        <w:rPr>
          <w:rFonts w:eastAsia="Times New Roman"/>
          <w:bCs/>
          <w:szCs w:val="22"/>
          <w:lang w:eastAsia="en-US"/>
        </w:rPr>
        <w:t>tulkošanas platforma “Endzelīns</w:t>
      </w:r>
      <w:r w:rsidR="005B1A17" w:rsidRPr="00307028">
        <w:rPr>
          <w:rFonts w:eastAsia="Times New Roman"/>
          <w:bCs/>
          <w:szCs w:val="22"/>
          <w:lang w:eastAsia="en-US"/>
        </w:rPr>
        <w:t>”</w:t>
      </w:r>
      <w:r w:rsidRPr="00307028">
        <w:rPr>
          <w:rFonts w:eastAsia="Times New Roman"/>
          <w:bCs/>
          <w:szCs w:val="22"/>
          <w:lang w:eastAsia="en-US"/>
        </w:rPr>
        <w:t xml:space="preserve"> ir inovatīvs risinājums, tomēr tas nespēj kompensēt izdevumu tulkojumiem pieaugumu, jo lielākie izdevumi tulkojumiem ir kriminālprocesā un administratīvajā procesā, kur tulkojumiem nepieciešams tulka apliecinājums.</w:t>
      </w:r>
    </w:p>
    <w:p w14:paraId="30608162" w14:textId="6008ECD2" w:rsidR="009E5D04" w:rsidRPr="00307028" w:rsidRDefault="009E5D04" w:rsidP="009E5D04">
      <w:pPr>
        <w:spacing w:before="120" w:after="120" w:line="259" w:lineRule="auto"/>
        <w:ind w:firstLine="720"/>
        <w:jc w:val="both"/>
        <w:rPr>
          <w:rFonts w:eastAsia="Times New Roman"/>
          <w:bCs/>
          <w:szCs w:val="22"/>
          <w:lang w:eastAsia="en-US"/>
        </w:rPr>
      </w:pPr>
      <w:r w:rsidRPr="00307028">
        <w:rPr>
          <w:rFonts w:eastAsia="Times New Roman"/>
          <w:bCs/>
          <w:szCs w:val="22"/>
          <w:lang w:eastAsia="en-US"/>
        </w:rPr>
        <w:t xml:space="preserve">Savukārt VVC informācijas pieprasījumā norāda, ka </w:t>
      </w:r>
      <w:r w:rsidR="005B1A17" w:rsidRPr="00307028">
        <w:rPr>
          <w:rFonts w:eastAsia="Times New Roman"/>
          <w:bCs/>
          <w:szCs w:val="22"/>
          <w:lang w:eastAsia="en-US"/>
        </w:rPr>
        <w:t xml:space="preserve">tam </w:t>
      </w:r>
      <w:r w:rsidRPr="00307028">
        <w:rPr>
          <w:rFonts w:eastAsia="Times New Roman"/>
          <w:bCs/>
          <w:szCs w:val="22"/>
          <w:lang w:eastAsia="en-US"/>
        </w:rPr>
        <w:t xml:space="preserve">ir vēlme izstrādāt savu mašīntulkotāju, ko varētu izmantot kopā ar citām resora iestādēm. Līdz ar to izdevumu pārskatīšanas darba grupas sanāksmē </w:t>
      </w:r>
      <w:r w:rsidR="005B1A17" w:rsidRPr="00307028">
        <w:rPr>
          <w:rFonts w:eastAsia="Times New Roman"/>
          <w:bCs/>
          <w:szCs w:val="22"/>
          <w:lang w:eastAsia="en-US"/>
        </w:rPr>
        <w:t xml:space="preserve">VVC </w:t>
      </w:r>
      <w:r w:rsidRPr="00307028">
        <w:rPr>
          <w:rFonts w:eastAsia="Times New Roman"/>
          <w:bCs/>
          <w:szCs w:val="22"/>
          <w:lang w:eastAsia="en-US"/>
        </w:rPr>
        <w:t>tika uzdots jautājums, vai plāni par atsevišķa mašīntulkotāja izveidi ir ekonomisks risinājums, ņemot vērā, ka ir izveidots valsts pārvaldes mašīntulkotājs Hugo.lv. Atbildot uz uzdoto jautājumu, VVC norāda, ka vēlme izstrādāt savu mašīntulkotāju ir tikai idejas līmenī un to darīt pašlaik nav konkrēti plānots, taču, ja kādreiz rastos finansiālas iespējas šādu projektu realizēt, piemēram, sadarbībā ar TA, tad tas, visticamāk, tiktu darīts uz esošu mašīntulkošanas risinājumu pamata, piemēram, specializējot Hugo.lv VVC un citu resora iestāžu vajadzībām, vienlaikus turpinot apgādāt Hugo.lv ar tulkošanas atmiņām un centra terminoloģijas resursiem.</w:t>
      </w:r>
    </w:p>
    <w:p w14:paraId="01504B65" w14:textId="4E458CDE"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Izdevumu pārskatīšanas darba grupas sanāksmē KISC informēja par Hugo.lv attīstību, tostarp secinājumiem, kas KISC r</w:t>
      </w:r>
      <w:r w:rsidR="00D126A1" w:rsidRPr="00307028">
        <w:rPr>
          <w:rFonts w:eastAsia="Times New Roman"/>
          <w:lang w:eastAsia="en-US"/>
        </w:rPr>
        <w:t>a</w:t>
      </w:r>
      <w:r w:rsidRPr="00307028">
        <w:rPr>
          <w:rFonts w:eastAsia="Times New Roman"/>
          <w:lang w:eastAsia="en-US"/>
        </w:rPr>
        <w:t>dās, iepazīstoties ar FM informācijas pieprasījuma apkopojumu. Kā galvenos secinājumus no informācijas pieprasījuma izceļot to, ka iestādēm nav izpratnes par mašīntulkošanas iespējām, tajā skaitā par pēc-rediģēšanas procesu un tulkošanas atmiņām, nav informācijas par tulkoto datu nodošanu, kā arī par aizliegumiem izmantot Hugo.lv datu drošības dēļ.</w:t>
      </w:r>
    </w:p>
    <w:p w14:paraId="00691D6A" w14:textId="77777777" w:rsidR="009E5D04" w:rsidRPr="00307028" w:rsidRDefault="009E5D04" w:rsidP="009E5D04">
      <w:pPr>
        <w:spacing w:before="120" w:after="120" w:line="259" w:lineRule="auto"/>
        <w:ind w:firstLine="720"/>
        <w:jc w:val="both"/>
        <w:rPr>
          <w:rFonts w:eastAsia="Times New Roman"/>
          <w:lang w:eastAsia="en-US"/>
        </w:rPr>
      </w:pPr>
      <w:r w:rsidRPr="00307028">
        <w:rPr>
          <w:rFonts w:eastAsia="Times New Roman"/>
          <w:lang w:eastAsia="en-US"/>
        </w:rPr>
        <w:t>KISC prezentēja arī izstrādātos priekšlikumus izdevumu samazināšanai tulkošanas pakalpojumiem valsts pārvaldē:</w:t>
      </w:r>
    </w:p>
    <w:p w14:paraId="5B9A1611" w14:textId="77777777" w:rsidR="009E5D04" w:rsidRPr="00307028" w:rsidRDefault="009E5D04" w:rsidP="00183D1A">
      <w:pPr>
        <w:numPr>
          <w:ilvl w:val="0"/>
          <w:numId w:val="19"/>
        </w:numPr>
        <w:spacing w:before="120" w:after="120" w:line="259" w:lineRule="auto"/>
        <w:ind w:left="993" w:hanging="284"/>
        <w:jc w:val="both"/>
        <w:rPr>
          <w:rFonts w:eastAsia="Times New Roman"/>
          <w:lang w:eastAsia="en-US"/>
        </w:rPr>
      </w:pPr>
      <w:r w:rsidRPr="00307028">
        <w:rPr>
          <w:rFonts w:eastAsia="Times New Roman"/>
          <w:lang w:eastAsia="en-US"/>
        </w:rPr>
        <w:t>lai nodrošinātu efektīvu tulkošanas un lokalizācijas pakalpojumu pārvaldību Latvijas valsts pārvaldē, ieteicams izveidot vienotu tulkošanas pakalpojumu iepirkuma un saņemšanas darba plūsmu, kā arī izstrādāt tulkošanas un lokalizācijas procesu pārvaldības platformu uz Hugo.lv bāzes;</w:t>
      </w:r>
    </w:p>
    <w:p w14:paraId="414D761C" w14:textId="77777777" w:rsidR="009E5D04" w:rsidRPr="00307028" w:rsidRDefault="009E5D04" w:rsidP="00183D1A">
      <w:pPr>
        <w:numPr>
          <w:ilvl w:val="0"/>
          <w:numId w:val="19"/>
        </w:numPr>
        <w:spacing w:before="120" w:after="120" w:line="259" w:lineRule="auto"/>
        <w:ind w:left="993" w:hanging="284"/>
        <w:jc w:val="both"/>
        <w:rPr>
          <w:rFonts w:eastAsia="Times New Roman"/>
          <w:lang w:eastAsia="en-US"/>
        </w:rPr>
      </w:pPr>
      <w:r w:rsidRPr="00307028">
        <w:rPr>
          <w:rFonts w:eastAsia="Times New Roman"/>
          <w:lang w:eastAsia="en-US"/>
        </w:rPr>
        <w:t>standartizējot tulkošanas un lokalizācijas darba plūsmas, ieviešot valodu tehnoloģijas (mašīntulkošana, tulkošanas atmiņa, terminoloģijas pārvaldība), ir iespējas efektivizēt tulkošanas procesu, kā arī samazināt izmaksas.</w:t>
      </w:r>
    </w:p>
    <w:p w14:paraId="2B7A0E8D" w14:textId="22202DEB" w:rsidR="000468A1" w:rsidRPr="00307028" w:rsidRDefault="009E5D04" w:rsidP="00580DD6">
      <w:pPr>
        <w:spacing w:before="120" w:after="120" w:line="259" w:lineRule="auto"/>
        <w:ind w:firstLine="709"/>
        <w:jc w:val="both"/>
        <w:rPr>
          <w:rFonts w:eastAsia="Times New Roman"/>
          <w:lang w:eastAsia="en-US"/>
        </w:rPr>
      </w:pPr>
      <w:r w:rsidRPr="00307028">
        <w:rPr>
          <w:rFonts w:eastAsia="Times New Roman"/>
          <w:lang w:eastAsia="en-US"/>
        </w:rPr>
        <w:t xml:space="preserve">Tostarp kā būtiskākās aktivitātes izdevumu samazināšanai tika minētas – nepieciešamība uzkrāt visus iztulkotos tekstus vienuviet, izveidot valsts/iestādes tulkošanas atmiņas, pārizmantot tulkošanas atmiņas un tekstus, izstrādāt regulējumu tulkošanas līgumiem </w:t>
      </w:r>
      <w:r w:rsidRPr="00307028">
        <w:rPr>
          <w:rFonts w:eastAsia="Times New Roman"/>
          <w:lang w:eastAsia="en-US"/>
        </w:rPr>
        <w:lastRenderedPageBreak/>
        <w:t>par tiesību nodošanu iestādei un Hugo.lv vajadzībām, kā arī izstrādāt valsts pārvaldes vajadzībām vienotu, drošu un ērtu tulkošanas darbu pasūtījumu darba plūsmas pārvaldības platformu, papildinot Hugo.lv funkcionalitāti.</w:t>
      </w:r>
    </w:p>
    <w:p w14:paraId="01719F36" w14:textId="5F723DB6" w:rsidR="009E5D04" w:rsidRPr="00307028" w:rsidRDefault="000468A1" w:rsidP="00387E54">
      <w:pPr>
        <w:numPr>
          <w:ilvl w:val="0"/>
          <w:numId w:val="20"/>
        </w:numPr>
        <w:spacing w:before="120" w:after="120" w:line="259" w:lineRule="auto"/>
        <w:ind w:left="709" w:hanging="425"/>
        <w:jc w:val="both"/>
        <w:rPr>
          <w:rFonts w:eastAsia="Times New Roman"/>
          <w:lang w:eastAsia="en-US"/>
        </w:rPr>
      </w:pPr>
      <w:r w:rsidRPr="00307028">
        <w:rPr>
          <w:noProof/>
          <w:lang w:eastAsia="en-US"/>
        </w:rPr>
        <mc:AlternateContent>
          <mc:Choice Requires="wps">
            <w:drawing>
              <wp:anchor distT="0" distB="0" distL="114300" distR="114300" simplePos="0" relativeHeight="251726848" behindDoc="0" locked="0" layoutInCell="1" allowOverlap="1" wp14:anchorId="0AEE90AB" wp14:editId="3CB64DC1">
                <wp:simplePos x="0" y="0"/>
                <wp:positionH relativeFrom="margin">
                  <wp:align>left</wp:align>
                </wp:positionH>
                <wp:positionV relativeFrom="paragraph">
                  <wp:posOffset>304</wp:posOffset>
                </wp:positionV>
                <wp:extent cx="5762625" cy="314325"/>
                <wp:effectExtent l="0" t="0" r="9525" b="9525"/>
                <wp:wrapTopAndBottom/>
                <wp:docPr id="1564462596" name="Rectangle 1564462596"/>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7587BFE7" w14:textId="77777777" w:rsidR="00D126A1" w:rsidRPr="00307028" w:rsidRDefault="00D126A1" w:rsidP="00D126A1">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E90AB" id="Rectangle 1564462596" o:spid="_x0000_s1037" style="position:absolute;left:0;text-align:left;margin-left:0;margin-top:0;width:453.75pt;height:24.7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" fillcolor="#85c2e0" stroked="f" strokeweight="2pt">
                <v:textbox>
                  <w:txbxContent>
                    <w:p w14:paraId="7587BFE7" w14:textId="77777777" w:rsidR="00D126A1" w:rsidRPr="00307028" w:rsidRDefault="00D126A1" w:rsidP="00D126A1">
                      <w:pPr>
                        <w:rPr>
                          <w:b/>
                          <w:bCs/>
                          <w:color w:val="000000" w:themeColor="text1"/>
                        </w:rPr>
                      </w:pPr>
                      <w:r w:rsidRPr="00307028">
                        <w:rPr>
                          <w:b/>
                          <w:bCs/>
                        </w:rPr>
                        <w:t>SECINĀJUMI:</w:t>
                      </w:r>
                    </w:p>
                  </w:txbxContent>
                </v:textbox>
                <w10:wrap type="topAndBottom" anchorx="margin"/>
              </v:rect>
            </w:pict>
          </mc:Fallback>
        </mc:AlternateContent>
      </w:r>
      <w:r w:rsidR="009E5D04" w:rsidRPr="00307028">
        <w:rPr>
          <w:rFonts w:eastAsia="Times New Roman"/>
          <w:lang w:eastAsia="en-US"/>
        </w:rPr>
        <w:t xml:space="preserve">2022. gadā tulkojumus ir veikušas 62% iestāžu, galvenokārt </w:t>
      </w:r>
      <w:r w:rsidR="000E0691" w:rsidRPr="00307028">
        <w:rPr>
          <w:rFonts w:eastAsia="Times New Roman"/>
          <w:lang w:eastAsia="en-US"/>
        </w:rPr>
        <w:t xml:space="preserve">veicot </w:t>
      </w:r>
      <w:r w:rsidR="009E5D04" w:rsidRPr="00307028">
        <w:rPr>
          <w:rFonts w:eastAsia="Times New Roman"/>
          <w:lang w:eastAsia="en-US"/>
        </w:rPr>
        <w:t>tiesvedības dokumentācijas un procesa, reprezentācijas materiālu tulkojum</w:t>
      </w:r>
      <w:r w:rsidR="000E0691" w:rsidRPr="00307028">
        <w:rPr>
          <w:rFonts w:eastAsia="Times New Roman"/>
          <w:lang w:eastAsia="en-US"/>
        </w:rPr>
        <w:t>us</w:t>
      </w:r>
      <w:r w:rsidR="009E5D04" w:rsidRPr="00307028">
        <w:rPr>
          <w:rFonts w:eastAsia="Times New Roman"/>
          <w:lang w:eastAsia="en-US"/>
        </w:rPr>
        <w:t>, kā arī tulkojum</w:t>
      </w:r>
      <w:r w:rsidR="000E0691" w:rsidRPr="00307028">
        <w:rPr>
          <w:rFonts w:eastAsia="Times New Roman"/>
          <w:lang w:eastAsia="en-US"/>
        </w:rPr>
        <w:t>us</w:t>
      </w:r>
      <w:r w:rsidR="009E5D04" w:rsidRPr="00307028">
        <w:rPr>
          <w:rFonts w:eastAsia="Times New Roman"/>
          <w:lang w:eastAsia="en-US"/>
        </w:rPr>
        <w:t xml:space="preserve"> starptautiskās sadarbības ietvaros.</w:t>
      </w:r>
    </w:p>
    <w:p w14:paraId="7EF597E8" w14:textId="38C2BBD4" w:rsidR="009E5D04" w:rsidRPr="00307028" w:rsidRDefault="009E5D04" w:rsidP="00387E54">
      <w:pPr>
        <w:numPr>
          <w:ilvl w:val="0"/>
          <w:numId w:val="20"/>
        </w:numPr>
        <w:spacing w:before="120" w:after="120" w:line="259" w:lineRule="auto"/>
        <w:ind w:left="709" w:hanging="425"/>
        <w:jc w:val="both"/>
        <w:rPr>
          <w:rFonts w:eastAsia="Times New Roman"/>
          <w:lang w:eastAsia="en-US"/>
        </w:rPr>
      </w:pPr>
      <w:bookmarkStart w:id="149" w:name="_Hlk141261167"/>
      <w:r w:rsidRPr="00307028">
        <w:rPr>
          <w:rFonts w:eastAsia="Times New Roman"/>
          <w:lang w:eastAsia="en-US"/>
        </w:rPr>
        <w:t xml:space="preserve">Galvenokārt tulkojumu veikšana tiek iepirkta ārpakalpojumā, tomēr vairākās iestādēs ir izveidotas tulku amata vietas. 2022. gadā kopumā valsts pārvaldē </w:t>
      </w:r>
      <w:r w:rsidR="000E0691" w:rsidRPr="00307028">
        <w:rPr>
          <w:rFonts w:eastAsia="Times New Roman"/>
          <w:lang w:eastAsia="en-US"/>
        </w:rPr>
        <w:t>bija</w:t>
      </w:r>
      <w:r w:rsidRPr="00307028">
        <w:rPr>
          <w:rFonts w:eastAsia="Times New Roman"/>
          <w:lang w:eastAsia="en-US"/>
        </w:rPr>
        <w:t xml:space="preserve"> 199,45 tulka amata vietas</w:t>
      </w:r>
      <w:bookmarkEnd w:id="149"/>
      <w:r w:rsidRPr="00307028">
        <w:rPr>
          <w:rFonts w:eastAsia="Times New Roman"/>
          <w:lang w:eastAsia="en-US"/>
        </w:rPr>
        <w:t>, kuras pārsvarā paredzētas tiesvedības procesa un dokumentācijas tulkojumu veikšanas nodrošināšanai (TM, IeM, Prok</w:t>
      </w:r>
      <w:r w:rsidR="00D126A1" w:rsidRPr="00307028">
        <w:rPr>
          <w:rFonts w:eastAsia="Times New Roman"/>
          <w:lang w:eastAsia="en-US"/>
        </w:rPr>
        <w:t>uratūrai</w:t>
      </w:r>
      <w:r w:rsidRPr="00307028">
        <w:rPr>
          <w:rFonts w:eastAsia="Times New Roman"/>
          <w:lang w:eastAsia="en-US"/>
        </w:rPr>
        <w:t>). Iestādēm būtu nepieciešams</w:t>
      </w:r>
      <w:r w:rsidRPr="00307028">
        <w:rPr>
          <w:rFonts w:eastAsia="Times New Roman"/>
          <w:szCs w:val="22"/>
          <w:lang w:eastAsia="en-US"/>
        </w:rPr>
        <w:t xml:space="preserve"> </w:t>
      </w:r>
      <w:r w:rsidRPr="00307028">
        <w:rPr>
          <w:rFonts w:eastAsia="Times New Roman"/>
          <w:lang w:eastAsia="en-US"/>
        </w:rPr>
        <w:t xml:space="preserve">pāriet uz tulkojumu veikšanu pārsvarā ārpakalpojumā, kā arī tulkojumu veikšanā </w:t>
      </w:r>
      <w:r w:rsidR="000E0691" w:rsidRPr="00307028">
        <w:rPr>
          <w:rFonts w:eastAsia="Times New Roman"/>
          <w:lang w:eastAsia="en-US"/>
        </w:rPr>
        <w:t xml:space="preserve">vairāk </w:t>
      </w:r>
      <w:r w:rsidRPr="00307028">
        <w:rPr>
          <w:rFonts w:eastAsia="Times New Roman"/>
          <w:lang w:eastAsia="en-US"/>
        </w:rPr>
        <w:t>iesaistīt iestādes darbiniekus.</w:t>
      </w:r>
    </w:p>
    <w:p w14:paraId="2ED18F74" w14:textId="77777777" w:rsidR="009E5D04" w:rsidRPr="00307028" w:rsidRDefault="009E5D04" w:rsidP="00387E54">
      <w:pPr>
        <w:numPr>
          <w:ilvl w:val="0"/>
          <w:numId w:val="20"/>
        </w:numPr>
        <w:spacing w:before="120" w:after="120" w:line="259" w:lineRule="auto"/>
        <w:ind w:left="709" w:hanging="425"/>
        <w:jc w:val="both"/>
        <w:rPr>
          <w:rFonts w:eastAsia="Times New Roman"/>
          <w:lang w:eastAsia="en-US"/>
        </w:rPr>
      </w:pPr>
      <w:bookmarkStart w:id="150" w:name="_Hlk141261221"/>
      <w:r w:rsidRPr="00307028">
        <w:rPr>
          <w:rFonts w:eastAsia="Times New Roman"/>
          <w:lang w:eastAsia="en-US"/>
        </w:rPr>
        <w:t xml:space="preserve">Kopējie izdevumi tulkojumiem valsts pārvaldē 2022. gadā ir 5,0 milj. </w:t>
      </w:r>
      <w:r w:rsidRPr="00307028">
        <w:rPr>
          <w:rFonts w:eastAsia="Times New Roman"/>
          <w:i/>
          <w:iCs/>
          <w:lang w:eastAsia="en-US"/>
        </w:rPr>
        <w:t>euro</w:t>
      </w:r>
      <w:r w:rsidRPr="00307028">
        <w:rPr>
          <w:rFonts w:eastAsia="Times New Roman"/>
          <w:lang w:eastAsia="en-US"/>
        </w:rPr>
        <w:t>, no kuriem vairāk nekā 75% ir saistīti ar tiesvedību procesa ietvaros veiktajiem mutiskajiem un rakstiskajiem tulkojumiem, savukārt aptuveni 70% no izdevumiem tulkojumiem ir tulku atlīdzība.</w:t>
      </w:r>
    </w:p>
    <w:bookmarkEnd w:id="150"/>
    <w:p w14:paraId="38791102" w14:textId="32ACC8E3" w:rsidR="009E5D04" w:rsidRPr="00307028" w:rsidRDefault="009E5D04" w:rsidP="00387E54">
      <w:pPr>
        <w:numPr>
          <w:ilvl w:val="0"/>
          <w:numId w:val="20"/>
        </w:numPr>
        <w:spacing w:before="120" w:after="120" w:line="259" w:lineRule="auto"/>
        <w:ind w:left="709" w:hanging="425"/>
        <w:jc w:val="both"/>
        <w:rPr>
          <w:rFonts w:eastAsia="Times New Roman"/>
          <w:lang w:eastAsia="en-US"/>
        </w:rPr>
      </w:pPr>
      <w:r w:rsidRPr="00307028">
        <w:rPr>
          <w:rFonts w:eastAsia="Times New Roman"/>
          <w:lang w:eastAsia="en-US"/>
        </w:rPr>
        <w:t>Tikai 29% iestāžu tulkojumu veikšanai izmanto mašīntulkošanas pakalpojumus, visbiežāk</w:t>
      </w:r>
      <w:r w:rsidR="000E0691" w:rsidRPr="00307028">
        <w:rPr>
          <w:rFonts w:eastAsia="Times New Roman"/>
          <w:lang w:eastAsia="en-US"/>
        </w:rPr>
        <w:t xml:space="preserve"> </w:t>
      </w:r>
      <w:r w:rsidRPr="00307028">
        <w:rPr>
          <w:rFonts w:eastAsia="Times New Roman"/>
          <w:lang w:eastAsia="en-US"/>
        </w:rPr>
        <w:t>izmanto</w:t>
      </w:r>
      <w:r w:rsidR="000E0691" w:rsidRPr="00307028">
        <w:rPr>
          <w:rFonts w:eastAsia="Times New Roman"/>
          <w:lang w:eastAsia="en-US"/>
        </w:rPr>
        <w:t>jot</w:t>
      </w:r>
      <w:r w:rsidRPr="00307028">
        <w:rPr>
          <w:rFonts w:eastAsia="Times New Roman"/>
          <w:lang w:eastAsia="en-US"/>
        </w:rPr>
        <w:t xml:space="preserve"> mašīntulkošanas platformas Hugo.lv un Google tulkotāju. Vairums iestādes norāda, ka mašīntulkošana sniedz iespēju ietaupīt gan laiku, gan finanses. Līdz ar to iestādēm būtu nepieciešams vairāk izmantot mašīntulkošanas pakalpojumus, tādējādi ietaupot izdevumus tulkojumiem.</w:t>
      </w:r>
    </w:p>
    <w:p w14:paraId="178E5897" w14:textId="77777777" w:rsidR="009E5D04" w:rsidRPr="00307028" w:rsidRDefault="009E5D04" w:rsidP="00387E54">
      <w:pPr>
        <w:numPr>
          <w:ilvl w:val="0"/>
          <w:numId w:val="20"/>
        </w:numPr>
        <w:spacing w:before="120" w:after="120" w:line="259" w:lineRule="auto"/>
        <w:ind w:left="709" w:hanging="425"/>
        <w:jc w:val="both"/>
        <w:rPr>
          <w:rFonts w:eastAsia="Times New Roman"/>
          <w:lang w:eastAsia="en-US"/>
        </w:rPr>
      </w:pPr>
      <w:r w:rsidRPr="00307028">
        <w:rPr>
          <w:rFonts w:eastAsia="Times New Roman"/>
          <w:lang w:eastAsia="en-US"/>
        </w:rPr>
        <w:t>Lielākā daļa jeb 76% iestāžu ir informētas par Hugo.lv, tomēr tikai 10% iestāžu nodot veiktos tulkojumus Hugo.lv kvalitātes uzlabošanai, skaidrojot to galvenokārt ar nepietiekamo informāciju par tulkojumu nodošanas iespējām un informācijas neesamību par nodošanas kārtību un nosacījumiem. Līdz ar to KISC būtu nepieciešams informēt iestādes par veikto tulkojumu nodošanas Hugo.lv kvalitātes uzlabošanai nepieciešamību, kā arī nodošanas kārtību un nosacījumiem. Vienlaikus KISC aktīvāk jāinformē iestādes par Hugo.lv piedāvātajām tulkošanas iespējām, tādējādi novēršot situāciju, kad iestādes uztur individuālus mašīntulkotājus.</w:t>
      </w:r>
    </w:p>
    <w:p w14:paraId="605E4253" w14:textId="77777777" w:rsidR="009E5D04" w:rsidRPr="00307028" w:rsidRDefault="009E5D04" w:rsidP="0008137A">
      <w:pPr>
        <w:spacing w:after="120"/>
        <w:rPr>
          <w:sz w:val="28"/>
          <w:szCs w:val="28"/>
        </w:rPr>
      </w:pPr>
    </w:p>
    <w:p w14:paraId="6437831B" w14:textId="1D08E8FF" w:rsidR="004B68FE" w:rsidRPr="00307028" w:rsidRDefault="0008137A" w:rsidP="000468A1">
      <w:pPr>
        <w:pStyle w:val="Heading5"/>
        <w:rPr>
          <w:rStyle w:val="ui-provider"/>
          <w:b w:val="0"/>
          <w:bCs w:val="0"/>
          <w:i w:val="0"/>
          <w:iCs w:val="0"/>
          <w:szCs w:val="28"/>
          <w:lang w:val="lv-LV"/>
        </w:rPr>
      </w:pPr>
      <w:r w:rsidRPr="00307028">
        <w:t xml:space="preserve">2.4.3. </w:t>
      </w:r>
      <w:r w:rsidRPr="00307028">
        <w:rPr>
          <w:rStyle w:val="ui-provider"/>
          <w:szCs w:val="28"/>
          <w:lang w:val="lv-LV"/>
        </w:rPr>
        <w:t>Elektronisko iepirkumu sistēmas izmantošana un mācību pakalpojum</w:t>
      </w:r>
      <w:r w:rsidR="000A480C" w:rsidRPr="00307028">
        <w:rPr>
          <w:rStyle w:val="ui-provider"/>
          <w:szCs w:val="28"/>
          <w:lang w:val="lv-LV"/>
        </w:rPr>
        <w:t>i</w:t>
      </w:r>
      <w:r w:rsidRPr="00307028">
        <w:rPr>
          <w:rStyle w:val="ui-provider"/>
          <w:szCs w:val="28"/>
          <w:lang w:val="lv-LV"/>
        </w:rPr>
        <w:t xml:space="preserve"> valsts pārvaldē</w:t>
      </w:r>
    </w:p>
    <w:p w14:paraId="29BE96F7" w14:textId="77777777" w:rsidR="002D3A05" w:rsidRPr="00307028" w:rsidRDefault="002D3A05" w:rsidP="002D3A05">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Termins “centralizācija” joprojām tiek bieži izmantots dažādās diskusijās par politikas plānošanas dokumentiem. Tā kā dažādu procesu centralizēšana ilgtermiņā var potenciāli rezultēties valsts budžeta līdzekļu ietaupījumā, ir uzsākti vairāki projekti, kas paredz, piemēram, personālvadības, grāmatvedības un citu atbalsta funkciju centralizāciju valsts pārvaldē.</w:t>
      </w:r>
    </w:p>
    <w:p w14:paraId="0FB25042" w14:textId="1E4AE6BE" w:rsidR="002D3A05" w:rsidRPr="00307028" w:rsidRDefault="002D3A05" w:rsidP="002D3A05">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Iepirkumus savā ziņā var uzskatīt par centralizācijas procesu aizsācējiem. Normatīvo aktu regulējums jau izsenis nodrošina iespēju iegādāties preces un pakalpojumus vai veikt būvdarbus ne tikai savām, bet arī citas iestādes vajadzībām, tādējādi ietaupot resursus, kas nepieciešami iepirkuma plānošanai, izpildei un sekojošai līguma darbības uzraudzībai. Valsts pārvaldes un pašvaldību vajadzībām biežāk izmantojamās preces un atsevišķus pakalpojumus </w:t>
      </w:r>
      <w:r w:rsidRPr="00307028">
        <w:rPr>
          <w:rFonts w:eastAsiaTheme="minorHAnsi" w:cstheme="minorBidi"/>
          <w:kern w:val="2"/>
          <w:szCs w:val="22"/>
          <w:lang w:eastAsia="en-US"/>
          <w14:ligatures w14:val="standardContextual"/>
        </w:rPr>
        <w:lastRenderedPageBreak/>
        <w:t xml:space="preserve">var iegādāties, izmantojot VRAA administrēto Elektronisko iepirkumu sistēmas e-pasūtījumu apakšsistēmu (turpmāk – EIS). Valsts pārvaldes paradumi EIS izmantošanā tika analizēti jau 2019. gadā, bet, lai noskaidrotu iespējamās izmaiņas šajos paradumos pēdējo četru gadu laikā, šī gada izdevumu pārskatīšanas procesa ietvaros </w:t>
      </w:r>
      <w:r w:rsidR="00986025" w:rsidRPr="00307028">
        <w:rPr>
          <w:rFonts w:eastAsiaTheme="minorHAnsi" w:cstheme="minorBidi"/>
          <w:kern w:val="2"/>
          <w:szCs w:val="22"/>
          <w:lang w:eastAsia="en-US"/>
          <w14:ligatures w14:val="standardContextual"/>
        </w:rPr>
        <w:t xml:space="preserve">resori </w:t>
      </w:r>
      <w:r w:rsidRPr="00307028">
        <w:rPr>
          <w:rFonts w:eastAsiaTheme="minorHAnsi" w:cstheme="minorBidi"/>
          <w:kern w:val="2"/>
          <w:szCs w:val="22"/>
          <w:lang w:eastAsia="en-US"/>
          <w14:ligatures w14:val="standardContextual"/>
        </w:rPr>
        <w:t>par EIS izmantošanu tika anketēt</w:t>
      </w:r>
      <w:r w:rsidR="00986025" w:rsidRPr="00307028">
        <w:rPr>
          <w:rFonts w:eastAsiaTheme="minorHAnsi" w:cstheme="minorBidi"/>
          <w:kern w:val="2"/>
          <w:szCs w:val="22"/>
          <w:lang w:eastAsia="en-US"/>
          <w14:ligatures w14:val="standardContextual"/>
        </w:rPr>
        <w:t>i</w:t>
      </w:r>
      <w:r w:rsidRPr="00307028">
        <w:rPr>
          <w:rFonts w:eastAsiaTheme="minorHAnsi" w:cstheme="minorBidi"/>
          <w:kern w:val="2"/>
          <w:szCs w:val="22"/>
          <w:lang w:eastAsia="en-US"/>
          <w14:ligatures w14:val="standardContextual"/>
        </w:rPr>
        <w:t xml:space="preserve"> atkārtoti.</w:t>
      </w:r>
    </w:p>
    <w:p w14:paraId="46BDB53D" w14:textId="77777777" w:rsidR="002D3A05" w:rsidRPr="00307028" w:rsidRDefault="002D3A05" w:rsidP="002D3A05">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Vienlaikus resori tika aptaujāti par mācību pakalpojumu izdevumiem. Ņemot vērā to, ka nodarbināto kompetenču pilnveide ir kopēja valsts pārvaldes vajadzība, arī šis pakalpojums iespēju robežās būtu attīstāms centralizēti. Lielu daļu mācību vajadzību valsts pārvaldes ierēdņiem un darbiniekiem nodrošina VAS, līdz ar to izdevumu pārskatīšanas ietvaros tika skaidrots, kāda ir VAS loma mācību pakalpojumu segmentā.</w:t>
      </w:r>
    </w:p>
    <w:p w14:paraId="76DEC703" w14:textId="77777777" w:rsidR="002D3A05" w:rsidRPr="00307028" w:rsidRDefault="002D3A05" w:rsidP="002D3A05">
      <w:pPr>
        <w:spacing w:after="120" w:line="259" w:lineRule="auto"/>
        <w:ind w:firstLine="720"/>
        <w:rPr>
          <w:rFonts w:eastAsiaTheme="minorHAnsi" w:cstheme="minorBidi"/>
          <w:b/>
          <w:bCs/>
          <w:i/>
          <w:iCs/>
          <w:kern w:val="2"/>
          <w:szCs w:val="22"/>
          <w:lang w:eastAsia="en-US"/>
          <w14:ligatures w14:val="standardContextual"/>
        </w:rPr>
      </w:pPr>
      <w:r w:rsidRPr="00307028">
        <w:rPr>
          <w:rFonts w:eastAsiaTheme="minorHAnsi" w:cstheme="minorBidi"/>
          <w:b/>
          <w:bCs/>
          <w:i/>
          <w:iCs/>
          <w:kern w:val="2"/>
          <w:szCs w:val="22"/>
          <w:lang w:eastAsia="en-US"/>
          <w14:ligatures w14:val="standardContextual"/>
        </w:rPr>
        <w:t>EIS izmantošana valsts pārvaldē</w:t>
      </w:r>
    </w:p>
    <w:p w14:paraId="5B85C6D5" w14:textId="77777777" w:rsidR="002D3A05" w:rsidRPr="00307028" w:rsidRDefault="002D3A05" w:rsidP="002D3A05">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Anketas sadaļas par EIS metodoloģija daudz neatšķīrās no identiskas aptaujas, kas tika veikta 2019. gada izdevumu pārskatīšanas informatīvā ziņojuma vajadzībām. Resoriem tika jautāti preču un pakalpojumu katalogu izmantošanas paradumi, kā arī iemesli, kāpēc atsevišķu preču un pakalpojumu iegādei, kas ir pieejamas EIS, tomēr tiek veikti iepirkumi vai iepirkuma procedūras Publisko iepirkumu likuma noteiktajā kārtībā vai saskaņā ar savā iestādē vai resorā kopumā noteikto regulējumu, ja līgumcena nesasniedz slieksni, no kura piemērojams likuma regulējums. Tāpat lūdzām sniegt informāciju par to, ar kādām precēm vai pakalpojumiem būtu papildināms esošais katalogu klāsts, kā arī norādīt, vai resori būtu gatavi veikt iepirkumus EIS vajadzībām.</w:t>
      </w:r>
    </w:p>
    <w:p w14:paraId="52B01DE9" w14:textId="3686429E" w:rsidR="00A73B4C" w:rsidRPr="00307028" w:rsidRDefault="002D3A05" w:rsidP="000468A1">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Jāatzīmē, ka Covid-19 pandēmija statistiski īpaši neietekmēja EIS izmantošanas paradumus. Kopējā pasūtījumu vērtība palielinājās, īpaši lielu pieaugumu piedzīvojot 2021. gadā, kad EIS iegādāto preču un pakalpojumu kopējā vērtība bija 74,2 milj. </w:t>
      </w:r>
      <w:r w:rsidRPr="00307028">
        <w:rPr>
          <w:rFonts w:eastAsiaTheme="minorHAnsi" w:cstheme="minorBidi"/>
          <w:i/>
          <w:iCs/>
          <w:kern w:val="2"/>
          <w:szCs w:val="22"/>
          <w:lang w:eastAsia="en-US"/>
          <w14:ligatures w14:val="standardContextual"/>
        </w:rPr>
        <w:t>euro</w:t>
      </w:r>
      <w:r w:rsidRPr="00307028">
        <w:rPr>
          <w:rFonts w:eastAsiaTheme="minorHAnsi" w:cstheme="minorBidi"/>
          <w:kern w:val="2"/>
          <w:szCs w:val="22"/>
          <w:lang w:eastAsia="en-US"/>
          <w14:ligatures w14:val="standardContextual"/>
        </w:rPr>
        <w:t xml:space="preserve"> bez PVN, kas bija par gandrīz 20 milj. </w:t>
      </w:r>
      <w:r w:rsidRPr="00307028">
        <w:rPr>
          <w:rFonts w:eastAsiaTheme="minorHAnsi" w:cstheme="minorBidi"/>
          <w:i/>
          <w:iCs/>
          <w:kern w:val="2"/>
          <w:szCs w:val="22"/>
          <w:lang w:eastAsia="en-US"/>
          <w14:ligatures w14:val="standardContextual"/>
        </w:rPr>
        <w:t>euro</w:t>
      </w:r>
      <w:r w:rsidRPr="00307028">
        <w:rPr>
          <w:rFonts w:eastAsiaTheme="minorHAnsi" w:cstheme="minorBidi"/>
          <w:kern w:val="2"/>
          <w:szCs w:val="22"/>
          <w:lang w:eastAsia="en-US"/>
          <w14:ligatures w14:val="standardContextual"/>
        </w:rPr>
        <w:t xml:space="preserve"> vairāk nekā gadu iepriekš (valsts pārvaldei un pašvaldībām kopā) (Tabula Nr. 2.4.3.1.). Apskatot trīs finanšu ziņā populārākos EIS katalogus katrā no pēdējiem četriem gadiem, vērojams, ka nemainīgi lielākie pasūtījumi ir no tiem katalogiem, kuros tiek piedāvāta IT programmatūra – “Standarta programmatūra un tās ražotāja atbalsts” un “Programmatūras pakalpojumi”. Pandēmijas radītā pāreja uz daļēji attālināto darba laiku rezultējās tajā, ka strauji pieauga kataloga “Servertehnika” popularitāte, jo valsts pārvaldei arī tehniskā ziņā bija nepieciešams nodrošināt hibrīda darba modeli. Tāpat 2021. gadā liels izdevumu pieaugums bija datortehnikas katalogos, jo attālinātā darba nodrošināšanai tika iegādāti portatīvie datori. Tajā pašā laikā jāpiezīmē, ka izdevumu apmēru katalogā “Kancelejas preces un biroja papīrs” Covid-19 pandēmija un attālinātais darba režīms īpaši neietekmēja. 2019. gadā šī kataloga ietvaros tika iegādātas preces 407,8 tūkst. </w:t>
      </w:r>
      <w:r w:rsidRPr="00307028">
        <w:rPr>
          <w:rFonts w:eastAsiaTheme="minorHAnsi" w:cstheme="minorBidi"/>
          <w:i/>
          <w:iCs/>
          <w:kern w:val="2"/>
          <w:szCs w:val="22"/>
          <w:lang w:eastAsia="en-US"/>
          <w14:ligatures w14:val="standardContextual"/>
        </w:rPr>
        <w:t>euro</w:t>
      </w:r>
      <w:r w:rsidRPr="00307028">
        <w:rPr>
          <w:rFonts w:eastAsiaTheme="minorHAnsi" w:cstheme="minorBidi"/>
          <w:kern w:val="2"/>
          <w:szCs w:val="22"/>
          <w:lang w:eastAsia="en-US"/>
          <w14:ligatures w14:val="standardContextual"/>
        </w:rPr>
        <w:t xml:space="preserve"> vērtībā, turpmākajos divos gados izdevumi samazinājās zem 300</w:t>
      </w:r>
      <w:r w:rsidR="00505D6A" w:rsidRPr="00307028">
        <w:rPr>
          <w:rFonts w:eastAsiaTheme="minorHAnsi" w:cstheme="minorBidi"/>
          <w:kern w:val="2"/>
          <w:szCs w:val="22"/>
          <w:lang w:eastAsia="en-US"/>
          <w14:ligatures w14:val="standardContextual"/>
        </w:rPr>
        <w:t>,0</w:t>
      </w:r>
      <w:r w:rsidRPr="00307028">
        <w:rPr>
          <w:rFonts w:eastAsiaTheme="minorHAnsi" w:cstheme="minorBidi"/>
          <w:kern w:val="2"/>
          <w:szCs w:val="22"/>
          <w:lang w:eastAsia="en-US"/>
          <w14:ligatures w14:val="standardContextual"/>
        </w:rPr>
        <w:t> tūkst. </w:t>
      </w:r>
      <w:r w:rsidRPr="00307028">
        <w:rPr>
          <w:rFonts w:eastAsiaTheme="minorHAnsi" w:cstheme="minorBidi"/>
          <w:i/>
          <w:iCs/>
          <w:kern w:val="2"/>
          <w:szCs w:val="22"/>
          <w:lang w:eastAsia="en-US"/>
          <w14:ligatures w14:val="standardContextual"/>
        </w:rPr>
        <w:t>euro</w:t>
      </w:r>
      <w:r w:rsidRPr="00307028">
        <w:rPr>
          <w:rFonts w:eastAsiaTheme="minorHAnsi" w:cstheme="minorBidi"/>
          <w:kern w:val="2"/>
          <w:szCs w:val="22"/>
          <w:lang w:eastAsia="en-US"/>
          <w14:ligatures w14:val="standardContextual"/>
        </w:rPr>
        <w:t>, bet 2022. gadā pat pārsniedza pirmspandēmijas līmeni – kancelejas preces un biroja papīrs tika iegādāts 498,4 tūkst. </w:t>
      </w:r>
      <w:r w:rsidRPr="00307028">
        <w:rPr>
          <w:rFonts w:eastAsiaTheme="minorHAnsi" w:cstheme="minorBidi"/>
          <w:i/>
          <w:iCs/>
          <w:kern w:val="2"/>
          <w:szCs w:val="22"/>
          <w:lang w:eastAsia="en-US"/>
          <w14:ligatures w14:val="standardContextual"/>
        </w:rPr>
        <w:t>euro</w:t>
      </w:r>
      <w:r w:rsidRPr="00307028">
        <w:rPr>
          <w:rFonts w:eastAsiaTheme="minorHAnsi" w:cstheme="minorBidi"/>
          <w:kern w:val="2"/>
          <w:szCs w:val="22"/>
          <w:lang w:eastAsia="en-US"/>
          <w14:ligatures w14:val="standardContextual"/>
        </w:rPr>
        <w:t xml:space="preserve"> vērtībā.</w:t>
      </w:r>
    </w:p>
    <w:p w14:paraId="7BA75C2A" w14:textId="77777777" w:rsidR="002D3A05" w:rsidRPr="00307028" w:rsidRDefault="002D3A05" w:rsidP="002D3A05">
      <w:pPr>
        <w:spacing w:after="120"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2.4.3.1. tabula</w:t>
      </w:r>
      <w:r w:rsidRPr="00307028">
        <w:rPr>
          <w:rFonts w:eastAsiaTheme="minorHAnsi" w:cstheme="minorBidi"/>
          <w:b/>
          <w:bCs/>
          <w:kern w:val="2"/>
          <w:sz w:val="22"/>
          <w:szCs w:val="20"/>
          <w:lang w:eastAsia="en-US"/>
          <w14:ligatures w14:val="standardContextual"/>
        </w:rPr>
        <w:t xml:space="preserve"> EIS katalogos iegādāto preču un pakalpojumu kopējā vērtība un Top 3 populārākie katalogi katrā no gadiem pēc izdevumu apmēra</w:t>
      </w:r>
      <w:r w:rsidRPr="00307028">
        <w:rPr>
          <w:rFonts w:eastAsiaTheme="minorHAnsi" w:cstheme="minorBidi"/>
          <w:b/>
          <w:bCs/>
          <w:kern w:val="2"/>
          <w:sz w:val="22"/>
          <w:szCs w:val="20"/>
          <w:vertAlign w:val="superscript"/>
          <w:lang w:eastAsia="en-US"/>
          <w14:ligatures w14:val="standardContextual"/>
        </w:rPr>
        <w:footnoteReference w:id="32"/>
      </w:r>
    </w:p>
    <w:tbl>
      <w:tblPr>
        <w:tblStyle w:val="TableGrid2"/>
        <w:tblW w:w="0" w:type="auto"/>
        <w:tblLook w:val="04A0" w:firstRow="1" w:lastRow="0" w:firstColumn="1" w:lastColumn="0" w:noHBand="0" w:noVBand="1"/>
      </w:tblPr>
      <w:tblGrid>
        <w:gridCol w:w="6799"/>
        <w:gridCol w:w="2262"/>
      </w:tblGrid>
      <w:tr w:rsidR="002D3A05" w:rsidRPr="00307028" w14:paraId="15E10F46" w14:textId="77777777" w:rsidTr="000468A1">
        <w:tc>
          <w:tcPr>
            <w:tcW w:w="9061" w:type="dxa"/>
            <w:gridSpan w:val="2"/>
            <w:shd w:val="clear" w:color="auto" w:fill="57ABD5"/>
          </w:tcPr>
          <w:p w14:paraId="5E87AC12" w14:textId="77777777" w:rsidR="002D3A05" w:rsidRPr="00307028" w:rsidRDefault="002D3A05" w:rsidP="002D3A05">
            <w:pPr>
              <w:jc w:val="center"/>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2019. gads</w:t>
            </w:r>
          </w:p>
        </w:tc>
      </w:tr>
      <w:tr w:rsidR="002D3A05" w:rsidRPr="00307028" w14:paraId="357E003A" w14:textId="77777777" w:rsidTr="000468A1">
        <w:tc>
          <w:tcPr>
            <w:tcW w:w="6799" w:type="dxa"/>
            <w:shd w:val="clear" w:color="auto" w:fill="85C2E0"/>
          </w:tcPr>
          <w:p w14:paraId="7613B702"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Kopējā EIS iegādāto preču vērtība (</w:t>
            </w:r>
            <w:r w:rsidRPr="00307028">
              <w:rPr>
                <w:rFonts w:eastAsiaTheme="minorHAnsi" w:cstheme="minorBidi"/>
                <w:b/>
                <w:bCs/>
                <w:i/>
                <w:iCs/>
                <w:kern w:val="2"/>
                <w:sz w:val="22"/>
                <w:szCs w:val="20"/>
                <w:lang w:eastAsia="en-US"/>
                <w14:ligatures w14:val="standardContextual"/>
              </w:rPr>
              <w:t>euro</w:t>
            </w:r>
            <w:r w:rsidRPr="00307028">
              <w:rPr>
                <w:rFonts w:eastAsiaTheme="minorHAnsi" w:cstheme="minorBidi"/>
                <w:b/>
                <w:bCs/>
                <w:kern w:val="2"/>
                <w:sz w:val="22"/>
                <w:szCs w:val="20"/>
                <w:lang w:eastAsia="en-US"/>
                <w14:ligatures w14:val="standardContextual"/>
              </w:rPr>
              <w:t>, bez PVN)</w:t>
            </w:r>
          </w:p>
        </w:tc>
        <w:tc>
          <w:tcPr>
            <w:tcW w:w="2262" w:type="dxa"/>
            <w:shd w:val="clear" w:color="auto" w:fill="85C2E0"/>
          </w:tcPr>
          <w:p w14:paraId="6D60CBF9"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47 533 119</w:t>
            </w:r>
          </w:p>
        </w:tc>
      </w:tr>
      <w:tr w:rsidR="002D3A05" w:rsidRPr="00307028" w14:paraId="79087205" w14:textId="77777777" w:rsidTr="00017993">
        <w:tc>
          <w:tcPr>
            <w:tcW w:w="6799" w:type="dxa"/>
            <w:shd w:val="clear" w:color="auto" w:fill="auto"/>
          </w:tcPr>
          <w:p w14:paraId="3DDB72C8"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tai skaitā: Programmatūras pakalpojumi</w:t>
            </w:r>
          </w:p>
        </w:tc>
        <w:tc>
          <w:tcPr>
            <w:tcW w:w="2262" w:type="dxa"/>
            <w:shd w:val="clear" w:color="auto" w:fill="auto"/>
          </w:tcPr>
          <w:p w14:paraId="26CF47F6"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14 011 463</w:t>
            </w:r>
          </w:p>
        </w:tc>
      </w:tr>
      <w:tr w:rsidR="002D3A05" w:rsidRPr="00307028" w14:paraId="5E624294" w14:textId="77777777" w:rsidTr="00017993">
        <w:tc>
          <w:tcPr>
            <w:tcW w:w="6799" w:type="dxa"/>
            <w:shd w:val="clear" w:color="auto" w:fill="auto"/>
          </w:tcPr>
          <w:p w14:paraId="540B18DC" w14:textId="77777777" w:rsidR="002D3A05" w:rsidRPr="00307028" w:rsidRDefault="002D3A05" w:rsidP="002D3A05">
            <w:pPr>
              <w:ind w:left="22" w:firstLine="992"/>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Standarta programmatūra un tās ražotāja atbalsts</w:t>
            </w:r>
          </w:p>
        </w:tc>
        <w:tc>
          <w:tcPr>
            <w:tcW w:w="2262" w:type="dxa"/>
            <w:shd w:val="clear" w:color="auto" w:fill="auto"/>
          </w:tcPr>
          <w:p w14:paraId="48C59141"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12 070 115</w:t>
            </w:r>
          </w:p>
        </w:tc>
      </w:tr>
      <w:tr w:rsidR="002D3A05" w:rsidRPr="00307028" w14:paraId="7CBB5CCB" w14:textId="77777777" w:rsidTr="00017993">
        <w:tc>
          <w:tcPr>
            <w:tcW w:w="6799" w:type="dxa"/>
            <w:shd w:val="clear" w:color="auto" w:fill="auto"/>
          </w:tcPr>
          <w:p w14:paraId="7AA10B0B"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EKO datortehnika</w:t>
            </w:r>
          </w:p>
        </w:tc>
        <w:tc>
          <w:tcPr>
            <w:tcW w:w="2262" w:type="dxa"/>
            <w:shd w:val="clear" w:color="auto" w:fill="auto"/>
          </w:tcPr>
          <w:p w14:paraId="0F3198B0"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3 716 513</w:t>
            </w:r>
          </w:p>
        </w:tc>
      </w:tr>
      <w:tr w:rsidR="002D3A05" w:rsidRPr="00307028" w14:paraId="5175FBE2" w14:textId="77777777" w:rsidTr="000468A1">
        <w:tc>
          <w:tcPr>
            <w:tcW w:w="9061" w:type="dxa"/>
            <w:gridSpan w:val="2"/>
            <w:shd w:val="clear" w:color="auto" w:fill="57ABD5"/>
          </w:tcPr>
          <w:p w14:paraId="3AE3D52D" w14:textId="77777777" w:rsidR="002D3A05" w:rsidRPr="00307028" w:rsidRDefault="002D3A05" w:rsidP="002D3A05">
            <w:pPr>
              <w:jc w:val="center"/>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2020. gads</w:t>
            </w:r>
          </w:p>
        </w:tc>
      </w:tr>
      <w:tr w:rsidR="002D3A05" w:rsidRPr="00307028" w14:paraId="3173E0D7" w14:textId="77777777" w:rsidTr="000468A1">
        <w:tc>
          <w:tcPr>
            <w:tcW w:w="6799" w:type="dxa"/>
            <w:shd w:val="clear" w:color="auto" w:fill="85C2E0"/>
          </w:tcPr>
          <w:p w14:paraId="364CF374"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lastRenderedPageBreak/>
              <w:t>Kopējā EIS iegādāto preču vērtība (</w:t>
            </w:r>
            <w:r w:rsidRPr="00307028">
              <w:rPr>
                <w:rFonts w:eastAsiaTheme="minorHAnsi" w:cstheme="minorBidi"/>
                <w:b/>
                <w:bCs/>
                <w:i/>
                <w:iCs/>
                <w:kern w:val="2"/>
                <w:sz w:val="22"/>
                <w:szCs w:val="20"/>
                <w:lang w:eastAsia="en-US"/>
                <w14:ligatures w14:val="standardContextual"/>
              </w:rPr>
              <w:t>euro</w:t>
            </w:r>
            <w:r w:rsidRPr="00307028">
              <w:rPr>
                <w:rFonts w:eastAsiaTheme="minorHAnsi" w:cstheme="minorBidi"/>
                <w:b/>
                <w:bCs/>
                <w:kern w:val="2"/>
                <w:sz w:val="22"/>
                <w:szCs w:val="20"/>
                <w:lang w:eastAsia="en-US"/>
                <w14:ligatures w14:val="standardContextual"/>
              </w:rPr>
              <w:t>, bez PVN)</w:t>
            </w:r>
          </w:p>
        </w:tc>
        <w:tc>
          <w:tcPr>
            <w:tcW w:w="2262" w:type="dxa"/>
            <w:shd w:val="clear" w:color="auto" w:fill="85C2E0"/>
          </w:tcPr>
          <w:p w14:paraId="412487A0"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54 458 954</w:t>
            </w:r>
          </w:p>
        </w:tc>
      </w:tr>
      <w:tr w:rsidR="002D3A05" w:rsidRPr="00307028" w14:paraId="7FAA637D" w14:textId="77777777" w:rsidTr="00017993">
        <w:tc>
          <w:tcPr>
            <w:tcW w:w="6799" w:type="dxa"/>
            <w:shd w:val="clear" w:color="auto" w:fill="auto"/>
          </w:tcPr>
          <w:p w14:paraId="4585582B"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tai skaitā: Standarta programmatūra un tās ražotāja atbalsts</w:t>
            </w:r>
          </w:p>
        </w:tc>
        <w:tc>
          <w:tcPr>
            <w:tcW w:w="2262" w:type="dxa"/>
            <w:shd w:val="clear" w:color="auto" w:fill="auto"/>
          </w:tcPr>
          <w:p w14:paraId="27944F13"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16 004 158</w:t>
            </w:r>
          </w:p>
        </w:tc>
      </w:tr>
      <w:tr w:rsidR="002D3A05" w:rsidRPr="00307028" w14:paraId="54A6423A" w14:textId="77777777" w:rsidTr="00017993">
        <w:tc>
          <w:tcPr>
            <w:tcW w:w="6799" w:type="dxa"/>
            <w:shd w:val="clear" w:color="auto" w:fill="auto"/>
          </w:tcPr>
          <w:p w14:paraId="46B7BF93"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Programmatūras pakalpojumi</w:t>
            </w:r>
          </w:p>
        </w:tc>
        <w:tc>
          <w:tcPr>
            <w:tcW w:w="2262" w:type="dxa"/>
            <w:shd w:val="clear" w:color="auto" w:fill="auto"/>
          </w:tcPr>
          <w:p w14:paraId="123D4C56"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13 643 952</w:t>
            </w:r>
          </w:p>
        </w:tc>
      </w:tr>
      <w:tr w:rsidR="002D3A05" w:rsidRPr="00307028" w14:paraId="6D68D32A" w14:textId="77777777" w:rsidTr="00017993">
        <w:tc>
          <w:tcPr>
            <w:tcW w:w="6799" w:type="dxa"/>
            <w:shd w:val="clear" w:color="auto" w:fill="auto"/>
          </w:tcPr>
          <w:p w14:paraId="094793C0"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Servertehnika</w:t>
            </w:r>
          </w:p>
        </w:tc>
        <w:tc>
          <w:tcPr>
            <w:tcW w:w="2262" w:type="dxa"/>
            <w:shd w:val="clear" w:color="auto" w:fill="auto"/>
          </w:tcPr>
          <w:p w14:paraId="19FBD6B6"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6 211 369</w:t>
            </w:r>
          </w:p>
        </w:tc>
      </w:tr>
      <w:tr w:rsidR="002D3A05" w:rsidRPr="00307028" w14:paraId="04382323" w14:textId="77777777" w:rsidTr="000468A1">
        <w:tc>
          <w:tcPr>
            <w:tcW w:w="9061" w:type="dxa"/>
            <w:gridSpan w:val="2"/>
            <w:shd w:val="clear" w:color="auto" w:fill="57ABD5"/>
          </w:tcPr>
          <w:p w14:paraId="6979E44C" w14:textId="77777777" w:rsidR="002D3A05" w:rsidRPr="00307028" w:rsidRDefault="002D3A05" w:rsidP="002D3A05">
            <w:pPr>
              <w:jc w:val="center"/>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2021. gads</w:t>
            </w:r>
          </w:p>
        </w:tc>
      </w:tr>
      <w:tr w:rsidR="002D3A05" w:rsidRPr="00307028" w14:paraId="090A5AC7" w14:textId="77777777" w:rsidTr="000468A1">
        <w:tc>
          <w:tcPr>
            <w:tcW w:w="6799" w:type="dxa"/>
            <w:shd w:val="clear" w:color="auto" w:fill="85C2E0"/>
          </w:tcPr>
          <w:p w14:paraId="78A89BED"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Kopējā EIS iegādāto preču vērtība (</w:t>
            </w:r>
            <w:r w:rsidRPr="00307028">
              <w:rPr>
                <w:rFonts w:eastAsiaTheme="minorHAnsi" w:cstheme="minorBidi"/>
                <w:b/>
                <w:bCs/>
                <w:i/>
                <w:iCs/>
                <w:kern w:val="2"/>
                <w:sz w:val="22"/>
                <w:szCs w:val="20"/>
                <w:lang w:eastAsia="en-US"/>
                <w14:ligatures w14:val="standardContextual"/>
              </w:rPr>
              <w:t>euro</w:t>
            </w:r>
            <w:r w:rsidRPr="00307028">
              <w:rPr>
                <w:rFonts w:eastAsiaTheme="minorHAnsi" w:cstheme="minorBidi"/>
                <w:b/>
                <w:bCs/>
                <w:kern w:val="2"/>
                <w:sz w:val="22"/>
                <w:szCs w:val="20"/>
                <w:lang w:eastAsia="en-US"/>
                <w14:ligatures w14:val="standardContextual"/>
              </w:rPr>
              <w:t>, bez PVN)</w:t>
            </w:r>
          </w:p>
        </w:tc>
        <w:tc>
          <w:tcPr>
            <w:tcW w:w="2262" w:type="dxa"/>
            <w:shd w:val="clear" w:color="auto" w:fill="85C2E0"/>
          </w:tcPr>
          <w:p w14:paraId="7772C55C"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74 162 114</w:t>
            </w:r>
          </w:p>
        </w:tc>
      </w:tr>
      <w:tr w:rsidR="002D3A05" w:rsidRPr="00307028" w14:paraId="40ED0B06" w14:textId="77777777" w:rsidTr="00017993">
        <w:tc>
          <w:tcPr>
            <w:tcW w:w="6799" w:type="dxa"/>
            <w:shd w:val="clear" w:color="auto" w:fill="auto"/>
          </w:tcPr>
          <w:p w14:paraId="6D493D9C"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tai skaitā: Standarta programmatūra un tās ražotāja atbalsts</w:t>
            </w:r>
          </w:p>
        </w:tc>
        <w:tc>
          <w:tcPr>
            <w:tcW w:w="2262" w:type="dxa"/>
            <w:shd w:val="clear" w:color="auto" w:fill="auto"/>
          </w:tcPr>
          <w:p w14:paraId="2DCD8827"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19 321 243</w:t>
            </w:r>
          </w:p>
        </w:tc>
      </w:tr>
      <w:tr w:rsidR="002D3A05" w:rsidRPr="00307028" w14:paraId="4B27A516" w14:textId="77777777" w:rsidTr="00017993">
        <w:tc>
          <w:tcPr>
            <w:tcW w:w="6799" w:type="dxa"/>
            <w:shd w:val="clear" w:color="auto" w:fill="auto"/>
          </w:tcPr>
          <w:p w14:paraId="60CCAA43"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Programmatūras pakalpojumi</w:t>
            </w:r>
          </w:p>
        </w:tc>
        <w:tc>
          <w:tcPr>
            <w:tcW w:w="2262" w:type="dxa"/>
            <w:shd w:val="clear" w:color="auto" w:fill="auto"/>
          </w:tcPr>
          <w:p w14:paraId="26ACB850"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16 995 087</w:t>
            </w:r>
          </w:p>
        </w:tc>
      </w:tr>
      <w:tr w:rsidR="002D3A05" w:rsidRPr="00307028" w14:paraId="1AF0138D" w14:textId="77777777" w:rsidTr="00017993">
        <w:tc>
          <w:tcPr>
            <w:tcW w:w="6799" w:type="dxa"/>
            <w:shd w:val="clear" w:color="auto" w:fill="auto"/>
          </w:tcPr>
          <w:p w14:paraId="4AF51688"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Datortehnika II</w:t>
            </w:r>
          </w:p>
        </w:tc>
        <w:tc>
          <w:tcPr>
            <w:tcW w:w="2262" w:type="dxa"/>
            <w:shd w:val="clear" w:color="auto" w:fill="auto"/>
          </w:tcPr>
          <w:p w14:paraId="376E3B92"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13 355 801</w:t>
            </w:r>
          </w:p>
        </w:tc>
      </w:tr>
      <w:tr w:rsidR="002D3A05" w:rsidRPr="00307028" w14:paraId="1138481F" w14:textId="77777777" w:rsidTr="000468A1">
        <w:tc>
          <w:tcPr>
            <w:tcW w:w="9061" w:type="dxa"/>
            <w:gridSpan w:val="2"/>
            <w:shd w:val="clear" w:color="auto" w:fill="57ABD5"/>
          </w:tcPr>
          <w:p w14:paraId="072AD4F4" w14:textId="77777777" w:rsidR="002D3A05" w:rsidRPr="00307028" w:rsidRDefault="002D3A05" w:rsidP="002D3A05">
            <w:pPr>
              <w:jc w:val="center"/>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2022. gads</w:t>
            </w:r>
          </w:p>
        </w:tc>
      </w:tr>
      <w:tr w:rsidR="002D3A05" w:rsidRPr="00307028" w14:paraId="7D58142F" w14:textId="77777777" w:rsidTr="000468A1">
        <w:tc>
          <w:tcPr>
            <w:tcW w:w="6799" w:type="dxa"/>
            <w:shd w:val="clear" w:color="auto" w:fill="85C2E0"/>
          </w:tcPr>
          <w:p w14:paraId="37337892"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Kopējā EIS iegādāto preču vērtība (</w:t>
            </w:r>
            <w:r w:rsidRPr="00307028">
              <w:rPr>
                <w:rFonts w:eastAsiaTheme="minorHAnsi" w:cstheme="minorBidi"/>
                <w:b/>
                <w:bCs/>
                <w:i/>
                <w:iCs/>
                <w:kern w:val="2"/>
                <w:sz w:val="22"/>
                <w:szCs w:val="20"/>
                <w:lang w:eastAsia="en-US"/>
                <w14:ligatures w14:val="standardContextual"/>
              </w:rPr>
              <w:t>euro</w:t>
            </w:r>
            <w:r w:rsidRPr="00307028">
              <w:rPr>
                <w:rFonts w:eastAsiaTheme="minorHAnsi" w:cstheme="minorBidi"/>
                <w:b/>
                <w:bCs/>
                <w:kern w:val="2"/>
                <w:sz w:val="22"/>
                <w:szCs w:val="20"/>
                <w:lang w:eastAsia="en-US"/>
                <w14:ligatures w14:val="standardContextual"/>
              </w:rPr>
              <w:t>, bez PVN)</w:t>
            </w:r>
          </w:p>
        </w:tc>
        <w:tc>
          <w:tcPr>
            <w:tcW w:w="2262" w:type="dxa"/>
            <w:shd w:val="clear" w:color="auto" w:fill="85C2E0"/>
          </w:tcPr>
          <w:p w14:paraId="4CA5526E" w14:textId="77777777" w:rsidR="002D3A05" w:rsidRPr="00307028" w:rsidRDefault="002D3A05" w:rsidP="002D3A05">
            <w:pPr>
              <w:jc w:val="both"/>
              <w:rPr>
                <w:rFonts w:eastAsiaTheme="minorHAnsi" w:cstheme="minorBidi"/>
                <w:b/>
                <w:bCs/>
                <w:kern w:val="2"/>
                <w:sz w:val="22"/>
                <w:szCs w:val="20"/>
                <w:lang w:eastAsia="en-US"/>
                <w14:ligatures w14:val="standardContextual"/>
              </w:rPr>
            </w:pPr>
            <w:r w:rsidRPr="00307028">
              <w:rPr>
                <w:rFonts w:eastAsiaTheme="minorHAnsi" w:cstheme="minorBidi"/>
                <w:b/>
                <w:bCs/>
                <w:kern w:val="2"/>
                <w:sz w:val="22"/>
                <w:szCs w:val="20"/>
                <w:lang w:eastAsia="en-US"/>
                <w14:ligatures w14:val="standardContextual"/>
              </w:rPr>
              <w:t>73 547 197</w:t>
            </w:r>
          </w:p>
        </w:tc>
      </w:tr>
      <w:tr w:rsidR="002D3A05" w:rsidRPr="00307028" w14:paraId="7483530B" w14:textId="77777777" w:rsidTr="00017993">
        <w:tc>
          <w:tcPr>
            <w:tcW w:w="6799" w:type="dxa"/>
            <w:shd w:val="clear" w:color="auto" w:fill="auto"/>
          </w:tcPr>
          <w:p w14:paraId="370B4131"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tai skaitā: Standarta programmatūra un tās ražotāja atbalsts</w:t>
            </w:r>
          </w:p>
        </w:tc>
        <w:tc>
          <w:tcPr>
            <w:tcW w:w="2262" w:type="dxa"/>
            <w:shd w:val="clear" w:color="auto" w:fill="auto"/>
          </w:tcPr>
          <w:p w14:paraId="45D0C0DA"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15 364 789</w:t>
            </w:r>
          </w:p>
        </w:tc>
      </w:tr>
      <w:tr w:rsidR="002D3A05" w:rsidRPr="00307028" w14:paraId="65D912A3" w14:textId="77777777" w:rsidTr="00017993">
        <w:tc>
          <w:tcPr>
            <w:tcW w:w="6799" w:type="dxa"/>
            <w:shd w:val="clear" w:color="auto" w:fill="auto"/>
          </w:tcPr>
          <w:p w14:paraId="6D15C3C1"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Servertehnika</w:t>
            </w:r>
          </w:p>
        </w:tc>
        <w:tc>
          <w:tcPr>
            <w:tcW w:w="2262" w:type="dxa"/>
            <w:shd w:val="clear" w:color="auto" w:fill="auto"/>
          </w:tcPr>
          <w:p w14:paraId="7703BF91"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12 605 825</w:t>
            </w:r>
          </w:p>
        </w:tc>
      </w:tr>
      <w:tr w:rsidR="002D3A05" w:rsidRPr="00307028" w14:paraId="1EC50479" w14:textId="77777777" w:rsidTr="00017993">
        <w:tc>
          <w:tcPr>
            <w:tcW w:w="6799" w:type="dxa"/>
            <w:shd w:val="clear" w:color="auto" w:fill="auto"/>
          </w:tcPr>
          <w:p w14:paraId="53ACE5E2" w14:textId="77777777" w:rsidR="002D3A05" w:rsidRPr="00307028" w:rsidRDefault="002D3A05" w:rsidP="002D3A05">
            <w:pPr>
              <w:ind w:firstLine="1014"/>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Programmatūras pakalpojumi</w:t>
            </w:r>
          </w:p>
        </w:tc>
        <w:tc>
          <w:tcPr>
            <w:tcW w:w="2262" w:type="dxa"/>
            <w:shd w:val="clear" w:color="auto" w:fill="auto"/>
          </w:tcPr>
          <w:p w14:paraId="2AFBF3CF" w14:textId="77777777" w:rsidR="002D3A05" w:rsidRPr="00307028" w:rsidRDefault="002D3A05" w:rsidP="002D3A05">
            <w:pPr>
              <w:jc w:val="both"/>
              <w:rPr>
                <w:rFonts w:eastAsiaTheme="minorHAnsi" w:cstheme="minorBidi"/>
                <w:kern w:val="2"/>
                <w:sz w:val="22"/>
                <w:szCs w:val="20"/>
                <w:lang w:eastAsia="en-US"/>
                <w14:ligatures w14:val="standardContextual"/>
              </w:rPr>
            </w:pPr>
            <w:r w:rsidRPr="00307028">
              <w:rPr>
                <w:rFonts w:eastAsiaTheme="minorHAnsi" w:cstheme="minorBidi"/>
                <w:kern w:val="2"/>
                <w:sz w:val="22"/>
                <w:szCs w:val="20"/>
                <w:lang w:eastAsia="en-US"/>
                <w14:ligatures w14:val="standardContextual"/>
              </w:rPr>
              <w:t>11 413 025</w:t>
            </w:r>
          </w:p>
        </w:tc>
      </w:tr>
    </w:tbl>
    <w:p w14:paraId="0749593F" w14:textId="647F5903"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Tabulā Nr. 2.4.3.1. </w:t>
      </w:r>
      <w:r w:rsidR="002C2791" w:rsidRPr="00307028">
        <w:rPr>
          <w:rFonts w:eastAsiaTheme="minorHAnsi" w:cstheme="minorBidi"/>
          <w:kern w:val="2"/>
          <w:szCs w:val="22"/>
          <w:lang w:eastAsia="en-US"/>
          <w14:ligatures w14:val="standardContextual"/>
        </w:rPr>
        <w:t>ietvertie</w:t>
      </w:r>
      <w:r w:rsidRPr="00307028">
        <w:rPr>
          <w:rFonts w:eastAsiaTheme="minorHAnsi" w:cstheme="minorBidi"/>
          <w:kern w:val="2"/>
          <w:szCs w:val="22"/>
          <w:lang w:eastAsia="en-US"/>
          <w14:ligatures w14:val="standardContextual"/>
        </w:rPr>
        <w:t xml:space="preserve"> katalogi </w:t>
      </w:r>
      <w:r w:rsidR="002C2791" w:rsidRPr="00307028">
        <w:rPr>
          <w:rFonts w:eastAsiaTheme="minorHAnsi" w:cstheme="minorBidi"/>
          <w:kern w:val="2"/>
          <w:szCs w:val="22"/>
          <w:lang w:eastAsia="en-US"/>
          <w14:ligatures w14:val="standardContextual"/>
        </w:rPr>
        <w:t>parādās</w:t>
      </w:r>
      <w:r w:rsidRPr="00307028">
        <w:rPr>
          <w:rFonts w:eastAsiaTheme="minorHAnsi" w:cstheme="minorBidi"/>
          <w:kern w:val="2"/>
          <w:szCs w:val="22"/>
          <w:lang w:eastAsia="en-US"/>
          <w14:ligatures w14:val="standardContextual"/>
        </w:rPr>
        <w:t xml:space="preserve"> arī resoru aizpildītajās anketās, norādot tieši šīs kā visbiežāk EIS iegādātās preces un pakalpojumus. Tāpat neiztrūkstoši starp biežāk izmantotajiem katalogiem ir tie, kuros iegādājamas citas IT preces, kas nepieciešamas iestādes funkcionēšanai – “Drukas iekārtas” un “Drukas iekārtu izejmateriāli”. Neskatoties uz to, ka valsts pārvalde izdevumu samazināšanas nolūkos samazina izmantojamās platības, joprojām pietiekoši augsts ir pieprasījums pēc katalogā “Biroja, izglītības iestāžu, uzgaidāmo telpu un virtuves mēbeles” pieejamajām precēm.</w:t>
      </w:r>
    </w:p>
    <w:p w14:paraId="23F17DB6" w14:textId="78046AB1" w:rsidR="002D3A05" w:rsidRPr="00307028" w:rsidRDefault="002C2791"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Saskaņā ar Publisko iepirkuma likuma 17. panta divpadsmitās daļas regulējumu, gandrīz</w:t>
      </w:r>
      <w:r w:rsidR="002D3A05" w:rsidRPr="00307028">
        <w:rPr>
          <w:rFonts w:eastAsiaTheme="minorHAnsi" w:cstheme="minorBidi"/>
          <w:kern w:val="2"/>
          <w:szCs w:val="22"/>
          <w:lang w:eastAsia="en-US"/>
          <w14:ligatures w14:val="standardContextual"/>
        </w:rPr>
        <w:t xml:space="preserve"> visas EIS pieejamās preces un pakalpojumus resoriem jāiegādājas šajā sistēmā. Attiecīgās preču grupas ir noteiktas MK 2022. gada 20. decembra noteikumu Nr. 816 “Publisko elektronisko iepirkumu noteikumi” 1. pielikumā. Tomēr ne vienmēr katalogos esošās preces vai pakalpojumi ir atbilstoši nepieciešamajai tehniskajai specifikācijai vai arī šādu preču vai pakalpojumu EIS katalogos nav vispār. Līdz ar to anketas jautājums, par to, kādas preces un pakalpojumi netiek iegādāti EIS, aptver teju visu katalogu spektru, visvairāk gan izceļoties pārtikas un saimniecības precēm.</w:t>
      </w:r>
    </w:p>
    <w:p w14:paraId="2E5D7D8E" w14:textId="01BC6DA0" w:rsidR="002D3A05" w:rsidRPr="00307028" w:rsidRDefault="002D3A05" w:rsidP="002C2791">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Apskatot resoru norādītos iemeslus, kāpēc EIS katalogos pieejamās preces un pakalpojumi tomēr tiek iegādāti ārpus šīs sistēmas, dominē tās pašas atbildes, kas 2019. gadā veiktajā anketēšanā.</w:t>
      </w:r>
      <w:r w:rsidR="002C2791" w:rsidRPr="00307028">
        <w:rPr>
          <w:rFonts w:eastAsiaTheme="minorHAnsi" w:cstheme="minorBidi"/>
          <w:kern w:val="2"/>
          <w:szCs w:val="22"/>
          <w:lang w:eastAsia="en-US"/>
          <w14:ligatures w14:val="standardContextual"/>
        </w:rPr>
        <w:t xml:space="preserve"> </w:t>
      </w:r>
      <w:r w:rsidRPr="00307028">
        <w:rPr>
          <w:rFonts w:eastAsiaTheme="minorHAnsi" w:cstheme="minorBidi"/>
          <w:kern w:val="2"/>
          <w:szCs w:val="22"/>
          <w:lang w:eastAsia="en-US"/>
          <w14:ligatures w14:val="standardContextual"/>
        </w:rPr>
        <w:t xml:space="preserve">Viens no dominējošajiem iemesliem, kas visvairāk saistīts tieši ar iepriekšminēto pārtikas preču neiegādāšanos EIS, ir minimālā pasūtījuma groza apmērs, proti, iestādei nepieciešams pasūtīt noteiktu preču apjomu, lai vispār varētu izmantot attiecīgo katalogu. VM norāda, ka bieži vien preču grozs tiek sadalīts starp vairākiem piegādātājiem, līdz ar to minimālais pasūtījumu apjoms var netikt sasniegts uz atsevišķu preču grupu. Tādējādi pasūtītājam rodas </w:t>
      </w:r>
      <w:r w:rsidR="002C2791" w:rsidRPr="00307028">
        <w:rPr>
          <w:rFonts w:eastAsiaTheme="minorHAnsi" w:cstheme="minorBidi"/>
          <w:kern w:val="2"/>
          <w:szCs w:val="22"/>
          <w:lang w:eastAsia="en-US"/>
          <w14:ligatures w14:val="standardContextual"/>
        </w:rPr>
        <w:t>situācija</w:t>
      </w:r>
      <w:r w:rsidRPr="00307028">
        <w:rPr>
          <w:rFonts w:eastAsiaTheme="minorHAnsi" w:cstheme="minorBidi"/>
          <w:kern w:val="2"/>
          <w:szCs w:val="22"/>
          <w:lang w:eastAsia="en-US"/>
          <w14:ligatures w14:val="standardContextual"/>
        </w:rPr>
        <w:t xml:space="preserve"> – iegādāties preces ārpus EIS vai iegādāties lielāku preču apjomu, lai sasniegtu minimālo groza vērtību, vienlaikus apzinoties, ka daļa no precēm tajā brīdī nemaz nav nepieciešama. Arī TM vērš uzmanību uz “lieko” preču iegādi, šajā sakarā minot portatīvo datoru iegādi, kur minimālais pasūtījuma apjoms ir 50 portatīvie datori. Tā kā šāds skaits tajā brīdī nav nepieciešams, tad pasūtītājam jāizšķiras, vai iegādāties minimālo apjomu un tobrīd nevajadzīgās iekārtas uzglabāt noliktavā, kas var radīt situāciju, ka brīdī, kad dators būs nepieciešams, tirgū jau ir pieejami tehnoloģiski augstvērtīgāki ražojumi, vai arī patstāvīgi veikt iepirkuma procedūru. Ja ministrijas savos ietvaros centralizēti vēl var censties sasniegt minimālo pasūtījuma slieksni, tad neatkarīgās iestādes un citas centrālās valsts iestādes anketā lielākoties norāda, ka, ņemot vērā iestādes lielumu un vajadzību apmēru, sasniegt EIS katalogos noteiktos minimālos sliekšņus nav iespējams.</w:t>
      </w:r>
    </w:p>
    <w:p w14:paraId="53A66E2E" w14:textId="7777777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lastRenderedPageBreak/>
        <w:t>Otrs no populārākajiem iemesliem, kāpēc netiek izmantots EIS piedāvājums, ir katalogos piedāvāto preču un pakalpojumu cena. Resori anketās bieži vien norāda, ka ārpus EIS ekvivalentas preces ir iespējams iegādāties par zemāku cenu. Tāpat ir gadījumi, kad tirgū par tādu pašu cenu ir iespējams iegādāties tehnoloģiski augstvērtīgāku produktu. Īpaši tas vērojams datortehnikas un biroja tehnikas segmentā, jo, ja kataloga vajadzībām VRAA veiktais iepirkuma līguma termiņš ir bijis četri gadi, tad kataloga darbības pirmajā gadā preču sortiments vēl ir salīdzināms ar tirgū pieejamo, bet ceturtajā gadā ārpus EIS jau ir pieejama jaunākas paaudzes tehnika.</w:t>
      </w:r>
    </w:p>
    <w:p w14:paraId="32DDB108" w14:textId="7777777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Visbeidzot kā trešais iemesls minams tas, ka EIS katalogos pieejamās preces vai pakalpojumi neatbilst pasūtītāja vajadzībām. Lielākoties tas arī uzskatāms par attaisnotu iemeslu, jo datortehnika, servertehnika vai programmatūra var būt nepieciešama specifiskam lietotāju lokam un arī mēbeles var neatbilst iestādes vajadzībām.</w:t>
      </w:r>
    </w:p>
    <w:p w14:paraId="7DDD3CF8" w14:textId="7777777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Saistībā ar EIS nepieciešamajiem uzlabojumiem resori lielākoties akcentē preču kataloga pārskatāmību. Resoru ieskatā ir uzlabojams gan preču meklētājs, jo bieži vien pēc atslēgas vārdiem nav iespējams atrast vajadzīgo preci, gan kvalitāte informācijai, kas tiek sniegta par katalogā esošo sortimentu, jo tam trūkst datu par preces vai pakalpojuma raksturlielumiem, nav pieejami attēli un arī hipersaites uz piegādātāja tīmekļvietni dažkārt “neaizved” pasūtītāju līdz nepieciešamajai informācijai.</w:t>
      </w:r>
    </w:p>
    <w:p w14:paraId="2B78F7B9" w14:textId="267958A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Uz jautājumu par to, ar kādām precēm un pakalpojumiem būtu nepieciešams papildināt EIS katalogu klāstu, tika saņemtas ļoti dažādas atbildes. Vairumā gadījumu resori bija norādījuši ļoti specifiskas preces vai pakalpojumus, pēc kuriem kopējais pieprasījums valsts pārvaldē varētu būt mazs vai arī attiecīgās preces lielākoties ir nepieciešamas tikai attiecīgā resora vai pat iestādes vajadzībām. Tā kā centralizēta iepirkuma finansiālais ieguvums darbojas tikai gadījumos, kad pieprasījums pēc attiecīgās preces ir sevišķi augsts un arī tās iegādes biežums ir regulārs, tad visdrīzāk EIS katalogos šīs preces būtu dārgākas nekā ārpus EIS. Tajā pašā laikā no aptaujas rezultātiem ir izsecināmas atsevišķas preces un preču grupas, kuru pieprasījums aptver lielu valsts pārvaldes daļu. Anketās tiek norādīta nepieciešamība pēc iespējas EIS iegādāties mobilos telefonus (tai skaitā arī mobilo sakaru pakalpojumus), automašīnu nomas pakalpojumus, sadzīves tehniku, elektroenerģiju, degvielu, dabasgāzi un komandējumu organizēšanas pakalpojumu. Tāpat tiek izteikti aicinājumi papildināt jeb paplašināt jau esošo katalogu piedāvājumu.</w:t>
      </w:r>
    </w:p>
    <w:p w14:paraId="5AC430F9" w14:textId="1DFC9B4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Lielākās izmaiņas salīdzinājumā ar 2019. gadā veikto EIS izvērtējumu ir katalogu administrēšanas jomā. Pirms četriem gadiem VRAA administrēja (veica centralizētus iepirkumus EIS vajadzībām un sekojoši administrēja šo līgumu darbību) visus katalogus izņemot vienu. TM administrēja EIS katalogu “Civilstāvokļa aktu reģistrācijas apliecību veidlapas”. Šis katalogs ir aktīvs arī 2023. gadā, bet tam pievienojušies vēl seši jauni katalogi, kuri nav VRAA pārraudzībā. IZM ir atbildīgs par kataloga “Datortehnika izglītības procesa nodrošināšanai” darbību, kas saskaņā ar šī kataloga ietvaros noslēgtajām preču piegādēm ir </w:t>
      </w:r>
      <w:r w:rsidR="00874E46" w:rsidRPr="00307028">
        <w:rPr>
          <w:rFonts w:eastAsiaTheme="minorHAnsi" w:cstheme="minorBidi"/>
          <w:kern w:val="2"/>
          <w:szCs w:val="22"/>
          <w:lang w:eastAsia="en-US"/>
          <w14:ligatures w14:val="standardContextual"/>
        </w:rPr>
        <w:t>salīdzinoši pieprasīts</w:t>
      </w:r>
      <w:r w:rsidRPr="00307028">
        <w:rPr>
          <w:rFonts w:eastAsiaTheme="minorHAnsi" w:cstheme="minorBidi"/>
          <w:kern w:val="2"/>
          <w:szCs w:val="22"/>
          <w:lang w:eastAsia="en-US"/>
          <w14:ligatures w14:val="standardContextual"/>
        </w:rPr>
        <w:t>, jo mācību iestādes iegādājās IT iekārtas daļēji attālināta mācību procesa nodrošināšanai. Četri katalogi ir NVD pārziņā, kuros iegādājamas medicīnas preces, medikamenti un individuālie aizsardzības līdzekļi. Savukārt Valsts aizsardzības loģistikas un iepirkuma centrs administrē gultas veļas un piederumu katalogu.</w:t>
      </w:r>
    </w:p>
    <w:p w14:paraId="3397A636" w14:textId="77777777" w:rsidR="002D3A05" w:rsidRPr="00307028" w:rsidRDefault="002D3A05" w:rsidP="002D3A05">
      <w:pPr>
        <w:spacing w:before="120"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Tajā pašā laikā uz anketas jautājumu par resoru gatavību veikt centralizētu iepirkumu valsts pārvaldes vajadzībām, proti, administrēt to kā EIS katalogu, tiek saņemts teju vienprātīgs noliegums, norādot, ka tam nav ne resursu, ne nepieciešamās kompetences. Vien daži resori vai iestādes norāda, ka varētu apsvērt šādu iepirkumu veikšanu, bet tikai tādā gadījumā, ja šīs </w:t>
      </w:r>
      <w:r w:rsidRPr="00307028">
        <w:rPr>
          <w:rFonts w:eastAsiaTheme="minorHAnsi" w:cstheme="minorBidi"/>
          <w:kern w:val="2"/>
          <w:szCs w:val="22"/>
          <w:lang w:eastAsia="en-US"/>
          <w14:ligatures w14:val="standardContextual"/>
        </w:rPr>
        <w:lastRenderedPageBreak/>
        <w:t>funkcijas veikšanai tām tiek piešķirti gan finanšu, gan cilvēkresursi. Ministrijas gan anketā aktīvi norādījušas, ka iepirkumu centralizācija turpina attīstīties resoru ietvaros, proti, ministrija vai tās deleģēta padotības iestāde, veic daudzas iepirkumu procedūras visa resora vajadzībām. Visbiežāk resora ietvaros centralizēti tiek iegādāta datortehnika, elektroenerģija, degviela, kā arī veselības apdrošināšanas, komandējumu organizēšanas un mobilo sakaru nodrošināšanas pakalpojumi.</w:t>
      </w:r>
    </w:p>
    <w:p w14:paraId="5BD032B8" w14:textId="77777777" w:rsidR="002D3A05" w:rsidRPr="00307028" w:rsidRDefault="002D3A05" w:rsidP="002D3A05">
      <w:pPr>
        <w:spacing w:after="120" w:line="259" w:lineRule="auto"/>
        <w:ind w:firstLine="720"/>
        <w:rPr>
          <w:rFonts w:eastAsiaTheme="minorHAnsi" w:cstheme="minorBidi"/>
          <w:b/>
          <w:bCs/>
          <w:i/>
          <w:iCs/>
          <w:kern w:val="2"/>
          <w:szCs w:val="22"/>
          <w:lang w:eastAsia="en-US"/>
          <w14:ligatures w14:val="standardContextual"/>
        </w:rPr>
      </w:pPr>
      <w:r w:rsidRPr="00307028">
        <w:rPr>
          <w:rFonts w:eastAsiaTheme="minorHAnsi" w:cstheme="minorBidi"/>
          <w:b/>
          <w:bCs/>
          <w:i/>
          <w:iCs/>
          <w:kern w:val="2"/>
          <w:szCs w:val="22"/>
          <w:lang w:eastAsia="en-US"/>
          <w14:ligatures w14:val="standardContextual"/>
        </w:rPr>
        <w:t>Mācību pakalpojumi valsts pārvaldē</w:t>
      </w:r>
    </w:p>
    <w:p w14:paraId="5D369329" w14:textId="77777777" w:rsidR="002D3A05" w:rsidRPr="00307028" w:rsidRDefault="002D3A05" w:rsidP="002D3A05">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Vienlaikus ar jautājumiem par EIS izmantošanu aptaujas anketā resoriem tika lūgts norādīt finansējuma apmēru, ko tie patērē darbinieku kompetenču pilnveidei, proti, mācību pakalpojumiem, kā arī cik liela daļa no šī finansējuma ir par VAS organizētajām mācībām. Resoriem arī bija iespēja norādīt citus komentārus par mācību pakalpojumiem valsts pārvaldē. Attiecībā uz finansējumu, jānorāda, ka resoriem bija dažāda izpratne par to, kādi izdevumi anketas ietvaros būtu klasificējami kā mācību izdevumi, līdz ar to precīzāku darbinieku apmācību mērķim paredzēto finansējumu var iegūt no budžeta izpildes datiem. Saskaņā ar EKK2235 “Izdevumi par saņemtajiem mācību pakalpojumiem” resori 2022. gadā par mācību pakalpojumiem iztērējuši 6,5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Savukārt saskaņā ar FM anketā iegūtajiem datiem par VAS nodrošinātajām mācībām iztērēti 199,6 tūkst.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Tātad finansiālā izteiksmē VAS tirgus daļa mācību pakalpojumu nodrošināšanā ir tikai 3%. Tajā pašā laikā jāpiezīmē, ka liela daļa mācību VAS tiek piedāvāta bez maksas, proti, resori par tām nesamaksā, jo tās tiek finansētas no valsts budžeta līdzekļiem vai arī piesaistot ES finansējumu, līdz ar to patieso VAS lomu valsts pārvaldē nodarbināto izglītošanā var novērtēt tikai veicot padziļinātu analīzi, vērtējot mācībās pavadīto stundu skaitu, mācību saturu un citus parametrus.</w:t>
      </w:r>
    </w:p>
    <w:p w14:paraId="11B86F54" w14:textId="77777777" w:rsidR="002D3A05" w:rsidRPr="00307028" w:rsidRDefault="002D3A05" w:rsidP="002D3A05">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kern w:val="2"/>
          <w:lang w:eastAsia="en-US"/>
          <w14:ligatures w14:val="standardContextual"/>
        </w:rPr>
        <w:t xml:space="preserve">Ņemot vērā šajā informatīvā ziņojuma sadaļā virzīto centralizācijas terminu, var teikt, ka VAS jau šobrīd ir liela loma centralizētu mācību pakalpojumu nodrošināšanā un perspektīvā VAS ir iespējams pakalpojumu vēl attīstīt. Pati VAS norāda, ka tā </w:t>
      </w:r>
      <w:r w:rsidRPr="00307028">
        <w:rPr>
          <w:rFonts w:eastAsiaTheme="minorHAnsi"/>
          <w:color w:val="000000"/>
          <w:kern w:val="2"/>
          <w:shd w:val="clear" w:color="auto" w:fill="FFFFFF"/>
          <w:lang w:eastAsia="en-US"/>
          <w14:ligatures w14:val="standardContextual"/>
        </w:rPr>
        <w:t xml:space="preserve">īsteno valsts politiku valsts pārvaldes profesionālās attīstības jomā, lai sagatavotu augsti kvalificētus un profesionālus nodarbinātos. </w:t>
      </w:r>
      <w:r w:rsidRPr="00307028">
        <w:rPr>
          <w:rFonts w:eastAsiaTheme="minorHAnsi"/>
          <w:kern w:val="2"/>
          <w:lang w:eastAsia="en-US"/>
          <w14:ligatures w14:val="standardContextual"/>
        </w:rPr>
        <w:t>Lai īstenotu VAS misiju – attīstīt un nodrošināt kvalitatīvu mācību un konsultāciju piedāvājumu –, VAS ikdienā organizē ne tikai mācības, bet piedāvā arī dažādus citus attīstības pasākumus, tai skaitā izstrādā mācību programmas iestāžu vajadzībām. Mācības nodrošina gan valsts pārvaldē nodarbinātie profesionāļi, gan tiek veikts iepirkums un piesaistīti jomu eksperti ārpus valsts pārvaldē nodarbinātajiem. Pēc VAS datiem 2022. gadā tās organizētajās mācībās kopā piedalījušies 19 137 dalībnieki (no tiem 17 840 dalībnieki jeb 93% kompetences attīstīja, izmantojot e-mācības).</w:t>
      </w:r>
    </w:p>
    <w:p w14:paraId="6B939E6A" w14:textId="77777777" w:rsidR="002D3A05" w:rsidRPr="00307028" w:rsidRDefault="002D3A05" w:rsidP="002D3A05">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Kā VAS secinājusi no FM veiktās aptaujas atbildēs ietvertajiem resoru komentāriem sadarbība ar VAS mācību pakalpojumu organizēšanā ir vērtējama pozitīvi, vienlaicīgi norādot uz vairākām pilnveidojamām jomām. Pirmkārt, valsts pārvaldes ietvaros ir liels pieprasījums pēc bezmaksas mācībām, jo īpaši jomās, kas skar plašu valsts pārvaldē nodarbināto loku, piemēram, digitālo risinājumu ieviešana, lietvedība, grāmatvedība, personālvadība u.c. Otrkārt, ir vērojama liela interese par jaunām e-mācību programmām, lai dalībnieki var apgūt mācību programmu sev piemērotā laikā un vietā. Treškārt, intereses resoru vidū ir par padziļinātām mācību programmām profesionālo zināšanu pilnveidei, proti, organizējamas ne tikai tādas mācības, kas aptver plašu konkrētās tēmas zināšanu apjomu, bet sniedz ieskatu jau daudz šaurākos jautājumos. Ceturtkārt, resori pauž aicinājumu VAS regulāri apzināt iestāžu mācību vajadzības un nodrošināt centralizētu mācību pakalpojumu iegādi atbilstoši iestāžu vajadzībām, tādējādi taupot gan finanšu, gan mācību pakalpojuma iepirkumu organizēšanai nepieciešamos resursus. </w:t>
      </w:r>
    </w:p>
    <w:p w14:paraId="7BB42DAD" w14:textId="1F5BED8E" w:rsidR="006257A4" w:rsidRPr="00307028" w:rsidRDefault="00BF15EE" w:rsidP="006257A4">
      <w:pPr>
        <w:spacing w:after="120" w:line="259" w:lineRule="auto"/>
        <w:ind w:firstLine="720"/>
        <w:jc w:val="both"/>
        <w:rPr>
          <w:rFonts w:eastAsiaTheme="minorHAnsi"/>
          <w:kern w:val="2"/>
          <w:lang w:eastAsia="en-US"/>
          <w14:ligatures w14:val="standardContextual"/>
        </w:rPr>
      </w:pPr>
      <w:r w:rsidRPr="00307028">
        <w:rPr>
          <w:noProof/>
          <w:lang w:eastAsia="en-US"/>
        </w:rPr>
        <w:lastRenderedPageBreak/>
        <mc:AlternateContent>
          <mc:Choice Requires="wps">
            <w:drawing>
              <wp:anchor distT="0" distB="0" distL="114300" distR="114300" simplePos="0" relativeHeight="251753472" behindDoc="0" locked="0" layoutInCell="1" allowOverlap="1" wp14:anchorId="2E810D2C" wp14:editId="7666AEDB">
                <wp:simplePos x="0" y="0"/>
                <wp:positionH relativeFrom="margin">
                  <wp:posOffset>0</wp:posOffset>
                </wp:positionH>
                <wp:positionV relativeFrom="paragraph">
                  <wp:posOffset>2311400</wp:posOffset>
                </wp:positionV>
                <wp:extent cx="5762625" cy="314325"/>
                <wp:effectExtent l="0" t="0" r="9525" b="9525"/>
                <wp:wrapTopAndBottom/>
                <wp:docPr id="1188929869" name="Rectangle 1188929869"/>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4A4933A8" w14:textId="77777777" w:rsidR="006257A4" w:rsidRPr="00307028" w:rsidRDefault="006257A4" w:rsidP="006257A4">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10D2C" id="Rectangle 1188929869" o:spid="_x0000_s1038" style="position:absolute;left:0;text-align:left;margin-left:0;margin-top:182pt;width:453.75pt;height:24.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" fillcolor="#85c2e0" stroked="f" strokeweight="2pt">
                <v:textbox>
                  <w:txbxContent>
                    <w:p w14:paraId="4A4933A8" w14:textId="77777777" w:rsidR="006257A4" w:rsidRPr="00307028" w:rsidRDefault="006257A4" w:rsidP="006257A4">
                      <w:pPr>
                        <w:rPr>
                          <w:b/>
                          <w:bCs/>
                          <w:color w:val="000000" w:themeColor="text1"/>
                        </w:rPr>
                      </w:pPr>
                      <w:r w:rsidRPr="00307028">
                        <w:rPr>
                          <w:b/>
                          <w:bCs/>
                        </w:rPr>
                        <w:t>SECINĀJUMI:</w:t>
                      </w:r>
                    </w:p>
                  </w:txbxContent>
                </v:textbox>
                <w10:wrap type="topAndBottom" anchorx="margin"/>
              </v:rect>
            </w:pict>
          </mc:Fallback>
        </mc:AlternateContent>
      </w:r>
      <w:r w:rsidR="002D3A05" w:rsidRPr="00307028">
        <w:rPr>
          <w:rFonts w:eastAsiaTheme="minorHAnsi"/>
          <w:kern w:val="2"/>
          <w:lang w:eastAsia="en-US"/>
          <w14:ligatures w14:val="standardContextual"/>
        </w:rPr>
        <w:t>Ņemot vērā to, ka šobrīd VAS mācību pakalpojums veido salīdzinoši mazu daļu no iestāžu kopējā mācību budžeta un iestādēm nereti ir pieprasījums pēc līdzīga satura mācībām, būtu veicami pasākumi, lai virzītos uz centralizētu mācību pakalpojuma iepirkšanu valsts pārvaldē atbilstoši iestāžu vajadzībām. Jau šobrīd ir resori, piemēram, IeM, kas atzīst, ka “primāri ar mērķi efektīvi un ekonomiski izmantot piešķirtos budžeta līdzekļus, tiek izmantoti VAS piedāvātie kvalifikācijas celšanas vai sadarbības veicināšanas pasākumi un tikai tad, ja piedāvājumā nav vajadzībām atbilstošu mācību, tiek izvēlēts cits pakalpojuma sniedzējs”. Būtiski norādīt, ka VAS jau ir uzkrāta pieredze centralizētu iepirkumu valsts pārvaldes vajadzībām organizēšanā, proti, administrējot divus ES fondu projektus laika posmā no 2014. – 2020. gadam, VAS ir nodrošinājusi centralizētu valsts pārvaldes mācību vajadzību apzināšanu, iepirkumu organizēšanu un mācību pasākumu organizēšanu 40 000 darbinieku (projektu kopējais finansējuma apjoms 6,4 milj. </w:t>
      </w:r>
      <w:r w:rsidR="002D3A05" w:rsidRPr="00307028">
        <w:rPr>
          <w:rFonts w:eastAsiaTheme="minorHAnsi"/>
          <w:i/>
          <w:iCs/>
          <w:kern w:val="2"/>
          <w:lang w:eastAsia="en-US"/>
          <w14:ligatures w14:val="standardContextual"/>
        </w:rPr>
        <w:t>euro</w:t>
      </w:r>
      <w:r w:rsidR="002D3A05" w:rsidRPr="00307028">
        <w:rPr>
          <w:rFonts w:eastAsiaTheme="minorHAnsi"/>
          <w:kern w:val="2"/>
          <w:lang w:eastAsia="en-US"/>
          <w14:ligatures w14:val="standardContextual"/>
        </w:rPr>
        <w:t>).</w:t>
      </w:r>
    </w:p>
    <w:p w14:paraId="2CDD47F6" w14:textId="4DDB1F93" w:rsidR="006257A4" w:rsidRPr="00307028" w:rsidRDefault="002D3A05" w:rsidP="00070D5F">
      <w:pPr>
        <w:pStyle w:val="ListParagraph"/>
        <w:numPr>
          <w:ilvl w:val="0"/>
          <w:numId w:val="27"/>
        </w:numPr>
        <w:spacing w:after="120" w:line="259" w:lineRule="auto"/>
        <w:ind w:left="709" w:hanging="425"/>
        <w:contextualSpacing w:val="0"/>
        <w:jc w:val="both"/>
        <w:rPr>
          <w:rFonts w:eastAsiaTheme="minorHAnsi"/>
          <w:kern w:val="2"/>
          <w:lang w:eastAsia="en-US"/>
          <w14:ligatures w14:val="standardContextual"/>
        </w:rPr>
      </w:pPr>
      <w:r w:rsidRPr="00307028">
        <w:rPr>
          <w:rFonts w:eastAsiaTheme="minorHAnsi"/>
          <w:kern w:val="2"/>
          <w:lang w:eastAsia="en-US"/>
          <w14:ligatures w14:val="standardContextual"/>
        </w:rPr>
        <w:t>EIS lietošanas paradumi valsts pārvaldē kopš 2019. gadā veiktās aptaujas būtiski nav mainījušies. Ir palielinājies to iestāžu skaits, kas ir veikušas centralizētus iepirkumus valsts pārvaldes vajadzībām un uztur kādu EIS katalogu, tomēr lielākoties resori norāda, ka nav gatavi veikt šādu uzdevumu vai arī tam vajag papildus finanšu un cilvēkresursus. Lielākie iebildumi EIS izmantošanā no resoriem ir par minimālā pasūtījumu sliekšņa esamību, jo daudzkārt to nav iespējams sasniegt, kā rezultātā jāiegādājas liekas preces vai jāveic atsevišķs iepirkums, kā arī par EIS katalogos pieejamo preču un pakalpojumu cenu, kas bieži vien ir augstāka nekā iegūstama veicot atsevišķu iepirkumu.</w:t>
      </w:r>
    </w:p>
    <w:p w14:paraId="32F811F8" w14:textId="640B9EF0" w:rsidR="002D3A05" w:rsidRPr="00307028" w:rsidRDefault="002D3A05" w:rsidP="00070D5F">
      <w:pPr>
        <w:pStyle w:val="ListParagraph"/>
        <w:numPr>
          <w:ilvl w:val="0"/>
          <w:numId w:val="27"/>
        </w:numPr>
        <w:spacing w:after="120" w:line="259" w:lineRule="auto"/>
        <w:ind w:left="709" w:hanging="425"/>
        <w:contextualSpacing w:val="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Mācību pakalpojumu jomā VAS, kas </w:t>
      </w:r>
      <w:r w:rsidRPr="00307028">
        <w:rPr>
          <w:rFonts w:eastAsiaTheme="minorHAnsi"/>
          <w:color w:val="000000"/>
          <w:kern w:val="2"/>
          <w:shd w:val="clear" w:color="auto" w:fill="FFFFFF"/>
          <w:lang w:eastAsia="en-US"/>
          <w14:ligatures w14:val="standardContextual"/>
        </w:rPr>
        <w:t>īsteno valsts politiku valsts pārvaldes profesionālās attīstības jomā, tirgus daļa, ir samērā neliela, taču tajā pašā laikā daudzas mācības tiek piedāvātas bez maksas vai par ES fondu līdzekļiem, līdz ar to neatspoguļojas resoru izdevumos. Tiek novērtētas ieviestās e-mācību programmas, kā arī VAS tiek aicināts palielināt bezmaksas mācību klāstu, kas aptver plašu valsts pārvaldē nodarbināto loku, kā arī organizēt regulāras resoru aptaujas, lai noskaidrotu tā brīža aktuālās mācību vajadzības valsts pārvaldē.</w:t>
      </w:r>
    </w:p>
    <w:p w14:paraId="11A1F404" w14:textId="77777777" w:rsidR="002D3A05" w:rsidRPr="00307028" w:rsidRDefault="002D3A05" w:rsidP="0008137A">
      <w:pPr>
        <w:spacing w:after="120"/>
        <w:rPr>
          <w:b/>
          <w:bCs/>
          <w:sz w:val="28"/>
          <w:szCs w:val="28"/>
        </w:rPr>
      </w:pPr>
    </w:p>
    <w:p w14:paraId="3C116FCF" w14:textId="2FE42552" w:rsidR="00153CC3" w:rsidRPr="00307028" w:rsidRDefault="0008137A" w:rsidP="0095544A">
      <w:pPr>
        <w:pStyle w:val="Heading5"/>
      </w:pPr>
      <w:r w:rsidRPr="00307028">
        <w:t xml:space="preserve">2.4.4. </w:t>
      </w:r>
      <w:r w:rsidR="00153CC3" w:rsidRPr="00307028">
        <w:t>Valsts un pašvaldību iestāžu tīmekļvietņu vienotās platformas uzturēšanas izmaksu segšana</w:t>
      </w:r>
    </w:p>
    <w:p w14:paraId="470566FF" w14:textId="0D6C4F13" w:rsidR="001F4D57" w:rsidRPr="00307028" w:rsidRDefault="001F4D57" w:rsidP="001F4D57">
      <w:pPr>
        <w:spacing w:after="120" w:line="259" w:lineRule="auto"/>
        <w:jc w:val="both"/>
        <w:rPr>
          <w:rFonts w:eastAsiaTheme="minorHAnsi"/>
          <w:lang w:eastAsia="en-US"/>
        </w:rPr>
      </w:pPr>
      <w:r w:rsidRPr="00307028">
        <w:rPr>
          <w:rFonts w:eastAsiaTheme="minorHAnsi"/>
          <w:lang w:eastAsia="en-US"/>
        </w:rPr>
        <w:tab/>
        <w:t xml:space="preserve">VK ir īstenojusi ES līdzfinansēto projektu “Valsts un pašvaldību iestāžu tīmekļvietņu vienotā platforma”, kura ietvaros izveidota valsts un pašvaldību iestāžu tīmekļvietņu vienotā platforma, kuras uzturēšanas izmaksas 2024. gadā un turpmākajos gados kopumā veido 210 000 </w:t>
      </w:r>
      <w:r w:rsidRPr="00307028">
        <w:rPr>
          <w:rFonts w:eastAsiaTheme="minorHAnsi"/>
          <w:i/>
          <w:iCs/>
          <w:lang w:eastAsia="en-US"/>
        </w:rPr>
        <w:t>euro</w:t>
      </w:r>
      <w:r w:rsidRPr="00307028">
        <w:rPr>
          <w:rFonts w:eastAsiaTheme="minorHAnsi"/>
          <w:lang w:eastAsia="en-US"/>
        </w:rPr>
        <w:t>.</w:t>
      </w:r>
    </w:p>
    <w:p w14:paraId="354D2CDD" w14:textId="5E536414" w:rsidR="001F4D57" w:rsidRPr="00307028" w:rsidRDefault="001F4D57" w:rsidP="001F4D57">
      <w:pPr>
        <w:spacing w:after="120" w:line="259" w:lineRule="auto"/>
        <w:jc w:val="both"/>
        <w:rPr>
          <w:rFonts w:eastAsiaTheme="minorHAnsi"/>
          <w:lang w:eastAsia="en-US"/>
        </w:rPr>
      </w:pPr>
      <w:r w:rsidRPr="00307028">
        <w:rPr>
          <w:rFonts w:eastAsiaTheme="minorHAnsi"/>
          <w:lang w:eastAsia="en-US"/>
        </w:rPr>
        <w:tab/>
        <w:t>Pamatojoties uz 2017. gada 31. augusta rīkojuma Nr.</w:t>
      </w:r>
      <w:r w:rsidR="008D6A22" w:rsidRPr="00307028">
        <w:rPr>
          <w:rFonts w:eastAsiaTheme="minorHAnsi"/>
          <w:lang w:eastAsia="en-US"/>
        </w:rPr>
        <w:t xml:space="preserve"> </w:t>
      </w:r>
      <w:r w:rsidRPr="00307028">
        <w:rPr>
          <w:rFonts w:eastAsiaTheme="minorHAnsi"/>
          <w:lang w:eastAsia="en-US"/>
        </w:rPr>
        <w:t>470 “Par informācijas sabiedrības attīstības pamatnostādņu ieviešanu publiskās pārvaldes informācijas sistēmu jomā (mērķarhitektūras 31.0. versija)” 5.</w:t>
      </w:r>
      <w:r w:rsidR="008D6A22" w:rsidRPr="00307028">
        <w:rPr>
          <w:rFonts w:eastAsiaTheme="minorHAnsi"/>
          <w:lang w:eastAsia="en-US"/>
        </w:rPr>
        <w:t xml:space="preserve"> </w:t>
      </w:r>
      <w:r w:rsidRPr="00307028">
        <w:rPr>
          <w:rFonts w:eastAsiaTheme="minorHAnsi"/>
          <w:lang w:eastAsia="en-US"/>
        </w:rPr>
        <w:t>punktu</w:t>
      </w:r>
      <w:r w:rsidR="008D6A22" w:rsidRPr="00307028">
        <w:rPr>
          <w:rFonts w:eastAsiaTheme="minorHAnsi"/>
          <w:lang w:eastAsia="en-US"/>
        </w:rPr>
        <w:t>,</w:t>
      </w:r>
      <w:r w:rsidRPr="00307028">
        <w:rPr>
          <w:rFonts w:eastAsiaTheme="minorHAnsi"/>
          <w:lang w:eastAsia="en-US"/>
        </w:rPr>
        <w:t xml:space="preserve"> VK valsts budžeta izdevumu pārskatīšanas procesa ietvaros jāsagatavo </w:t>
      </w:r>
      <w:r w:rsidR="00252540" w:rsidRPr="00307028">
        <w:rPr>
          <w:rFonts w:eastAsiaTheme="minorHAnsi"/>
          <w:lang w:eastAsia="en-US"/>
        </w:rPr>
        <w:t xml:space="preserve">un jāiesniedz FM saskaņoti priekšlikumi </w:t>
      </w:r>
      <w:r w:rsidRPr="00307028">
        <w:rPr>
          <w:rFonts w:eastAsiaTheme="minorHAnsi"/>
          <w:lang w:eastAsia="en-US"/>
        </w:rPr>
        <w:t xml:space="preserve">par iespējām </w:t>
      </w:r>
      <w:r w:rsidR="00252540" w:rsidRPr="00307028">
        <w:rPr>
          <w:rFonts w:eastAsiaTheme="minorHAnsi"/>
          <w:lang w:eastAsia="en-US"/>
        </w:rPr>
        <w:t xml:space="preserve">sistēmas </w:t>
      </w:r>
      <w:r w:rsidRPr="00307028">
        <w:rPr>
          <w:rFonts w:eastAsiaTheme="minorHAnsi"/>
          <w:lang w:eastAsia="en-US"/>
        </w:rPr>
        <w:t>uzturēšanas izdevumus segt no ietaupītā finansējuma tajās valsts budžeta iestādēs, kas faktiski pievienojušās valsts un pašvaldību iestāžu tīmekļvietņu vienotajai platformai.</w:t>
      </w:r>
    </w:p>
    <w:p w14:paraId="6CBEE729" w14:textId="15575AFF" w:rsidR="001F4D57" w:rsidRPr="00307028" w:rsidRDefault="00252540" w:rsidP="00252540">
      <w:pPr>
        <w:spacing w:after="120" w:line="259" w:lineRule="auto"/>
        <w:jc w:val="both"/>
        <w:rPr>
          <w:rFonts w:eastAsiaTheme="minorHAnsi"/>
          <w:lang w:eastAsia="en-US"/>
        </w:rPr>
      </w:pPr>
      <w:r w:rsidRPr="00307028">
        <w:rPr>
          <w:rFonts w:eastAsiaTheme="minorHAnsi"/>
          <w:lang w:eastAsia="en-US"/>
        </w:rPr>
        <w:lastRenderedPageBreak/>
        <w:tab/>
      </w:r>
      <w:r w:rsidR="001D5AEE" w:rsidRPr="00307028">
        <w:rPr>
          <w:rFonts w:eastAsiaTheme="minorHAnsi"/>
          <w:lang w:eastAsia="en-US"/>
        </w:rPr>
        <w:t>2023. gada 27. aprīļa v</w:t>
      </w:r>
      <w:r w:rsidR="001F4D57" w:rsidRPr="00307028">
        <w:rPr>
          <w:rFonts w:eastAsiaTheme="minorHAnsi"/>
          <w:lang w:eastAsia="en-US"/>
        </w:rPr>
        <w:t>alsts sekretāru sanāksmē</w:t>
      </w:r>
      <w:r w:rsidR="007D4D60" w:rsidRPr="00307028">
        <w:rPr>
          <w:rStyle w:val="FootnoteReference"/>
          <w:rFonts w:eastAsiaTheme="minorHAnsi"/>
          <w:lang w:eastAsia="en-US"/>
        </w:rPr>
        <w:footnoteReference w:id="33"/>
      </w:r>
      <w:r w:rsidR="007D4D60" w:rsidRPr="00307028">
        <w:rPr>
          <w:rFonts w:eastAsiaTheme="minorHAnsi"/>
          <w:lang w:eastAsia="en-US"/>
        </w:rPr>
        <w:t xml:space="preserve"> V</w:t>
      </w:r>
      <w:r w:rsidR="001F4D57" w:rsidRPr="00307028">
        <w:rPr>
          <w:rFonts w:eastAsiaTheme="minorHAnsi"/>
          <w:lang w:eastAsia="en-US"/>
        </w:rPr>
        <w:t xml:space="preserve">alsts un pašvaldību iestāžu tīmekļvietņu vienotās platformas uzturēšanas izmaksas </w:t>
      </w:r>
      <w:r w:rsidR="007D4D60" w:rsidRPr="00307028">
        <w:rPr>
          <w:rFonts w:eastAsiaTheme="minorHAnsi"/>
          <w:lang w:eastAsia="en-US"/>
        </w:rPr>
        <w:t>vienas iestādes vienai tīmekļvietnei tika</w:t>
      </w:r>
      <w:r w:rsidR="001F4D57" w:rsidRPr="00307028">
        <w:rPr>
          <w:rFonts w:eastAsiaTheme="minorHAnsi"/>
          <w:lang w:eastAsia="en-US"/>
        </w:rPr>
        <w:t xml:space="preserve"> noteiktas 1</w:t>
      </w:r>
      <w:r w:rsidR="00035BCE" w:rsidRPr="00307028">
        <w:rPr>
          <w:rFonts w:eastAsiaTheme="minorHAnsi"/>
          <w:lang w:eastAsia="en-US"/>
        </w:rPr>
        <w:t xml:space="preserve"> </w:t>
      </w:r>
      <w:r w:rsidR="001F4D57" w:rsidRPr="00307028">
        <w:rPr>
          <w:rFonts w:eastAsiaTheme="minorHAnsi"/>
          <w:lang w:eastAsia="en-US"/>
        </w:rPr>
        <w:t xml:space="preserve">750 </w:t>
      </w:r>
      <w:r w:rsidR="001F4D57" w:rsidRPr="00307028">
        <w:rPr>
          <w:rFonts w:eastAsiaTheme="minorHAnsi"/>
          <w:i/>
          <w:iCs/>
          <w:lang w:eastAsia="en-US"/>
        </w:rPr>
        <w:t>euro</w:t>
      </w:r>
      <w:r w:rsidR="001F4D57" w:rsidRPr="00307028">
        <w:rPr>
          <w:rFonts w:eastAsiaTheme="minorHAnsi"/>
          <w:lang w:eastAsia="en-US"/>
        </w:rPr>
        <w:t xml:space="preserve"> </w:t>
      </w:r>
      <w:r w:rsidR="007D4D60" w:rsidRPr="00307028">
        <w:rPr>
          <w:rFonts w:eastAsiaTheme="minorHAnsi"/>
          <w:lang w:eastAsia="en-US"/>
        </w:rPr>
        <w:t>gadā.</w:t>
      </w:r>
      <w:r w:rsidR="001F4D57" w:rsidRPr="00307028">
        <w:rPr>
          <w:rFonts w:eastAsiaTheme="minorHAnsi"/>
          <w:lang w:eastAsia="en-US"/>
        </w:rPr>
        <w:t xml:space="preserve"> </w:t>
      </w:r>
    </w:p>
    <w:p w14:paraId="72B6F7AB" w14:textId="6BC05F23" w:rsidR="001F4D57" w:rsidRPr="00307028" w:rsidRDefault="007D4D60" w:rsidP="007D4D60">
      <w:pPr>
        <w:spacing w:after="120" w:line="259" w:lineRule="auto"/>
        <w:jc w:val="both"/>
        <w:rPr>
          <w:rFonts w:eastAsiaTheme="minorHAnsi"/>
          <w:lang w:eastAsia="en-US"/>
        </w:rPr>
      </w:pPr>
      <w:r w:rsidRPr="00307028">
        <w:rPr>
          <w:rFonts w:eastAsiaTheme="minorHAnsi"/>
          <w:lang w:eastAsia="en-US"/>
        </w:rPr>
        <w:tab/>
      </w:r>
      <w:r w:rsidR="001F4D57" w:rsidRPr="00307028">
        <w:rPr>
          <w:rFonts w:eastAsiaTheme="minorHAnsi"/>
          <w:lang w:eastAsia="en-US"/>
        </w:rPr>
        <w:t xml:space="preserve">Ņemot vērā minēto, lai nodrošinātu Valsts un pašvaldību iestāžu tīmekļvietņu vienotās platformas izmaksu segšanu, </w:t>
      </w:r>
      <w:r w:rsidRPr="00307028">
        <w:rPr>
          <w:rFonts w:eastAsiaTheme="minorHAnsi"/>
          <w:lang w:eastAsia="en-US"/>
        </w:rPr>
        <w:t>VK</w:t>
      </w:r>
      <w:r w:rsidR="001F4D57" w:rsidRPr="00307028">
        <w:rPr>
          <w:rFonts w:eastAsiaTheme="minorHAnsi"/>
          <w:lang w:eastAsia="en-US"/>
        </w:rPr>
        <w:t xml:space="preserve"> sagatavojusi priekšlikumu samazināt ministrijām un citām centrālajām iestādēm plānoto finansējumu 2024.</w:t>
      </w:r>
      <w:r w:rsidRPr="00307028">
        <w:rPr>
          <w:rFonts w:eastAsiaTheme="minorHAnsi"/>
          <w:lang w:eastAsia="en-US"/>
        </w:rPr>
        <w:t xml:space="preserve"> </w:t>
      </w:r>
      <w:r w:rsidR="001F4D57" w:rsidRPr="00307028">
        <w:rPr>
          <w:rFonts w:eastAsiaTheme="minorHAnsi"/>
          <w:lang w:eastAsia="en-US"/>
        </w:rPr>
        <w:t>gadam un turpmākajiem gadiem 159</w:t>
      </w:r>
      <w:r w:rsidR="00EE2D2F" w:rsidRPr="00307028">
        <w:rPr>
          <w:rFonts w:eastAsiaTheme="minorHAnsi"/>
          <w:lang w:eastAsia="en-US"/>
        </w:rPr>
        <w:t xml:space="preserve"> </w:t>
      </w:r>
      <w:r w:rsidR="001F4D57" w:rsidRPr="00307028">
        <w:rPr>
          <w:rFonts w:eastAsiaTheme="minorHAnsi"/>
          <w:lang w:eastAsia="en-US"/>
        </w:rPr>
        <w:t xml:space="preserve">250 </w:t>
      </w:r>
      <w:r w:rsidR="001F4D57" w:rsidRPr="00307028">
        <w:rPr>
          <w:rFonts w:eastAsiaTheme="minorHAnsi"/>
          <w:i/>
          <w:iCs/>
          <w:lang w:eastAsia="en-US"/>
        </w:rPr>
        <w:t>euro</w:t>
      </w:r>
      <w:r w:rsidR="001F4D57" w:rsidRPr="00307028">
        <w:rPr>
          <w:rFonts w:eastAsiaTheme="minorHAnsi"/>
          <w:lang w:eastAsia="en-US"/>
        </w:rPr>
        <w:t xml:space="preserve"> apmērā ik gadu.</w:t>
      </w:r>
    </w:p>
    <w:p w14:paraId="268C4B16" w14:textId="15363AA4" w:rsidR="007D4D60" w:rsidRPr="00307028" w:rsidRDefault="007D4D60" w:rsidP="007D4D60">
      <w:pPr>
        <w:spacing w:after="160" w:line="259" w:lineRule="auto"/>
        <w:contextualSpacing/>
        <w:jc w:val="center"/>
        <w:rPr>
          <w:rFonts w:eastAsiaTheme="minorHAnsi"/>
          <w:b/>
          <w:i/>
          <w:iCs/>
          <w:sz w:val="22"/>
          <w:szCs w:val="22"/>
          <w:lang w:eastAsia="en-US"/>
        </w:rPr>
      </w:pPr>
      <w:r w:rsidRPr="00307028">
        <w:rPr>
          <w:rFonts w:eastAsiaTheme="minorHAnsi"/>
          <w:b/>
          <w:i/>
          <w:iCs/>
          <w:sz w:val="22"/>
          <w:szCs w:val="22"/>
          <w:lang w:eastAsia="en-US"/>
        </w:rPr>
        <w:t>2.4.4.1. tabula</w:t>
      </w:r>
      <w:r w:rsidR="00EE2D2F" w:rsidRPr="00307028">
        <w:rPr>
          <w:rFonts w:eastAsiaTheme="minorHAnsi"/>
          <w:b/>
          <w:i/>
          <w:iCs/>
          <w:sz w:val="22"/>
          <w:szCs w:val="22"/>
          <w:lang w:eastAsia="en-US"/>
        </w:rPr>
        <w:t xml:space="preserve"> </w:t>
      </w:r>
      <w:r w:rsidRPr="00307028">
        <w:rPr>
          <w:rFonts w:eastAsiaTheme="minorHAnsi"/>
          <w:b/>
          <w:sz w:val="22"/>
          <w:szCs w:val="22"/>
          <w:lang w:eastAsia="en-US"/>
        </w:rPr>
        <w:t>Valsts budžeta iestādēm samazināmais finansējuma apmērs 2024. gadam un turpmākajiem gadiem</w:t>
      </w:r>
      <w:r w:rsidR="00145AB8" w:rsidRPr="00307028">
        <w:rPr>
          <w:rStyle w:val="FootnoteReference"/>
          <w:rFonts w:eastAsiaTheme="minorHAnsi"/>
          <w:b/>
          <w:sz w:val="22"/>
          <w:szCs w:val="22"/>
          <w:lang w:eastAsia="en-US"/>
        </w:rPr>
        <w:footnoteReference w:id="34"/>
      </w:r>
    </w:p>
    <w:tbl>
      <w:tblPr>
        <w:tblW w:w="6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3392"/>
      </w:tblGrid>
      <w:tr w:rsidR="001F4D57" w:rsidRPr="00307028" w14:paraId="57A5D9C7" w14:textId="77777777" w:rsidTr="0095544A">
        <w:trPr>
          <w:trHeight w:val="431"/>
          <w:tblHeader/>
          <w:jc w:val="center"/>
        </w:trPr>
        <w:tc>
          <w:tcPr>
            <w:tcW w:w="2986" w:type="dxa"/>
            <w:shd w:val="clear" w:color="auto" w:fill="85C2E0"/>
            <w:noWrap/>
            <w:vAlign w:val="center"/>
            <w:hideMark/>
          </w:tcPr>
          <w:p w14:paraId="2071AD18" w14:textId="77777777" w:rsidR="001F4D57" w:rsidRPr="0095544A" w:rsidRDefault="001F4D57" w:rsidP="008405EB">
            <w:pPr>
              <w:jc w:val="center"/>
              <w:rPr>
                <w:rFonts w:eastAsia="Times New Roman"/>
                <w:b/>
                <w:bCs/>
                <w:sz w:val="22"/>
                <w:szCs w:val="22"/>
                <w:lang w:eastAsia="en-US"/>
              </w:rPr>
            </w:pPr>
            <w:r w:rsidRPr="0095544A">
              <w:rPr>
                <w:rFonts w:eastAsia="Times New Roman"/>
                <w:b/>
                <w:bCs/>
                <w:sz w:val="22"/>
                <w:szCs w:val="22"/>
                <w:lang w:eastAsia="en-US"/>
              </w:rPr>
              <w:t>Budžeta resors</w:t>
            </w:r>
          </w:p>
        </w:tc>
        <w:tc>
          <w:tcPr>
            <w:tcW w:w="3392" w:type="dxa"/>
            <w:shd w:val="clear" w:color="auto" w:fill="85C2E0"/>
            <w:vAlign w:val="center"/>
            <w:hideMark/>
          </w:tcPr>
          <w:p w14:paraId="440A3BD3" w14:textId="77777777" w:rsidR="001F4D57" w:rsidRPr="0095544A" w:rsidRDefault="001F4D57" w:rsidP="008405EB">
            <w:pPr>
              <w:jc w:val="center"/>
              <w:rPr>
                <w:rFonts w:eastAsia="Times New Roman"/>
                <w:b/>
                <w:bCs/>
                <w:sz w:val="22"/>
                <w:szCs w:val="22"/>
                <w:lang w:eastAsia="en-US"/>
              </w:rPr>
            </w:pPr>
            <w:r w:rsidRPr="0095544A">
              <w:rPr>
                <w:rFonts w:eastAsia="Times New Roman"/>
                <w:b/>
                <w:bCs/>
                <w:sz w:val="22"/>
                <w:szCs w:val="22"/>
                <w:lang w:eastAsia="en-US"/>
              </w:rPr>
              <w:t>Samazināmais finansējuma apmērs, EUR</w:t>
            </w:r>
          </w:p>
        </w:tc>
      </w:tr>
      <w:tr w:rsidR="001F4D57" w:rsidRPr="00307028" w14:paraId="0291DBF5" w14:textId="77777777" w:rsidTr="0095544A">
        <w:trPr>
          <w:trHeight w:val="60"/>
          <w:jc w:val="center"/>
        </w:trPr>
        <w:tc>
          <w:tcPr>
            <w:tcW w:w="2986" w:type="dxa"/>
            <w:shd w:val="clear" w:color="auto" w:fill="auto"/>
            <w:vAlign w:val="center"/>
            <w:hideMark/>
          </w:tcPr>
          <w:p w14:paraId="10A0961D" w14:textId="5EAA9288"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VPK</w:t>
            </w:r>
          </w:p>
        </w:tc>
        <w:tc>
          <w:tcPr>
            <w:tcW w:w="3392" w:type="dxa"/>
            <w:shd w:val="clear" w:color="auto" w:fill="auto"/>
            <w:noWrap/>
            <w:vAlign w:val="bottom"/>
            <w:hideMark/>
          </w:tcPr>
          <w:p w14:paraId="7BABA2CF"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2604282E" w14:textId="77777777" w:rsidTr="0095544A">
        <w:trPr>
          <w:trHeight w:val="68"/>
          <w:jc w:val="center"/>
        </w:trPr>
        <w:tc>
          <w:tcPr>
            <w:tcW w:w="2986" w:type="dxa"/>
            <w:shd w:val="clear" w:color="auto" w:fill="auto"/>
            <w:vAlign w:val="center"/>
            <w:hideMark/>
          </w:tcPr>
          <w:p w14:paraId="30B00A1D" w14:textId="0900B496"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MK</w:t>
            </w:r>
          </w:p>
        </w:tc>
        <w:tc>
          <w:tcPr>
            <w:tcW w:w="3392" w:type="dxa"/>
            <w:shd w:val="clear" w:color="auto" w:fill="auto"/>
            <w:noWrap/>
            <w:vAlign w:val="bottom"/>
            <w:hideMark/>
          </w:tcPr>
          <w:p w14:paraId="6C80D8A5"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3 500</w:t>
            </w:r>
          </w:p>
        </w:tc>
      </w:tr>
      <w:tr w:rsidR="001F4D57" w:rsidRPr="00307028" w14:paraId="11D54724" w14:textId="77777777" w:rsidTr="0095544A">
        <w:trPr>
          <w:trHeight w:val="60"/>
          <w:jc w:val="center"/>
        </w:trPr>
        <w:tc>
          <w:tcPr>
            <w:tcW w:w="2986" w:type="dxa"/>
            <w:shd w:val="clear" w:color="auto" w:fill="auto"/>
            <w:vAlign w:val="center"/>
            <w:hideMark/>
          </w:tcPr>
          <w:p w14:paraId="08863878" w14:textId="3501D87A"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KNAB</w:t>
            </w:r>
          </w:p>
        </w:tc>
        <w:tc>
          <w:tcPr>
            <w:tcW w:w="3392" w:type="dxa"/>
            <w:shd w:val="clear" w:color="auto" w:fill="auto"/>
            <w:noWrap/>
            <w:vAlign w:val="bottom"/>
            <w:hideMark/>
          </w:tcPr>
          <w:p w14:paraId="2030F936"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7337AF20" w14:textId="77777777" w:rsidTr="0095544A">
        <w:trPr>
          <w:trHeight w:val="60"/>
          <w:jc w:val="center"/>
        </w:trPr>
        <w:tc>
          <w:tcPr>
            <w:tcW w:w="2986" w:type="dxa"/>
            <w:shd w:val="clear" w:color="auto" w:fill="auto"/>
            <w:vAlign w:val="center"/>
            <w:hideMark/>
          </w:tcPr>
          <w:p w14:paraId="3E16DE3C" w14:textId="5B926C7D"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SIF</w:t>
            </w:r>
          </w:p>
        </w:tc>
        <w:tc>
          <w:tcPr>
            <w:tcW w:w="3392" w:type="dxa"/>
            <w:shd w:val="clear" w:color="auto" w:fill="auto"/>
            <w:noWrap/>
            <w:vAlign w:val="bottom"/>
            <w:hideMark/>
          </w:tcPr>
          <w:p w14:paraId="0E587971"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4BD338FB" w14:textId="77777777" w:rsidTr="0095544A">
        <w:trPr>
          <w:trHeight w:val="60"/>
          <w:jc w:val="center"/>
        </w:trPr>
        <w:tc>
          <w:tcPr>
            <w:tcW w:w="2986" w:type="dxa"/>
            <w:shd w:val="clear" w:color="auto" w:fill="auto"/>
            <w:vAlign w:val="center"/>
            <w:hideMark/>
          </w:tcPr>
          <w:p w14:paraId="3A465EFA" w14:textId="773F0F15"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ĀM</w:t>
            </w:r>
          </w:p>
        </w:tc>
        <w:tc>
          <w:tcPr>
            <w:tcW w:w="3392" w:type="dxa"/>
            <w:shd w:val="clear" w:color="auto" w:fill="auto"/>
            <w:noWrap/>
            <w:vAlign w:val="bottom"/>
            <w:hideMark/>
          </w:tcPr>
          <w:p w14:paraId="38B67C81"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5DAACC74" w14:textId="77777777" w:rsidTr="0095544A">
        <w:trPr>
          <w:trHeight w:val="96"/>
          <w:jc w:val="center"/>
        </w:trPr>
        <w:tc>
          <w:tcPr>
            <w:tcW w:w="2986" w:type="dxa"/>
            <w:shd w:val="clear" w:color="auto" w:fill="auto"/>
            <w:vAlign w:val="center"/>
            <w:hideMark/>
          </w:tcPr>
          <w:p w14:paraId="013DC00B" w14:textId="41933CF1"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EM</w:t>
            </w:r>
          </w:p>
        </w:tc>
        <w:tc>
          <w:tcPr>
            <w:tcW w:w="3392" w:type="dxa"/>
            <w:shd w:val="clear" w:color="auto" w:fill="auto"/>
            <w:noWrap/>
            <w:vAlign w:val="bottom"/>
            <w:hideMark/>
          </w:tcPr>
          <w:p w14:paraId="38FD04B8" w14:textId="7B7D4BFD"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10</w:t>
            </w:r>
            <w:r w:rsidR="007D4D60" w:rsidRPr="0095544A">
              <w:rPr>
                <w:rFonts w:eastAsia="Times New Roman"/>
                <w:sz w:val="20"/>
                <w:szCs w:val="20"/>
                <w:lang w:eastAsia="en-US"/>
              </w:rPr>
              <w:t xml:space="preserve"> </w:t>
            </w:r>
            <w:r w:rsidRPr="0095544A">
              <w:rPr>
                <w:rFonts w:eastAsia="Times New Roman"/>
                <w:sz w:val="20"/>
                <w:szCs w:val="20"/>
                <w:lang w:eastAsia="en-US"/>
              </w:rPr>
              <w:t>500</w:t>
            </w:r>
          </w:p>
        </w:tc>
      </w:tr>
      <w:tr w:rsidR="001F4D57" w:rsidRPr="00307028" w14:paraId="7BE2098A" w14:textId="77777777" w:rsidTr="0095544A">
        <w:trPr>
          <w:trHeight w:val="141"/>
          <w:jc w:val="center"/>
        </w:trPr>
        <w:tc>
          <w:tcPr>
            <w:tcW w:w="2986" w:type="dxa"/>
            <w:shd w:val="clear" w:color="auto" w:fill="auto"/>
            <w:vAlign w:val="center"/>
            <w:hideMark/>
          </w:tcPr>
          <w:p w14:paraId="7C7259A0" w14:textId="119CDDB4"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FM</w:t>
            </w:r>
          </w:p>
        </w:tc>
        <w:tc>
          <w:tcPr>
            <w:tcW w:w="3392" w:type="dxa"/>
            <w:shd w:val="clear" w:color="auto" w:fill="auto"/>
            <w:noWrap/>
            <w:vAlign w:val="bottom"/>
            <w:hideMark/>
          </w:tcPr>
          <w:p w14:paraId="49E54703" w14:textId="10D924EB"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10</w:t>
            </w:r>
            <w:r w:rsidR="007D4D60" w:rsidRPr="0095544A">
              <w:rPr>
                <w:rFonts w:eastAsia="Times New Roman"/>
                <w:sz w:val="20"/>
                <w:szCs w:val="20"/>
                <w:lang w:eastAsia="en-US"/>
              </w:rPr>
              <w:t xml:space="preserve"> </w:t>
            </w:r>
            <w:r w:rsidRPr="0095544A">
              <w:rPr>
                <w:rFonts w:eastAsia="Times New Roman"/>
                <w:sz w:val="20"/>
                <w:szCs w:val="20"/>
                <w:lang w:eastAsia="en-US"/>
              </w:rPr>
              <w:t>500</w:t>
            </w:r>
          </w:p>
        </w:tc>
      </w:tr>
      <w:tr w:rsidR="001F4D57" w:rsidRPr="00307028" w14:paraId="4C3D3C0F" w14:textId="77777777" w:rsidTr="0095544A">
        <w:trPr>
          <w:trHeight w:val="188"/>
          <w:jc w:val="center"/>
        </w:trPr>
        <w:tc>
          <w:tcPr>
            <w:tcW w:w="2986" w:type="dxa"/>
            <w:shd w:val="clear" w:color="auto" w:fill="auto"/>
            <w:vAlign w:val="center"/>
            <w:hideMark/>
          </w:tcPr>
          <w:p w14:paraId="2994EFF7" w14:textId="3EA3E35D"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IeM</w:t>
            </w:r>
          </w:p>
        </w:tc>
        <w:tc>
          <w:tcPr>
            <w:tcW w:w="3392" w:type="dxa"/>
            <w:shd w:val="clear" w:color="auto" w:fill="auto"/>
            <w:noWrap/>
            <w:vAlign w:val="bottom"/>
            <w:hideMark/>
          </w:tcPr>
          <w:p w14:paraId="51C6A1E2" w14:textId="756A1685"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22</w:t>
            </w:r>
            <w:r w:rsidR="007D4D60" w:rsidRPr="0095544A">
              <w:rPr>
                <w:rFonts w:eastAsia="Times New Roman"/>
                <w:sz w:val="20"/>
                <w:szCs w:val="20"/>
                <w:lang w:eastAsia="en-US"/>
              </w:rPr>
              <w:t xml:space="preserve"> </w:t>
            </w:r>
            <w:r w:rsidRPr="0095544A">
              <w:rPr>
                <w:rFonts w:eastAsia="Times New Roman"/>
                <w:sz w:val="20"/>
                <w:szCs w:val="20"/>
                <w:lang w:eastAsia="en-US"/>
              </w:rPr>
              <w:t>750</w:t>
            </w:r>
          </w:p>
        </w:tc>
      </w:tr>
      <w:tr w:rsidR="001F4D57" w:rsidRPr="00307028" w14:paraId="4CB04F92" w14:textId="77777777" w:rsidTr="0095544A">
        <w:trPr>
          <w:trHeight w:val="78"/>
          <w:jc w:val="center"/>
        </w:trPr>
        <w:tc>
          <w:tcPr>
            <w:tcW w:w="2986" w:type="dxa"/>
            <w:shd w:val="clear" w:color="auto" w:fill="auto"/>
            <w:vAlign w:val="center"/>
            <w:hideMark/>
          </w:tcPr>
          <w:p w14:paraId="6435E6EF" w14:textId="7F716E32"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IZM</w:t>
            </w:r>
          </w:p>
        </w:tc>
        <w:tc>
          <w:tcPr>
            <w:tcW w:w="3392" w:type="dxa"/>
            <w:shd w:val="clear" w:color="auto" w:fill="auto"/>
            <w:noWrap/>
            <w:vAlign w:val="bottom"/>
            <w:hideMark/>
          </w:tcPr>
          <w:p w14:paraId="02E956B7" w14:textId="01EEF3A4"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8</w:t>
            </w:r>
            <w:r w:rsidR="007D4D60" w:rsidRPr="0095544A">
              <w:rPr>
                <w:rFonts w:eastAsia="Times New Roman"/>
                <w:sz w:val="20"/>
                <w:szCs w:val="20"/>
                <w:lang w:eastAsia="en-US"/>
              </w:rPr>
              <w:t xml:space="preserve"> </w:t>
            </w:r>
            <w:r w:rsidRPr="0095544A">
              <w:rPr>
                <w:rFonts w:eastAsia="Times New Roman"/>
                <w:sz w:val="20"/>
                <w:szCs w:val="20"/>
                <w:lang w:eastAsia="en-US"/>
              </w:rPr>
              <w:t>750</w:t>
            </w:r>
          </w:p>
        </w:tc>
      </w:tr>
      <w:tr w:rsidR="001F4D57" w:rsidRPr="00307028" w14:paraId="162BCAC1" w14:textId="77777777" w:rsidTr="0095544A">
        <w:trPr>
          <w:trHeight w:val="124"/>
          <w:jc w:val="center"/>
        </w:trPr>
        <w:tc>
          <w:tcPr>
            <w:tcW w:w="2986" w:type="dxa"/>
            <w:shd w:val="clear" w:color="auto" w:fill="auto"/>
            <w:vAlign w:val="center"/>
            <w:hideMark/>
          </w:tcPr>
          <w:p w14:paraId="22E96A83" w14:textId="385C7092"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ZM</w:t>
            </w:r>
          </w:p>
        </w:tc>
        <w:tc>
          <w:tcPr>
            <w:tcW w:w="3392" w:type="dxa"/>
            <w:shd w:val="clear" w:color="auto" w:fill="auto"/>
            <w:noWrap/>
            <w:vAlign w:val="bottom"/>
            <w:hideMark/>
          </w:tcPr>
          <w:p w14:paraId="6FA7DF3B" w14:textId="47058FDA"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15</w:t>
            </w:r>
            <w:r w:rsidR="007D4D60" w:rsidRPr="0095544A">
              <w:rPr>
                <w:rFonts w:eastAsia="Times New Roman"/>
                <w:sz w:val="20"/>
                <w:szCs w:val="20"/>
                <w:lang w:eastAsia="en-US"/>
              </w:rPr>
              <w:t xml:space="preserve"> </w:t>
            </w:r>
            <w:r w:rsidRPr="0095544A">
              <w:rPr>
                <w:rFonts w:eastAsia="Times New Roman"/>
                <w:sz w:val="20"/>
                <w:szCs w:val="20"/>
                <w:lang w:eastAsia="en-US"/>
              </w:rPr>
              <w:t>750</w:t>
            </w:r>
          </w:p>
        </w:tc>
      </w:tr>
      <w:tr w:rsidR="001F4D57" w:rsidRPr="00307028" w14:paraId="1344D7B1" w14:textId="77777777" w:rsidTr="0095544A">
        <w:trPr>
          <w:trHeight w:val="170"/>
          <w:jc w:val="center"/>
        </w:trPr>
        <w:tc>
          <w:tcPr>
            <w:tcW w:w="2986" w:type="dxa"/>
            <w:shd w:val="clear" w:color="auto" w:fill="auto"/>
            <w:vAlign w:val="center"/>
            <w:hideMark/>
          </w:tcPr>
          <w:p w14:paraId="290E0C61" w14:textId="1147B1D5"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SM</w:t>
            </w:r>
          </w:p>
        </w:tc>
        <w:tc>
          <w:tcPr>
            <w:tcW w:w="3392" w:type="dxa"/>
            <w:shd w:val="clear" w:color="auto" w:fill="auto"/>
            <w:noWrap/>
            <w:vAlign w:val="bottom"/>
            <w:hideMark/>
          </w:tcPr>
          <w:p w14:paraId="1AFDBCE8"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4DA5F453" w14:textId="77777777" w:rsidTr="0095544A">
        <w:trPr>
          <w:trHeight w:val="73"/>
          <w:jc w:val="center"/>
        </w:trPr>
        <w:tc>
          <w:tcPr>
            <w:tcW w:w="2986" w:type="dxa"/>
            <w:shd w:val="clear" w:color="auto" w:fill="auto"/>
            <w:vAlign w:val="center"/>
            <w:hideMark/>
          </w:tcPr>
          <w:p w14:paraId="531358BF" w14:textId="0BB71F9A"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LM</w:t>
            </w:r>
          </w:p>
        </w:tc>
        <w:tc>
          <w:tcPr>
            <w:tcW w:w="3392" w:type="dxa"/>
            <w:shd w:val="clear" w:color="auto" w:fill="auto"/>
            <w:noWrap/>
            <w:vAlign w:val="bottom"/>
            <w:hideMark/>
          </w:tcPr>
          <w:p w14:paraId="2840811D" w14:textId="3B6C7DA8"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19</w:t>
            </w:r>
            <w:r w:rsidR="007D4D60" w:rsidRPr="0095544A">
              <w:rPr>
                <w:rFonts w:eastAsia="Times New Roman"/>
                <w:sz w:val="20"/>
                <w:szCs w:val="20"/>
                <w:lang w:eastAsia="en-US"/>
              </w:rPr>
              <w:t xml:space="preserve"> </w:t>
            </w:r>
            <w:r w:rsidRPr="0095544A">
              <w:rPr>
                <w:rFonts w:eastAsia="Times New Roman"/>
                <w:sz w:val="20"/>
                <w:szCs w:val="20"/>
                <w:lang w:eastAsia="en-US"/>
              </w:rPr>
              <w:t>250</w:t>
            </w:r>
          </w:p>
        </w:tc>
      </w:tr>
      <w:tr w:rsidR="001F4D57" w:rsidRPr="00307028" w14:paraId="1BF16F47" w14:textId="77777777" w:rsidTr="0095544A">
        <w:trPr>
          <w:trHeight w:val="120"/>
          <w:jc w:val="center"/>
        </w:trPr>
        <w:tc>
          <w:tcPr>
            <w:tcW w:w="2986" w:type="dxa"/>
            <w:shd w:val="clear" w:color="auto" w:fill="auto"/>
            <w:vAlign w:val="center"/>
            <w:hideMark/>
          </w:tcPr>
          <w:p w14:paraId="729AF63B" w14:textId="73FDA32F"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TM</w:t>
            </w:r>
          </w:p>
        </w:tc>
        <w:tc>
          <w:tcPr>
            <w:tcW w:w="3392" w:type="dxa"/>
            <w:shd w:val="clear" w:color="auto" w:fill="auto"/>
            <w:noWrap/>
            <w:vAlign w:val="bottom"/>
            <w:hideMark/>
          </w:tcPr>
          <w:p w14:paraId="3DE52CB8" w14:textId="4C1D703F"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19</w:t>
            </w:r>
            <w:r w:rsidR="007D4D60" w:rsidRPr="0095544A">
              <w:rPr>
                <w:rFonts w:eastAsia="Times New Roman"/>
                <w:sz w:val="20"/>
                <w:szCs w:val="20"/>
                <w:lang w:eastAsia="en-US"/>
              </w:rPr>
              <w:t xml:space="preserve"> </w:t>
            </w:r>
            <w:r w:rsidRPr="0095544A">
              <w:rPr>
                <w:rFonts w:eastAsia="Times New Roman"/>
                <w:sz w:val="20"/>
                <w:szCs w:val="20"/>
                <w:lang w:eastAsia="en-US"/>
              </w:rPr>
              <w:t>250</w:t>
            </w:r>
          </w:p>
        </w:tc>
      </w:tr>
      <w:tr w:rsidR="001F4D57" w:rsidRPr="00307028" w14:paraId="1A2590DD" w14:textId="77777777" w:rsidTr="0095544A">
        <w:trPr>
          <w:trHeight w:val="166"/>
          <w:jc w:val="center"/>
        </w:trPr>
        <w:tc>
          <w:tcPr>
            <w:tcW w:w="2986" w:type="dxa"/>
            <w:shd w:val="clear" w:color="auto" w:fill="auto"/>
            <w:vAlign w:val="center"/>
            <w:hideMark/>
          </w:tcPr>
          <w:p w14:paraId="1846C7DE" w14:textId="73CF82B5"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KEM</w:t>
            </w:r>
          </w:p>
        </w:tc>
        <w:tc>
          <w:tcPr>
            <w:tcW w:w="3392" w:type="dxa"/>
            <w:shd w:val="clear" w:color="auto" w:fill="auto"/>
            <w:noWrap/>
            <w:vAlign w:val="bottom"/>
            <w:hideMark/>
          </w:tcPr>
          <w:p w14:paraId="6E6E57A7"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31817EEE" w14:textId="77777777" w:rsidTr="0095544A">
        <w:trPr>
          <w:trHeight w:val="198"/>
          <w:jc w:val="center"/>
        </w:trPr>
        <w:tc>
          <w:tcPr>
            <w:tcW w:w="2986" w:type="dxa"/>
            <w:shd w:val="clear" w:color="auto" w:fill="auto"/>
            <w:vAlign w:val="center"/>
            <w:hideMark/>
          </w:tcPr>
          <w:p w14:paraId="2E33370B" w14:textId="2195BD8A" w:rsidR="001F4D57" w:rsidRPr="0095544A" w:rsidRDefault="001240F8" w:rsidP="00CB57E7">
            <w:pPr>
              <w:jc w:val="center"/>
              <w:rPr>
                <w:rFonts w:eastAsia="Times New Roman"/>
                <w:sz w:val="20"/>
                <w:szCs w:val="20"/>
                <w:lang w:eastAsia="en-US"/>
              </w:rPr>
            </w:pPr>
            <w:r w:rsidRPr="0095544A">
              <w:rPr>
                <w:rFonts w:eastAsia="Times New Roman"/>
                <w:sz w:val="20"/>
                <w:szCs w:val="20"/>
                <w:lang w:eastAsia="en-US"/>
              </w:rPr>
              <w:t>VARAM</w:t>
            </w:r>
          </w:p>
        </w:tc>
        <w:tc>
          <w:tcPr>
            <w:tcW w:w="3392" w:type="dxa"/>
            <w:shd w:val="clear" w:color="auto" w:fill="auto"/>
            <w:noWrap/>
            <w:vAlign w:val="bottom"/>
            <w:hideMark/>
          </w:tcPr>
          <w:p w14:paraId="7DD362C8" w14:textId="2067EF0A"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8</w:t>
            </w:r>
            <w:r w:rsidR="007D4D60" w:rsidRPr="0095544A">
              <w:rPr>
                <w:rFonts w:eastAsia="Times New Roman"/>
                <w:sz w:val="20"/>
                <w:szCs w:val="20"/>
                <w:lang w:eastAsia="en-US"/>
              </w:rPr>
              <w:t xml:space="preserve"> </w:t>
            </w:r>
            <w:r w:rsidRPr="0095544A">
              <w:rPr>
                <w:rFonts w:eastAsia="Times New Roman"/>
                <w:sz w:val="20"/>
                <w:szCs w:val="20"/>
                <w:lang w:eastAsia="en-US"/>
              </w:rPr>
              <w:t>750</w:t>
            </w:r>
          </w:p>
        </w:tc>
      </w:tr>
      <w:tr w:rsidR="001F4D57" w:rsidRPr="00307028" w14:paraId="64C00DDA" w14:textId="77777777" w:rsidTr="0095544A">
        <w:trPr>
          <w:trHeight w:val="102"/>
          <w:jc w:val="center"/>
        </w:trPr>
        <w:tc>
          <w:tcPr>
            <w:tcW w:w="2986" w:type="dxa"/>
            <w:shd w:val="clear" w:color="auto" w:fill="auto"/>
            <w:vAlign w:val="center"/>
            <w:hideMark/>
          </w:tcPr>
          <w:p w14:paraId="4FEF3612" w14:textId="71E94096" w:rsidR="001F4D57" w:rsidRPr="0095544A" w:rsidRDefault="001240F8" w:rsidP="00CB57E7">
            <w:pPr>
              <w:jc w:val="center"/>
              <w:rPr>
                <w:rFonts w:eastAsia="Times New Roman"/>
                <w:sz w:val="20"/>
                <w:szCs w:val="20"/>
                <w:lang w:eastAsia="en-US"/>
              </w:rPr>
            </w:pPr>
            <w:r w:rsidRPr="0095544A">
              <w:rPr>
                <w:rFonts w:eastAsia="Times New Roman"/>
                <w:sz w:val="20"/>
                <w:szCs w:val="20"/>
                <w:lang w:eastAsia="en-US"/>
              </w:rPr>
              <w:t>KM</w:t>
            </w:r>
          </w:p>
        </w:tc>
        <w:tc>
          <w:tcPr>
            <w:tcW w:w="3392" w:type="dxa"/>
            <w:shd w:val="clear" w:color="auto" w:fill="auto"/>
            <w:noWrap/>
            <w:vAlign w:val="bottom"/>
            <w:hideMark/>
          </w:tcPr>
          <w:p w14:paraId="26FA2090" w14:textId="4E4A176B"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10</w:t>
            </w:r>
            <w:r w:rsidR="007D4D60" w:rsidRPr="0095544A">
              <w:rPr>
                <w:rFonts w:eastAsia="Times New Roman"/>
                <w:sz w:val="20"/>
                <w:szCs w:val="20"/>
                <w:lang w:eastAsia="en-US"/>
              </w:rPr>
              <w:t xml:space="preserve"> </w:t>
            </w:r>
            <w:r w:rsidRPr="0095544A">
              <w:rPr>
                <w:rFonts w:eastAsia="Times New Roman"/>
                <w:sz w:val="20"/>
                <w:szCs w:val="20"/>
                <w:lang w:eastAsia="en-US"/>
              </w:rPr>
              <w:t>500</w:t>
            </w:r>
          </w:p>
        </w:tc>
      </w:tr>
      <w:tr w:rsidR="001F4D57" w:rsidRPr="00307028" w14:paraId="49EFB98D" w14:textId="77777777" w:rsidTr="0095544A">
        <w:trPr>
          <w:trHeight w:val="147"/>
          <w:jc w:val="center"/>
        </w:trPr>
        <w:tc>
          <w:tcPr>
            <w:tcW w:w="2986" w:type="dxa"/>
            <w:shd w:val="clear" w:color="auto" w:fill="auto"/>
            <w:vAlign w:val="center"/>
            <w:hideMark/>
          </w:tcPr>
          <w:p w14:paraId="36E0405C" w14:textId="6C9973D6" w:rsidR="001F4D57" w:rsidRPr="0095544A" w:rsidRDefault="001240F8" w:rsidP="00CB57E7">
            <w:pPr>
              <w:jc w:val="center"/>
              <w:rPr>
                <w:rFonts w:eastAsia="Times New Roman"/>
                <w:sz w:val="20"/>
                <w:szCs w:val="20"/>
                <w:lang w:eastAsia="en-US"/>
              </w:rPr>
            </w:pPr>
            <w:r w:rsidRPr="0095544A">
              <w:rPr>
                <w:rFonts w:eastAsia="Times New Roman"/>
                <w:sz w:val="20"/>
                <w:szCs w:val="20"/>
                <w:lang w:eastAsia="en-US"/>
              </w:rPr>
              <w:t>VM</w:t>
            </w:r>
          </w:p>
        </w:tc>
        <w:tc>
          <w:tcPr>
            <w:tcW w:w="3392" w:type="dxa"/>
            <w:shd w:val="clear" w:color="auto" w:fill="auto"/>
            <w:noWrap/>
            <w:vAlign w:val="bottom"/>
            <w:hideMark/>
          </w:tcPr>
          <w:p w14:paraId="5411CCEE" w14:textId="0B7133F9"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14</w:t>
            </w:r>
            <w:r w:rsidR="007D4D60" w:rsidRPr="0095544A">
              <w:rPr>
                <w:rFonts w:eastAsia="Times New Roman"/>
                <w:sz w:val="20"/>
                <w:szCs w:val="20"/>
                <w:lang w:eastAsia="en-US"/>
              </w:rPr>
              <w:t xml:space="preserve"> </w:t>
            </w:r>
            <w:r w:rsidRPr="0095544A">
              <w:rPr>
                <w:rFonts w:eastAsia="Times New Roman"/>
                <w:sz w:val="20"/>
                <w:szCs w:val="20"/>
                <w:lang w:eastAsia="en-US"/>
              </w:rPr>
              <w:t>000</w:t>
            </w:r>
          </w:p>
        </w:tc>
      </w:tr>
      <w:tr w:rsidR="001F4D57" w:rsidRPr="00307028" w14:paraId="10041971" w14:textId="77777777" w:rsidTr="00CB57E7">
        <w:trPr>
          <w:trHeight w:val="76"/>
          <w:jc w:val="center"/>
        </w:trPr>
        <w:tc>
          <w:tcPr>
            <w:tcW w:w="2986" w:type="dxa"/>
            <w:shd w:val="clear" w:color="auto" w:fill="auto"/>
            <w:vAlign w:val="center"/>
            <w:hideMark/>
          </w:tcPr>
          <w:p w14:paraId="0CAE3011" w14:textId="7AF90072" w:rsidR="001F4D57" w:rsidRPr="0095544A" w:rsidRDefault="001240F8" w:rsidP="00CB57E7">
            <w:pPr>
              <w:jc w:val="center"/>
              <w:rPr>
                <w:rFonts w:eastAsia="Times New Roman"/>
                <w:sz w:val="20"/>
                <w:szCs w:val="20"/>
                <w:lang w:eastAsia="en-US"/>
              </w:rPr>
            </w:pPr>
            <w:r w:rsidRPr="0095544A">
              <w:rPr>
                <w:rFonts w:eastAsia="Times New Roman"/>
                <w:sz w:val="20"/>
                <w:szCs w:val="20"/>
                <w:lang w:eastAsia="en-US"/>
              </w:rPr>
              <w:t>CVK</w:t>
            </w:r>
          </w:p>
        </w:tc>
        <w:tc>
          <w:tcPr>
            <w:tcW w:w="3392" w:type="dxa"/>
            <w:shd w:val="clear" w:color="auto" w:fill="auto"/>
            <w:noWrap/>
            <w:vAlign w:val="bottom"/>
            <w:hideMark/>
          </w:tcPr>
          <w:p w14:paraId="1176A77D"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40CA33D1" w14:textId="77777777" w:rsidTr="0095544A">
        <w:trPr>
          <w:trHeight w:val="239"/>
          <w:jc w:val="center"/>
        </w:trPr>
        <w:tc>
          <w:tcPr>
            <w:tcW w:w="2986" w:type="dxa"/>
            <w:shd w:val="clear" w:color="auto" w:fill="auto"/>
            <w:vAlign w:val="center"/>
            <w:hideMark/>
          </w:tcPr>
          <w:p w14:paraId="0850ABEB" w14:textId="32E0AFFE" w:rsidR="001F4D57" w:rsidRPr="0095544A" w:rsidRDefault="001240F8" w:rsidP="00CB57E7">
            <w:pPr>
              <w:jc w:val="center"/>
              <w:rPr>
                <w:rFonts w:eastAsia="Times New Roman"/>
                <w:sz w:val="20"/>
                <w:szCs w:val="20"/>
                <w:lang w:eastAsia="en-US"/>
              </w:rPr>
            </w:pPr>
            <w:r w:rsidRPr="0095544A">
              <w:rPr>
                <w:rFonts w:eastAsia="Times New Roman"/>
                <w:sz w:val="20"/>
                <w:szCs w:val="20"/>
                <w:lang w:eastAsia="en-US"/>
              </w:rPr>
              <w:t>SEPLP</w:t>
            </w:r>
          </w:p>
        </w:tc>
        <w:tc>
          <w:tcPr>
            <w:tcW w:w="3392" w:type="dxa"/>
            <w:shd w:val="clear" w:color="auto" w:fill="auto"/>
            <w:noWrap/>
            <w:vAlign w:val="bottom"/>
            <w:hideMark/>
          </w:tcPr>
          <w:p w14:paraId="19DFFBC3"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05B47E7E" w14:textId="77777777" w:rsidTr="0095544A">
        <w:trPr>
          <w:trHeight w:val="130"/>
          <w:jc w:val="center"/>
        </w:trPr>
        <w:tc>
          <w:tcPr>
            <w:tcW w:w="2986" w:type="dxa"/>
            <w:shd w:val="clear" w:color="auto" w:fill="auto"/>
            <w:vAlign w:val="center"/>
            <w:hideMark/>
          </w:tcPr>
          <w:p w14:paraId="2832B9CF" w14:textId="135CF0D5" w:rsidR="001F4D57" w:rsidRPr="0095544A" w:rsidRDefault="00CB57E7" w:rsidP="00CB57E7">
            <w:pPr>
              <w:jc w:val="center"/>
              <w:rPr>
                <w:rFonts w:eastAsia="Times New Roman"/>
                <w:sz w:val="20"/>
                <w:szCs w:val="20"/>
                <w:lang w:eastAsia="en-US"/>
              </w:rPr>
            </w:pPr>
            <w:r w:rsidRPr="0095544A">
              <w:rPr>
                <w:rFonts w:eastAsia="Times New Roman"/>
                <w:sz w:val="20"/>
                <w:szCs w:val="20"/>
                <w:lang w:eastAsia="en-US"/>
              </w:rPr>
              <w:t>RTV</w:t>
            </w:r>
          </w:p>
        </w:tc>
        <w:tc>
          <w:tcPr>
            <w:tcW w:w="3392" w:type="dxa"/>
            <w:shd w:val="clear" w:color="auto" w:fill="auto"/>
            <w:noWrap/>
            <w:vAlign w:val="bottom"/>
            <w:hideMark/>
          </w:tcPr>
          <w:p w14:paraId="3D0F0EB8" w14:textId="77777777" w:rsidR="001F4D57" w:rsidRPr="0095544A" w:rsidRDefault="001F4D57" w:rsidP="007D4D60">
            <w:pPr>
              <w:jc w:val="center"/>
              <w:rPr>
                <w:rFonts w:eastAsia="Times New Roman"/>
                <w:sz w:val="20"/>
                <w:szCs w:val="20"/>
                <w:lang w:eastAsia="en-US"/>
              </w:rPr>
            </w:pPr>
            <w:r w:rsidRPr="0095544A">
              <w:rPr>
                <w:rFonts w:eastAsia="Times New Roman"/>
                <w:sz w:val="20"/>
                <w:szCs w:val="20"/>
                <w:lang w:eastAsia="en-US"/>
              </w:rPr>
              <w:t>1 750</w:t>
            </w:r>
          </w:p>
        </w:tc>
      </w:tr>
      <w:tr w:rsidR="001F4D57" w:rsidRPr="00307028" w14:paraId="2A57F5BD" w14:textId="77777777" w:rsidTr="0095544A">
        <w:trPr>
          <w:trHeight w:val="288"/>
          <w:jc w:val="center"/>
        </w:trPr>
        <w:tc>
          <w:tcPr>
            <w:tcW w:w="2986" w:type="dxa"/>
            <w:shd w:val="clear" w:color="auto" w:fill="85C2E0"/>
            <w:vAlign w:val="center"/>
            <w:hideMark/>
          </w:tcPr>
          <w:p w14:paraId="78654C7C" w14:textId="77777777" w:rsidR="001F4D57" w:rsidRPr="0095544A" w:rsidRDefault="001F4D57" w:rsidP="00CB57E7">
            <w:pPr>
              <w:jc w:val="center"/>
              <w:rPr>
                <w:rFonts w:eastAsia="Times New Roman"/>
                <w:b/>
                <w:bCs/>
                <w:sz w:val="22"/>
                <w:szCs w:val="22"/>
                <w:lang w:eastAsia="en-US"/>
              </w:rPr>
            </w:pPr>
            <w:r w:rsidRPr="0095544A">
              <w:rPr>
                <w:rFonts w:eastAsia="Times New Roman"/>
                <w:b/>
                <w:bCs/>
                <w:sz w:val="22"/>
                <w:szCs w:val="22"/>
                <w:lang w:eastAsia="en-US"/>
              </w:rPr>
              <w:t>KOPĀ</w:t>
            </w:r>
          </w:p>
        </w:tc>
        <w:tc>
          <w:tcPr>
            <w:tcW w:w="3392" w:type="dxa"/>
            <w:shd w:val="clear" w:color="auto" w:fill="85C2E0"/>
            <w:noWrap/>
            <w:vAlign w:val="bottom"/>
            <w:hideMark/>
          </w:tcPr>
          <w:p w14:paraId="61343166" w14:textId="77777777" w:rsidR="001F4D57" w:rsidRPr="0095544A" w:rsidRDefault="001F4D57" w:rsidP="007D4D60">
            <w:pPr>
              <w:jc w:val="center"/>
              <w:rPr>
                <w:rFonts w:eastAsia="Times New Roman"/>
                <w:b/>
                <w:bCs/>
                <w:sz w:val="22"/>
                <w:szCs w:val="22"/>
                <w:lang w:eastAsia="en-US"/>
              </w:rPr>
            </w:pPr>
            <w:r w:rsidRPr="0095544A">
              <w:rPr>
                <w:rFonts w:eastAsiaTheme="minorHAnsi"/>
                <w:b/>
                <w:bCs/>
                <w:sz w:val="22"/>
                <w:szCs w:val="22"/>
                <w:lang w:eastAsia="en-US"/>
              </w:rPr>
              <w:t>159 250</w:t>
            </w:r>
          </w:p>
        </w:tc>
      </w:tr>
      <w:bookmarkEnd w:id="121"/>
    </w:tbl>
    <w:p w14:paraId="08BC2BB6" w14:textId="77777777" w:rsidR="0095544A" w:rsidRPr="00307028" w:rsidRDefault="0095544A" w:rsidP="007917E2">
      <w:pPr>
        <w:tabs>
          <w:tab w:val="left" w:pos="7307"/>
        </w:tabs>
      </w:pPr>
    </w:p>
    <w:p w14:paraId="36519BFB" w14:textId="77777777" w:rsidR="008938FF" w:rsidRPr="00307028" w:rsidRDefault="008938FF" w:rsidP="0095544A">
      <w:pPr>
        <w:pStyle w:val="Heading5"/>
        <w:rPr>
          <w:bdr w:val="none" w:sz="0" w:space="0" w:color="auto" w:frame="1"/>
        </w:rPr>
      </w:pPr>
      <w:r w:rsidRPr="00307028">
        <w:rPr>
          <w:bdr w:val="none" w:sz="0" w:space="0" w:color="auto" w:frame="1"/>
        </w:rPr>
        <w:t>2.4.5. Amata vietas un vakances, tai skaitā ilgstošās vakances</w:t>
      </w:r>
    </w:p>
    <w:p w14:paraId="73D9C3D9" w14:textId="77777777" w:rsidR="008938FF" w:rsidRPr="00307028" w:rsidRDefault="008938FF" w:rsidP="00AE7B9D">
      <w:pPr>
        <w:spacing w:after="120" w:line="259" w:lineRule="auto"/>
        <w:ind w:firstLine="709"/>
        <w:jc w:val="both"/>
        <w:rPr>
          <w:bdr w:val="none" w:sz="0" w:space="0" w:color="auto" w:frame="1"/>
        </w:rPr>
      </w:pPr>
      <w:r w:rsidRPr="00307028">
        <w:rPr>
          <w:bdr w:val="none" w:sz="0" w:space="0" w:color="auto" w:frame="1"/>
        </w:rPr>
        <w:t xml:space="preserve">Lai arī tēma attiecībā par ilgstošajām vakancēm ir skatīta izdevumu pārskatīšanas ietvaros jau iepriekš – VK šo tematu rosināja aktualizēt atkal, t.sk. iekļaujot VK prezentāciju un diskutējot par tām Izdevumu pārskatīšanas darba grupas sanāksmēs ar katru no ministrijām. </w:t>
      </w:r>
    </w:p>
    <w:p w14:paraId="043B499B" w14:textId="77777777" w:rsidR="008938FF" w:rsidRPr="00307028" w:rsidRDefault="008938FF" w:rsidP="00AE7B9D">
      <w:pPr>
        <w:spacing w:after="120" w:line="259" w:lineRule="auto"/>
        <w:ind w:firstLine="709"/>
        <w:jc w:val="both"/>
      </w:pPr>
      <w:r w:rsidRPr="00307028">
        <w:rPr>
          <w:bdr w:val="none" w:sz="0" w:space="0" w:color="auto" w:frame="1"/>
        </w:rPr>
        <w:t xml:space="preserve">Saskaņā ar VK aprēķiniem kopumā valsts pārvaldē vidējais vakanto amata vietu skaits svārstās no 11% līdz 14%. Tāpat liels īpatsvars ir tiem vakantajiem amatiem, kas nav aizpildīti sešu un vairāk mēnešu garumā. VK horizontālās analīzes mērķis ir </w:t>
      </w:r>
      <w:r w:rsidRPr="00307028">
        <w:rPr>
          <w:b/>
          <w:bCs/>
          <w:bdr w:val="none" w:sz="0" w:space="0" w:color="auto" w:frame="1"/>
        </w:rPr>
        <w:t xml:space="preserve">vērst ministriju uzmanību par iespējām izvērtēt šādu ilgstoši vakantu amata vietu saglabāšanu turpmāk, kā arī to, ka šis ir viens no potenciāliem resursiem atlīdzības palielinājumam esošajiem nodarbinātajiem, tai skaitā </w:t>
      </w:r>
      <w:r w:rsidRPr="00307028">
        <w:rPr>
          <w:b/>
          <w:bCs/>
        </w:rPr>
        <w:t>veicot nepieciešamos darba procesu un funkciju optimizēšanas pasākumus iestādē</w:t>
      </w:r>
      <w:r w:rsidRPr="00307028">
        <w:t>.</w:t>
      </w:r>
    </w:p>
    <w:p w14:paraId="718376D4" w14:textId="77777777" w:rsidR="008938FF" w:rsidRPr="00307028" w:rsidRDefault="008938FF" w:rsidP="00AE7B9D">
      <w:pPr>
        <w:spacing w:after="120" w:line="259" w:lineRule="auto"/>
        <w:ind w:firstLine="709"/>
        <w:jc w:val="both"/>
        <w:rPr>
          <w:bdr w:val="none" w:sz="0" w:space="0" w:color="auto" w:frame="1"/>
        </w:rPr>
      </w:pPr>
      <w:r w:rsidRPr="00307028">
        <w:rPr>
          <w:bdr w:val="none" w:sz="0" w:space="0" w:color="auto" w:frame="1"/>
        </w:rPr>
        <w:t xml:space="preserve">Kā vienu no nodarbināto mainības iemesliem var minēt pilnveidojamo atlīdzības sistēmu. </w:t>
      </w:r>
      <w:r w:rsidRPr="00307028">
        <w:t xml:space="preserve">Nekonkurētspējīgais atalgojums valsts pārvaldē uzskatāms par krīzes laikā veiktā mēnešalgu samazinājuma sekām. Vienlaikus jāatzīmē,  ka maksimālais iespējamais mēnešalgas </w:t>
      </w:r>
      <w:r w:rsidRPr="00307028">
        <w:lastRenderedPageBreak/>
        <w:t xml:space="preserve">līmenis augstākajām mēnešalgu grupām (atlīdzības sistēmai, kas bija spēkā līdz 2022. gada 30. jūnijam no 11. mēnešalgu grupas līdz 16. mēnešalgu grupai) netika pārskatīts kopš 2010. gada. Attiecīgā situācija rada paaugstinātu risku augsta līmeņa speciālistu un pieredzējušu vadītāju aiziešanai no valsts pārvaldes, kā arī apgrūtina šādu darbinieku piesaisti darbam valsts pārvaldē. Ņemot vērā minēto, no 2022. gada 1. jūlija ir mainīta atlīdzības sistēma valsts un pašvaldību institūcijās nodarbinātajiem, to saistot ar virzību uz konkurētspējīgu atlīdzību 80% apmērā no tā, ko par līdzīgiem amata pienākumiem iespējams saņemt atalgojumā par darbu privātajā sektorā. </w:t>
      </w:r>
    </w:p>
    <w:p w14:paraId="5B7293B5" w14:textId="28C56ADB" w:rsidR="008938FF" w:rsidRPr="00307028" w:rsidRDefault="008938FF" w:rsidP="00AE7B9D">
      <w:pPr>
        <w:spacing w:after="120" w:line="259" w:lineRule="auto"/>
        <w:ind w:firstLine="709"/>
        <w:jc w:val="both"/>
        <w:rPr>
          <w:bdr w:val="none" w:sz="0" w:space="0" w:color="auto" w:frame="1"/>
        </w:rPr>
      </w:pPr>
      <w:r w:rsidRPr="00307028">
        <w:rPr>
          <w:bdr w:val="none" w:sz="0" w:space="0" w:color="auto" w:frame="1"/>
        </w:rPr>
        <w:t xml:space="preserve">Analizējot nozaru ministriju izdevumus un to ietekmi uz 2024. gada, kā arī turpmāko gadu budžetiem, VK izdevumu pārskatīšanas darba grupas sanāksmēs prezentēja informāciju par katru no resoriem, </w:t>
      </w:r>
      <w:r w:rsidRPr="00307028">
        <w:rPr>
          <w:b/>
          <w:bCs/>
          <w:bdr w:val="none" w:sz="0" w:space="0" w:color="auto" w:frame="1"/>
        </w:rPr>
        <w:t>atbilstoši iestāžu sniegtajiem datiem Atlīdzības uzskaites sistēmā</w:t>
      </w:r>
      <w:r w:rsidRPr="00307028">
        <w:rPr>
          <w:b/>
          <w:bCs/>
          <w:bdr w:val="none" w:sz="0" w:space="0" w:color="auto" w:frame="1"/>
          <w:vertAlign w:val="superscript"/>
        </w:rPr>
        <w:footnoteReference w:id="35"/>
      </w:r>
      <w:r w:rsidRPr="00307028">
        <w:rPr>
          <w:b/>
          <w:bCs/>
          <w:bdr w:val="none" w:sz="0" w:space="0" w:color="auto" w:frame="1"/>
        </w:rPr>
        <w:t xml:space="preserve"> tika analizētas kopējo amata vietu (slodžu) un vakanto amata vietu skaita izmaiņas dažādos laika periodos</w:t>
      </w:r>
      <w:r w:rsidRPr="00307028">
        <w:rPr>
          <w:bdr w:val="none" w:sz="0" w:space="0" w:color="auto" w:frame="1"/>
        </w:rPr>
        <w:t xml:space="preserve"> (uz 2020. gada 31. decembri, uz 2021. gada 31. decembri, 2022. gada 30. oktobri un 2023. gada 28. februāri), īpašu uzmanību pievēršot arī ilgstoši vakantajiem amatiem (vakanti amati, kas ir ilgāki par </w:t>
      </w:r>
      <w:r w:rsidR="00DC3088" w:rsidRPr="00307028">
        <w:rPr>
          <w:bdr w:val="none" w:sz="0" w:space="0" w:color="auto" w:frame="1"/>
        </w:rPr>
        <w:t>sešiem</w:t>
      </w:r>
      <w:r w:rsidRPr="00307028">
        <w:rPr>
          <w:bdr w:val="none" w:sz="0" w:space="0" w:color="auto" w:frame="1"/>
        </w:rPr>
        <w:t xml:space="preserve"> mēnešiem). Vienlaikus tika analizēti ilgstoši vakantie amati pēc to statusiem (ierēdnis, darbinieks, ES struktūrfondu un Kohēzijas fonda, ES atveseļošanas un noturības mehānisma finansēta, kā arī cita ārvalsts finansēta projekta vadībā un īstenošanā uz noteiktu laiku iesaistītie darbinieki vai ierēdņi, amatpersonas ar speciālām dienesta pakāpēm u.tml.). Šāda analīze parāda vai ilgstoši vakantie amati ir uz noteiktu laiku izveidotajām amata vietām, vai arī tās ir patstāvīgo amata vietu vakances. </w:t>
      </w:r>
    </w:p>
    <w:p w14:paraId="559967C9" w14:textId="4832D15C" w:rsidR="008938FF" w:rsidRPr="00307028" w:rsidRDefault="008938FF" w:rsidP="008938FF">
      <w:pPr>
        <w:spacing w:after="120"/>
        <w:jc w:val="center"/>
        <w:rPr>
          <w:b/>
          <w:bCs/>
          <w:sz w:val="22"/>
          <w:szCs w:val="22"/>
          <w:bdr w:val="none" w:sz="0" w:space="0" w:color="auto" w:frame="1"/>
        </w:rPr>
      </w:pPr>
      <w:r w:rsidRPr="00307028">
        <w:rPr>
          <w:b/>
          <w:bCs/>
          <w:i/>
          <w:iCs/>
          <w:sz w:val="22"/>
          <w:szCs w:val="22"/>
          <w:bdr w:val="none" w:sz="0" w:space="0" w:color="auto" w:frame="1"/>
        </w:rPr>
        <w:t>2.4.5.1. tabula</w:t>
      </w:r>
      <w:r w:rsidRPr="00307028">
        <w:rPr>
          <w:b/>
          <w:bCs/>
          <w:sz w:val="22"/>
          <w:szCs w:val="22"/>
          <w:bdr w:val="none" w:sz="0" w:space="0" w:color="auto" w:frame="1"/>
        </w:rPr>
        <w:t xml:space="preserve"> Amata vietu skaits un vakanto amata vietu skaits ministrijās atbilstoši Atlīdzības uzskaites sistēmas datiem</w:t>
      </w:r>
      <w:r w:rsidR="006278A7" w:rsidRPr="00307028">
        <w:rPr>
          <w:rStyle w:val="FootnoteReference"/>
          <w:b/>
          <w:bCs/>
          <w:sz w:val="22"/>
          <w:szCs w:val="22"/>
          <w:bdr w:val="none" w:sz="0" w:space="0" w:color="auto" w:frame="1"/>
        </w:rPr>
        <w:footnoteReference w:id="36"/>
      </w:r>
    </w:p>
    <w:tbl>
      <w:tblPr>
        <w:tblW w:w="8359" w:type="dxa"/>
        <w:jc w:val="center"/>
        <w:tblLook w:val="04A0" w:firstRow="1" w:lastRow="0" w:firstColumn="1" w:lastColumn="0" w:noHBand="0" w:noVBand="1"/>
      </w:tblPr>
      <w:tblGrid>
        <w:gridCol w:w="1696"/>
        <w:gridCol w:w="1843"/>
        <w:gridCol w:w="2410"/>
        <w:gridCol w:w="2410"/>
      </w:tblGrid>
      <w:tr w:rsidR="008938FF" w:rsidRPr="00307028" w14:paraId="133982A3" w14:textId="77777777" w:rsidTr="0095544A">
        <w:trPr>
          <w:trHeight w:val="672"/>
          <w:tblHeader/>
          <w:jc w:val="center"/>
        </w:trPr>
        <w:tc>
          <w:tcPr>
            <w:tcW w:w="1696" w:type="dxa"/>
            <w:tcBorders>
              <w:top w:val="single" w:sz="4" w:space="0" w:color="auto"/>
              <w:left w:val="single" w:sz="4" w:space="0" w:color="auto"/>
              <w:bottom w:val="single" w:sz="4" w:space="0" w:color="auto"/>
              <w:right w:val="single" w:sz="4" w:space="0" w:color="auto"/>
            </w:tcBorders>
            <w:shd w:val="clear" w:color="auto" w:fill="B2D9EC"/>
            <w:noWrap/>
            <w:vAlign w:val="center"/>
            <w:hideMark/>
          </w:tcPr>
          <w:p w14:paraId="792F6C79" w14:textId="77777777" w:rsidR="008938FF" w:rsidRPr="00307028" w:rsidRDefault="008938FF" w:rsidP="008938FF">
            <w:pPr>
              <w:jc w:val="center"/>
              <w:rPr>
                <w:rFonts w:eastAsia="Times New Roman"/>
                <w:b/>
                <w:bCs/>
                <w:sz w:val="22"/>
                <w:szCs w:val="22"/>
                <w:lang w:eastAsia="lv-LV"/>
              </w:rPr>
            </w:pPr>
            <w:r w:rsidRPr="00307028">
              <w:rPr>
                <w:rFonts w:eastAsia="Times New Roman"/>
                <w:b/>
                <w:bCs/>
                <w:sz w:val="22"/>
                <w:szCs w:val="22"/>
                <w:lang w:eastAsia="lv-LV"/>
              </w:rPr>
              <w:t>Resors</w:t>
            </w:r>
          </w:p>
        </w:tc>
        <w:tc>
          <w:tcPr>
            <w:tcW w:w="1843"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2B6151B9" w14:textId="77777777" w:rsidR="008938FF" w:rsidRPr="00307028" w:rsidRDefault="008938FF" w:rsidP="008938FF">
            <w:pPr>
              <w:jc w:val="center"/>
              <w:rPr>
                <w:rFonts w:eastAsia="Times New Roman"/>
                <w:b/>
                <w:bCs/>
                <w:sz w:val="22"/>
                <w:szCs w:val="22"/>
                <w:lang w:eastAsia="lv-LV"/>
              </w:rPr>
            </w:pPr>
            <w:r w:rsidRPr="00307028">
              <w:rPr>
                <w:rFonts w:eastAsia="Times New Roman"/>
                <w:b/>
                <w:bCs/>
                <w:sz w:val="22"/>
                <w:szCs w:val="22"/>
                <w:lang w:eastAsia="lv-LV"/>
              </w:rPr>
              <w:t>Amata vietu skaits (slodzes) uz 28.02.2023.</w:t>
            </w:r>
          </w:p>
        </w:tc>
        <w:tc>
          <w:tcPr>
            <w:tcW w:w="2410"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4F88F21C" w14:textId="77777777" w:rsidR="008938FF" w:rsidRPr="00307028" w:rsidRDefault="008938FF" w:rsidP="008938FF">
            <w:pPr>
              <w:jc w:val="center"/>
              <w:rPr>
                <w:rFonts w:eastAsia="Times New Roman"/>
                <w:b/>
                <w:bCs/>
                <w:sz w:val="22"/>
                <w:szCs w:val="22"/>
                <w:lang w:eastAsia="lv-LV"/>
              </w:rPr>
            </w:pPr>
            <w:r w:rsidRPr="00307028">
              <w:rPr>
                <w:rFonts w:eastAsia="Times New Roman"/>
                <w:b/>
                <w:bCs/>
                <w:sz w:val="22"/>
                <w:szCs w:val="22"/>
                <w:lang w:eastAsia="lv-LV"/>
              </w:rPr>
              <w:t>Ilgstoši vakantie amati (6 – 12 mēneši) uz 28.02.2023.</w:t>
            </w:r>
          </w:p>
        </w:tc>
        <w:tc>
          <w:tcPr>
            <w:tcW w:w="2410"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53BCF616" w14:textId="77777777" w:rsidR="008938FF" w:rsidRPr="00307028" w:rsidRDefault="008938FF" w:rsidP="008938FF">
            <w:pPr>
              <w:jc w:val="center"/>
              <w:rPr>
                <w:rFonts w:eastAsia="Times New Roman"/>
                <w:b/>
                <w:bCs/>
                <w:sz w:val="22"/>
                <w:szCs w:val="22"/>
                <w:lang w:eastAsia="lv-LV"/>
              </w:rPr>
            </w:pPr>
            <w:r w:rsidRPr="00307028">
              <w:rPr>
                <w:rFonts w:eastAsia="Times New Roman"/>
                <w:b/>
                <w:bCs/>
                <w:sz w:val="22"/>
                <w:szCs w:val="22"/>
                <w:lang w:eastAsia="lv-LV"/>
              </w:rPr>
              <w:t>tai skaitā ilgstoši vakantās terminētās amata vietas</w:t>
            </w:r>
          </w:p>
        </w:tc>
      </w:tr>
      <w:tr w:rsidR="008938FF" w:rsidRPr="00307028" w14:paraId="0FCD3EB2"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5561F"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AiM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5B1DE"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1551,1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53385"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59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62CB0"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6D9FFC19" w14:textId="77777777" w:rsidTr="00066F37">
        <w:trPr>
          <w:trHeight w:val="127"/>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AF593"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BEA1D"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611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1089E"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A46412"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13CDC5C3"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74B23"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EM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2A4187"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1 270,5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209A48"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76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CB8583"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0A39BC2C" w14:textId="77777777" w:rsidTr="0095544A">
        <w:trPr>
          <w:trHeight w:val="114"/>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89524"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FM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E74F9"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4941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0A47B5"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209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D96A9"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2A70E2B1"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F4A83E"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IeM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E73E92"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15 352,5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583E08"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1 384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08E54" w14:textId="77777777" w:rsidR="008938FF" w:rsidRPr="0095544A" w:rsidRDefault="008938FF" w:rsidP="008938FF">
            <w:pPr>
              <w:jc w:val="center"/>
              <w:rPr>
                <w:rFonts w:eastAsia="Times New Roman"/>
                <w:color w:val="FF0000"/>
                <w:sz w:val="20"/>
                <w:szCs w:val="20"/>
                <w:lang w:eastAsia="lv-LV"/>
              </w:rPr>
            </w:pPr>
            <w:r w:rsidRPr="0095544A">
              <w:rPr>
                <w:rFonts w:eastAsia="Times New Roman"/>
                <w:color w:val="FF0000"/>
                <w:sz w:val="20"/>
                <w:szCs w:val="20"/>
                <w:lang w:eastAsia="lv-LV"/>
              </w:rPr>
              <w:t> </w:t>
            </w:r>
          </w:p>
        </w:tc>
      </w:tr>
      <w:tr w:rsidR="008938FF" w:rsidRPr="00307028" w14:paraId="775F43C8" w14:textId="77777777" w:rsidTr="0095544A">
        <w:trPr>
          <w:trHeight w:val="64"/>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B5604A"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IZM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3BD55F"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1 029,68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552DC"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154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8A859" w14:textId="77777777" w:rsidR="008938FF" w:rsidRPr="0095544A" w:rsidRDefault="008938FF" w:rsidP="008938FF">
            <w:pPr>
              <w:jc w:val="center"/>
              <w:rPr>
                <w:rFonts w:eastAsia="Times New Roman"/>
                <w:sz w:val="20"/>
                <w:szCs w:val="20"/>
                <w:lang w:eastAsia="lv-LV"/>
              </w:rPr>
            </w:pPr>
            <w:r w:rsidRPr="0095544A">
              <w:rPr>
                <w:rFonts w:eastAsia="Times New Roman"/>
                <w:sz w:val="20"/>
                <w:szCs w:val="20"/>
                <w:lang w:eastAsia="lv-LV"/>
              </w:rPr>
              <w:t>10</w:t>
            </w:r>
          </w:p>
        </w:tc>
      </w:tr>
      <w:tr w:rsidR="008938FF" w:rsidRPr="00307028" w14:paraId="0E23C72E"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B84DC3"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KM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C004A"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1 909,4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F3F78A"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83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C4F1D"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1F4E7B96"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9CF9AB"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LM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22D34F"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5 326,1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174C4"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117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B9285F"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24</w:t>
            </w:r>
          </w:p>
        </w:tc>
      </w:tr>
      <w:tr w:rsidR="008938FF" w:rsidRPr="00307028" w14:paraId="574161BC"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7F060"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SM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D6644"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296,5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94547"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F370F6"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3</w:t>
            </w:r>
          </w:p>
        </w:tc>
      </w:tr>
      <w:tr w:rsidR="008938FF" w:rsidRPr="00307028" w14:paraId="2602D133"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4F575F"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TM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78478"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6508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1C8D6"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338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29109"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5223FC8B"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205D94"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VM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B2DE9E"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4 742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1323CC"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216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11F20"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4A419A19" w14:textId="77777777" w:rsidTr="0095544A">
        <w:trPr>
          <w:trHeight w:val="6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9C4C3E"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VARAM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5C802"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1 047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6B445"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41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E6FBF"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11</w:t>
            </w:r>
          </w:p>
        </w:tc>
      </w:tr>
      <w:tr w:rsidR="008938FF" w:rsidRPr="00307028" w14:paraId="446FC64B" w14:textId="77777777" w:rsidTr="0095544A">
        <w:trPr>
          <w:trHeight w:val="88"/>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19543" w14:textId="77777777" w:rsidR="008938FF" w:rsidRPr="0095544A" w:rsidRDefault="008938FF" w:rsidP="008938FF">
            <w:pPr>
              <w:jc w:val="center"/>
              <w:rPr>
                <w:rFonts w:eastAsia="Times New Roman"/>
                <w:b/>
                <w:bCs/>
                <w:color w:val="000000"/>
                <w:sz w:val="20"/>
                <w:szCs w:val="20"/>
                <w:lang w:eastAsia="lv-LV"/>
              </w:rPr>
            </w:pPr>
            <w:r w:rsidRPr="0095544A">
              <w:rPr>
                <w:rFonts w:eastAsia="Times New Roman"/>
                <w:b/>
                <w:bCs/>
                <w:color w:val="000000"/>
                <w:sz w:val="20"/>
                <w:szCs w:val="20"/>
                <w:lang w:eastAsia="lv-LV"/>
              </w:rPr>
              <w:t>ZM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7FF90"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2 554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3F116"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130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48E30" w14:textId="77777777" w:rsidR="008938FF" w:rsidRPr="0095544A" w:rsidRDefault="008938FF" w:rsidP="008938FF">
            <w:pPr>
              <w:jc w:val="center"/>
              <w:rPr>
                <w:rFonts w:eastAsia="Times New Roman"/>
                <w:color w:val="000000"/>
                <w:sz w:val="20"/>
                <w:szCs w:val="20"/>
                <w:lang w:eastAsia="lv-LV"/>
              </w:rPr>
            </w:pPr>
            <w:r w:rsidRPr="0095544A">
              <w:rPr>
                <w:rFonts w:eastAsia="Times New Roman"/>
                <w:color w:val="000000"/>
                <w:sz w:val="20"/>
                <w:szCs w:val="20"/>
                <w:lang w:eastAsia="lv-LV"/>
              </w:rPr>
              <w:t> </w:t>
            </w:r>
          </w:p>
        </w:tc>
      </w:tr>
      <w:tr w:rsidR="008938FF" w:rsidRPr="00307028" w14:paraId="145F3AD6" w14:textId="77777777" w:rsidTr="0095544A">
        <w:trPr>
          <w:trHeight w:val="312"/>
          <w:jc w:val="center"/>
        </w:trPr>
        <w:tc>
          <w:tcPr>
            <w:tcW w:w="1696"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0F16F2A8" w14:textId="77777777" w:rsidR="008938FF" w:rsidRPr="0095544A" w:rsidRDefault="008938FF" w:rsidP="008938FF">
            <w:pPr>
              <w:jc w:val="center"/>
              <w:rPr>
                <w:rFonts w:eastAsia="Times New Roman"/>
                <w:b/>
                <w:bCs/>
                <w:color w:val="000000"/>
                <w:sz w:val="22"/>
                <w:szCs w:val="22"/>
                <w:lang w:eastAsia="lv-LV"/>
              </w:rPr>
            </w:pPr>
            <w:r w:rsidRPr="0095544A">
              <w:rPr>
                <w:rFonts w:eastAsia="Times New Roman"/>
                <w:b/>
                <w:bCs/>
                <w:color w:val="000000"/>
                <w:sz w:val="22"/>
                <w:szCs w:val="22"/>
                <w:lang w:eastAsia="lv-LV"/>
              </w:rPr>
              <w:t>KOPĀ:</w:t>
            </w:r>
          </w:p>
        </w:tc>
        <w:tc>
          <w:tcPr>
            <w:tcW w:w="1843"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7E67CE7A" w14:textId="77777777" w:rsidR="008938FF" w:rsidRPr="0095544A" w:rsidRDefault="008938FF" w:rsidP="008938FF">
            <w:pPr>
              <w:jc w:val="center"/>
              <w:rPr>
                <w:rFonts w:eastAsia="Times New Roman"/>
                <w:b/>
                <w:bCs/>
                <w:color w:val="000000"/>
                <w:sz w:val="22"/>
                <w:szCs w:val="22"/>
                <w:lang w:eastAsia="lv-LV"/>
              </w:rPr>
            </w:pPr>
            <w:r w:rsidRPr="0095544A">
              <w:rPr>
                <w:rFonts w:eastAsia="Times New Roman"/>
                <w:b/>
                <w:bCs/>
                <w:color w:val="000000"/>
                <w:sz w:val="22"/>
                <w:szCs w:val="22"/>
                <w:lang w:eastAsia="lv-LV"/>
              </w:rPr>
              <w:t>47 139</w:t>
            </w:r>
          </w:p>
        </w:tc>
        <w:tc>
          <w:tcPr>
            <w:tcW w:w="2410"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6F69080B" w14:textId="77777777" w:rsidR="008938FF" w:rsidRPr="0095544A" w:rsidRDefault="008938FF" w:rsidP="008938FF">
            <w:pPr>
              <w:jc w:val="center"/>
              <w:rPr>
                <w:rFonts w:eastAsia="Times New Roman"/>
                <w:b/>
                <w:bCs/>
                <w:color w:val="000000"/>
                <w:sz w:val="22"/>
                <w:szCs w:val="22"/>
                <w:lang w:eastAsia="lv-LV"/>
              </w:rPr>
            </w:pPr>
            <w:r w:rsidRPr="0095544A">
              <w:rPr>
                <w:rFonts w:eastAsia="Times New Roman"/>
                <w:b/>
                <w:bCs/>
                <w:color w:val="000000"/>
                <w:sz w:val="22"/>
                <w:szCs w:val="22"/>
                <w:lang w:eastAsia="lv-LV"/>
              </w:rPr>
              <w:t>2 818</w:t>
            </w:r>
          </w:p>
        </w:tc>
        <w:tc>
          <w:tcPr>
            <w:tcW w:w="2410" w:type="dxa"/>
            <w:tcBorders>
              <w:top w:val="single" w:sz="4" w:space="0" w:color="auto"/>
              <w:left w:val="single" w:sz="4" w:space="0" w:color="auto"/>
              <w:bottom w:val="single" w:sz="4" w:space="0" w:color="auto"/>
              <w:right w:val="single" w:sz="4" w:space="0" w:color="auto"/>
            </w:tcBorders>
            <w:shd w:val="clear" w:color="auto" w:fill="B2D9EC"/>
            <w:vAlign w:val="center"/>
            <w:hideMark/>
          </w:tcPr>
          <w:p w14:paraId="2B66733A" w14:textId="77777777" w:rsidR="008938FF" w:rsidRPr="0095544A" w:rsidRDefault="008938FF" w:rsidP="008938FF">
            <w:pPr>
              <w:jc w:val="center"/>
              <w:rPr>
                <w:rFonts w:eastAsia="Times New Roman"/>
                <w:b/>
                <w:bCs/>
                <w:color w:val="000000"/>
                <w:sz w:val="22"/>
                <w:szCs w:val="22"/>
                <w:lang w:eastAsia="lv-LV"/>
              </w:rPr>
            </w:pPr>
            <w:r w:rsidRPr="0095544A">
              <w:rPr>
                <w:rFonts w:eastAsia="Times New Roman"/>
                <w:b/>
                <w:bCs/>
                <w:color w:val="000000"/>
                <w:sz w:val="22"/>
                <w:szCs w:val="22"/>
                <w:lang w:eastAsia="lv-LV"/>
              </w:rPr>
              <w:t>48</w:t>
            </w:r>
          </w:p>
        </w:tc>
      </w:tr>
    </w:tbl>
    <w:p w14:paraId="31447B7E" w14:textId="77777777" w:rsidR="008938FF" w:rsidRPr="00307028" w:rsidRDefault="008938FF" w:rsidP="000500E3">
      <w:pPr>
        <w:spacing w:after="120" w:line="259" w:lineRule="auto"/>
        <w:jc w:val="both"/>
        <w:rPr>
          <w:rFonts w:eastAsiaTheme="minorHAnsi" w:cstheme="minorBidi"/>
          <w:kern w:val="2"/>
          <w:szCs w:val="22"/>
          <w:lang w:eastAsia="en-US"/>
          <w14:ligatures w14:val="standardContextual"/>
        </w:rPr>
      </w:pPr>
      <w:r w:rsidRPr="00307028">
        <w:rPr>
          <w:noProof/>
          <w:lang w:eastAsia="en-US"/>
        </w:rPr>
        <mc:AlternateContent>
          <mc:Choice Requires="wps">
            <w:drawing>
              <wp:anchor distT="0" distB="0" distL="114300" distR="114300" simplePos="0" relativeHeight="251757568" behindDoc="0" locked="0" layoutInCell="1" allowOverlap="1" wp14:anchorId="2C37CF45" wp14:editId="74176686">
                <wp:simplePos x="0" y="0"/>
                <wp:positionH relativeFrom="margin">
                  <wp:posOffset>0</wp:posOffset>
                </wp:positionH>
                <wp:positionV relativeFrom="paragraph">
                  <wp:posOffset>260350</wp:posOffset>
                </wp:positionV>
                <wp:extent cx="5762625" cy="314325"/>
                <wp:effectExtent l="0" t="0" r="9525" b="9525"/>
                <wp:wrapTopAndBottom/>
                <wp:docPr id="1420627666" name="Rectangle 1420627666"/>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6BC6A7F4" w14:textId="77777777" w:rsidR="008938FF" w:rsidRPr="00307028" w:rsidRDefault="008938FF" w:rsidP="008938FF">
                            <w:pPr>
                              <w:rPr>
                                <w:b/>
                                <w:bCs/>
                                <w:color w:val="000000" w:themeColor="text1"/>
                              </w:rPr>
                            </w:pPr>
                            <w:r w:rsidRPr="00307028">
                              <w:rPr>
                                <w:b/>
                                <w:bCs/>
                              </w:rPr>
                              <w:t>SECINĀJUMS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7CF45" id="Rectangle 1420627666" o:spid="_x0000_s1039" style="position:absolute;left:0;text-align:left;margin-left:0;margin-top:20.5pt;width:453.75pt;height:24.7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" fillcolor="#85c2e0" stroked="f" strokeweight="2pt">
                <v:textbox>
                  <w:txbxContent>
                    <w:p w14:paraId="6BC6A7F4" w14:textId="77777777" w:rsidR="008938FF" w:rsidRPr="00307028" w:rsidRDefault="008938FF" w:rsidP="008938FF">
                      <w:pPr>
                        <w:rPr>
                          <w:b/>
                          <w:bCs/>
                          <w:color w:val="000000" w:themeColor="text1"/>
                        </w:rPr>
                      </w:pPr>
                      <w:r w:rsidRPr="00307028">
                        <w:rPr>
                          <w:b/>
                          <w:bCs/>
                        </w:rPr>
                        <w:t>SECINĀJUMS</w:t>
                      </w:r>
                    </w:p>
                  </w:txbxContent>
                </v:textbox>
                <w10:wrap type="topAndBottom" anchorx="margin"/>
              </v:rect>
            </w:pict>
          </mc:Fallback>
        </mc:AlternateContent>
      </w:r>
    </w:p>
    <w:p w14:paraId="2B425EB3" w14:textId="77777777" w:rsidR="008938FF" w:rsidRPr="00307028" w:rsidRDefault="008938FF" w:rsidP="008938FF">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Ņemot vērā, ka VK ir atbildīgā iestāde par cilvēkresursu attīstības politiku un nodarbināto atlīdzības sistēmas piemērošanu valsts pārvaldē, kā arī balstoties uz šajā sadaļā minēto informāciju un notikušajām diskusijām Izdevumu pārskatīšanas darba grupas </w:t>
      </w:r>
      <w:r w:rsidRPr="00307028">
        <w:rPr>
          <w:rFonts w:eastAsiaTheme="minorHAnsi" w:cstheme="minorBidi"/>
          <w:kern w:val="2"/>
          <w:szCs w:val="22"/>
          <w:lang w:eastAsia="en-US"/>
          <w14:ligatures w14:val="standardContextual"/>
        </w:rPr>
        <w:lastRenderedPageBreak/>
        <w:t>sanāksmēs ar ministrijām, VK turpinās divpusējas sarunas ar ministrijām par vakanto amatu samazināšanas un personālpolitikas pilnveides jautājumiem.</w:t>
      </w:r>
    </w:p>
    <w:p w14:paraId="6AC2C93A" w14:textId="77777777" w:rsidR="0095544A" w:rsidRDefault="0095544A" w:rsidP="007917E2">
      <w:pPr>
        <w:tabs>
          <w:tab w:val="left" w:pos="7307"/>
        </w:tabs>
      </w:pPr>
    </w:p>
    <w:p w14:paraId="3FBF0DB1" w14:textId="77777777" w:rsidR="0095544A" w:rsidRDefault="0095544A" w:rsidP="007917E2">
      <w:pPr>
        <w:tabs>
          <w:tab w:val="left" w:pos="7307"/>
        </w:tabs>
      </w:pPr>
    </w:p>
    <w:bookmarkStart w:id="151" w:name="_Toc142492929"/>
    <w:p w14:paraId="26457DC7" w14:textId="72E86F43" w:rsidR="007917E2" w:rsidRPr="00307028" w:rsidRDefault="002C5CEB" w:rsidP="002C5CEB">
      <w:pPr>
        <w:pStyle w:val="Heading2"/>
        <w:numPr>
          <w:ilvl w:val="0"/>
          <w:numId w:val="27"/>
        </w:numPr>
        <w:ind w:left="0"/>
      </w:pPr>
      <w:r w:rsidRPr="002C5CEB">
        <w:rPr>
          <w:noProof/>
          <w:sz w:val="32"/>
          <w:szCs w:val="28"/>
          <w14:ligatures w14:val="standardContextual"/>
        </w:rPr>
        <mc:AlternateContent>
          <mc:Choice Requires="wps">
            <w:drawing>
              <wp:anchor distT="0" distB="0" distL="114300" distR="114300" simplePos="0" relativeHeight="251763712" behindDoc="1" locked="0" layoutInCell="1" allowOverlap="1" wp14:anchorId="79D307CC" wp14:editId="25058BA7">
                <wp:simplePos x="0" y="0"/>
                <wp:positionH relativeFrom="page">
                  <wp:posOffset>505515</wp:posOffset>
                </wp:positionH>
                <wp:positionV relativeFrom="paragraph">
                  <wp:posOffset>-93013</wp:posOffset>
                </wp:positionV>
                <wp:extent cx="7072243" cy="397565"/>
                <wp:effectExtent l="0" t="0" r="14605" b="21590"/>
                <wp:wrapNone/>
                <wp:docPr id="485597932" name="Rectangle 2"/>
                <wp:cNvGraphicFramePr/>
                <a:graphic xmlns:a="http://schemas.openxmlformats.org/drawingml/2006/main">
                  <a:graphicData uri="http://schemas.microsoft.com/office/word/2010/wordprocessingShape">
                    <wps:wsp>
                      <wps:cNvSpPr/>
                      <wps:spPr>
                        <a:xfrm>
                          <a:off x="0" y="0"/>
                          <a:ext cx="7072243" cy="397565"/>
                        </a:xfrm>
                        <a:prstGeom prst="rect">
                          <a:avLst/>
                        </a:prstGeom>
                        <a:solidFill>
                          <a:srgbClr val="85C2E0"/>
                        </a:solidFill>
                        <a:ln>
                          <a:solidFill>
                            <a:srgbClr val="85C2E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114DF" id="Rectangle 2" o:spid="_x0000_s1026" style="position:absolute;margin-left:39.8pt;margin-top:-7.3pt;width:556.85pt;height:31.3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" fillcolor="#85c2e0" strokecolor="#85c2e0" strokeweight="1pt">
                <w10:wrap anchorx="page"/>
              </v:rect>
            </w:pict>
          </mc:Fallback>
        </mc:AlternateContent>
      </w:r>
      <w:r w:rsidR="0095544A" w:rsidRPr="002C5CEB">
        <w:rPr>
          <w:sz w:val="32"/>
          <w:szCs w:val="28"/>
        </w:rPr>
        <w:t>Nozaru ministriju pārraudzībā esošo finansēšanas politiku analīze</w:t>
      </w:r>
      <w:bookmarkEnd w:id="151"/>
    </w:p>
    <w:p w14:paraId="69072CA5" w14:textId="77777777" w:rsidR="007917E2" w:rsidRPr="00307028" w:rsidRDefault="007917E2" w:rsidP="007917E2">
      <w:pPr>
        <w:tabs>
          <w:tab w:val="left" w:pos="7307"/>
        </w:tabs>
      </w:pPr>
    </w:p>
    <w:p w14:paraId="16DF89CF" w14:textId="7D6B44DE" w:rsidR="007917E2" w:rsidRPr="00307028" w:rsidRDefault="00DF3A12" w:rsidP="00B74680">
      <w:pPr>
        <w:pStyle w:val="Heading3"/>
        <w:ind w:left="0"/>
      </w:pPr>
      <w:bookmarkStart w:id="152" w:name="_Toc142492930"/>
      <w:r w:rsidRPr="00307028">
        <w:t xml:space="preserve">3.1. </w:t>
      </w:r>
      <w:r w:rsidR="00C74069" w:rsidRPr="00307028">
        <w:t>Veselības nozares atsevišķu finansēšanas politiku analīze</w:t>
      </w:r>
      <w:bookmarkEnd w:id="152"/>
    </w:p>
    <w:p w14:paraId="1656DB61"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Izdevumu pārskatīšanas procesa ietvaros ik gadu pastiprināta uzmanība tiek pievērsta tām nozarēm, kuru finansējuma apjoms ir proporcionāli starp lielākajiem, ja raugās no vispārējās valdības izdevumu apmēra, kā arī nozarēm, kurās ir vērojamas to finansēšanas problēmas. Līdz ar to veselības nozare arī šajā gadā izdevumu pārskatīšanas informatīvajā ziņojumā tiek izcelta kā atsevišķi skatāms jautājums.</w:t>
      </w:r>
    </w:p>
    <w:p w14:paraId="1D2AD622"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MK, 2023. gada 7. marta sēdē apstiprināja 2023. gada izdevumu pārskatīšanas tvērumu. Rīkojuma projektā tika noteikts, ka izdevumu pārskatīšanas ietvaros tiks veikta Veselības ministrijas budžeta visaptveroša analīze, izvērtējot ieguldīto resursu izlietojumu kopsakarā ar definētajiem rezultatīvajiem rādītājiem</w:t>
      </w:r>
      <w:r w:rsidRPr="00307028">
        <w:rPr>
          <w:rFonts w:eastAsiaTheme="minorHAnsi" w:cstheme="minorBidi"/>
          <w:kern w:val="2"/>
          <w:vertAlign w:val="superscript"/>
          <w:lang w:eastAsia="en-US"/>
          <w14:ligatures w14:val="standardContextual"/>
        </w:rPr>
        <w:footnoteReference w:id="37"/>
      </w:r>
      <w:r w:rsidRPr="00307028">
        <w:rPr>
          <w:rFonts w:eastAsiaTheme="minorHAnsi" w:cstheme="minorBidi"/>
          <w:kern w:val="2"/>
          <w:lang w:eastAsia="en-US"/>
          <w14:ligatures w14:val="standardContextual"/>
        </w:rPr>
        <w:t>.</w:t>
      </w:r>
    </w:p>
    <w:p w14:paraId="0F658B2E"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bookmarkStart w:id="153" w:name="_Hlk141432550"/>
      <w:r w:rsidRPr="00307028">
        <w:rPr>
          <w:rFonts w:eastAsiaTheme="minorHAnsi" w:cstheme="minorBidi"/>
          <w:kern w:val="2"/>
          <w:lang w:eastAsia="en-US"/>
          <w14:ligatures w14:val="standardContextual"/>
        </w:rPr>
        <w:t>2023. gads veselības nozares izvērtēšanā lielā mērā saistās ar Ministru prezidenta rezolūciju (23-MPI-16), ar kuru ministrijām tika lūgts sagatavot informāciju par prognozēto līdzekļu ekonomiju 2023. gada budžeta izpildes procesā, lai nodrošinātu papildu finansējumu neatliekamu pasākumu finansēšanai veselības nozarei 2023. gadā. Lai izpildītu Ministru prezidenta rezolūcijā noteikto, tika sagatavots un 2023. gada 20. jūnija MK sēdē izskatīts informatīvais ziņojums “Par finansējuma pārdali 2023. gadā veselības nozarei”, kurā paredzēts mehānisms papildus 140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piešķiršanai veselības nozarei 2023. gada laikā. Attiecīgā papildus piešķīruma pirmā posma ietvaros VM neatliekamo pasākumu īstenošanai no nozaru ministrijām pārdalīti 57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w:t>
      </w:r>
    </w:p>
    <w:bookmarkEnd w:id="153"/>
    <w:p w14:paraId="1EA0D647" w14:textId="7ADD6047" w:rsidR="00276424" w:rsidRPr="00307028" w:rsidRDefault="00276424"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Tāpat VM 2023. gadā izskatīšanai MK virzījusi informatīvos ziņojumus par priekšlikumiem slimnīcu tīkla stiprināšanai</w:t>
      </w:r>
      <w:r w:rsidRPr="00307028">
        <w:rPr>
          <w:rFonts w:eastAsiaTheme="minorHAnsi" w:cstheme="minorBidi"/>
          <w:kern w:val="2"/>
          <w:vertAlign w:val="superscript"/>
          <w:lang w:eastAsia="en-US"/>
          <w14:ligatures w14:val="standardContextual"/>
        </w:rPr>
        <w:footnoteReference w:id="38"/>
      </w:r>
      <w:r w:rsidRPr="00307028">
        <w:rPr>
          <w:rFonts w:eastAsiaTheme="minorHAnsi" w:cstheme="minorBidi"/>
          <w:kern w:val="2"/>
          <w:lang w:eastAsia="en-US"/>
          <w14:ligatures w14:val="standardContextual"/>
        </w:rPr>
        <w:t xml:space="preserve"> un laboratorijas pakalpojumu finansiālās pieejamības uzlabošanu. Saistībā ar šiem diviem jautājumiem izdevumu pārskatīšanas ietvaros tika veikts izvērtējums par laboratoriju, kas saņem valsts budžeta finansējumu no VM (NVD), </w:t>
      </w:r>
      <w:r w:rsidR="003E42D5">
        <w:rPr>
          <w:rFonts w:eastAsiaTheme="minorHAnsi" w:cstheme="minorBidi"/>
          <w:kern w:val="2"/>
          <w:lang w:eastAsia="en-US"/>
          <w14:ligatures w14:val="standardContextual"/>
        </w:rPr>
        <w:t>pakalpojumiem</w:t>
      </w:r>
      <w:r w:rsidRPr="00307028">
        <w:rPr>
          <w:rFonts w:eastAsiaTheme="minorHAnsi" w:cstheme="minorBidi"/>
          <w:kern w:val="2"/>
          <w:lang w:eastAsia="en-US"/>
          <w14:ligatures w14:val="standardContextual"/>
        </w:rPr>
        <w:t>, kā arī par veselības nozares iestāžu (slimnīcu, medicīnas centru utt.) rentabilitāti.</w:t>
      </w:r>
    </w:p>
    <w:p w14:paraId="1D6EBA5C" w14:textId="48A5E075"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Tā kā rezultatīvie rādītāji ir neiztrūkstošs elements </w:t>
      </w:r>
      <w:r w:rsidRPr="00307028">
        <w:rPr>
          <w:rFonts w:eastAsiaTheme="minorHAnsi" w:cstheme="minorBidi"/>
          <w:i/>
          <w:iCs/>
          <w:kern w:val="2"/>
          <w:lang w:eastAsia="en-US"/>
          <w14:ligatures w14:val="standardContextual"/>
        </w:rPr>
        <w:t>value-for-money</w:t>
      </w:r>
      <w:r w:rsidRPr="00307028">
        <w:rPr>
          <w:rFonts w:eastAsiaTheme="minorHAnsi" w:cstheme="minorBidi"/>
          <w:kern w:val="2"/>
          <w:lang w:eastAsia="en-US"/>
          <w14:ligatures w14:val="standardContextual"/>
        </w:rPr>
        <w:t xml:space="preserve"> principa īstenošanā, šīs sadaļas ietvaros tiks apskatīti arī atsevišķi VM rezultatīvie rādītāji, kā arī tiks vērtēts tas, cik lielā mērā tie raksturo attiecīgajā budžeta programmā/apakšprogrammā definētos mērķus un vai to plānotās vērtības korelē ar budžeta programmai/apakšprogrammai piešķirto finansējumu.</w:t>
      </w:r>
    </w:p>
    <w:p w14:paraId="3BF03064"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Informatīvā ziņojuma ietvaros tiks aplūkots arī PVO pētījums par Tadžikistānas veselības nozares finansēšanu, akcentējot risinājumus, kā rast papildus līdzekļus nozares vajadzībām, kas varētu būt izmantojami arī Latvijas gadījumā.</w:t>
      </w:r>
    </w:p>
    <w:p w14:paraId="35769C0C" w14:textId="77777777" w:rsidR="00580DD6" w:rsidRDefault="00580DD6" w:rsidP="00FD7666">
      <w:pPr>
        <w:spacing w:after="120" w:line="259" w:lineRule="auto"/>
        <w:ind w:firstLine="720"/>
        <w:jc w:val="both"/>
        <w:rPr>
          <w:rFonts w:eastAsiaTheme="minorHAnsi" w:cstheme="minorBidi"/>
          <w:b/>
          <w:bCs/>
          <w:i/>
          <w:iCs/>
          <w:kern w:val="2"/>
          <w:lang w:eastAsia="en-US"/>
          <w14:ligatures w14:val="standardContextual"/>
        </w:rPr>
      </w:pPr>
    </w:p>
    <w:p w14:paraId="07E1E809" w14:textId="77777777" w:rsidR="00580DD6" w:rsidRDefault="00580DD6" w:rsidP="00FD7666">
      <w:pPr>
        <w:spacing w:after="120" w:line="259" w:lineRule="auto"/>
        <w:ind w:firstLine="720"/>
        <w:jc w:val="both"/>
        <w:rPr>
          <w:rFonts w:eastAsiaTheme="minorHAnsi" w:cstheme="minorBidi"/>
          <w:b/>
          <w:bCs/>
          <w:i/>
          <w:iCs/>
          <w:kern w:val="2"/>
          <w:lang w:eastAsia="en-US"/>
          <w14:ligatures w14:val="standardContextual"/>
        </w:rPr>
      </w:pPr>
    </w:p>
    <w:p w14:paraId="087D456C" w14:textId="224D3B1F" w:rsidR="00FD7666" w:rsidRPr="00307028" w:rsidRDefault="00FD7666" w:rsidP="00FD7666">
      <w:pPr>
        <w:spacing w:after="120" w:line="259" w:lineRule="auto"/>
        <w:ind w:firstLine="720"/>
        <w:jc w:val="both"/>
        <w:rPr>
          <w:rFonts w:eastAsiaTheme="minorHAnsi" w:cstheme="minorBidi"/>
          <w:b/>
          <w:bCs/>
          <w:i/>
          <w:iCs/>
          <w:kern w:val="2"/>
          <w:lang w:eastAsia="en-US"/>
          <w14:ligatures w14:val="standardContextual"/>
        </w:rPr>
      </w:pPr>
      <w:r w:rsidRPr="00307028">
        <w:rPr>
          <w:rFonts w:eastAsiaTheme="minorHAnsi" w:cstheme="minorBidi"/>
          <w:b/>
          <w:bCs/>
          <w:i/>
          <w:iCs/>
          <w:kern w:val="2"/>
          <w:lang w:eastAsia="en-US"/>
          <w14:ligatures w14:val="standardContextual"/>
        </w:rPr>
        <w:lastRenderedPageBreak/>
        <w:t>Veselības nozares starptautiskais salīdzinājums</w:t>
      </w:r>
    </w:p>
    <w:p w14:paraId="48DCF296"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Starptautiskā salīdzinājuma ietvaros aplūkots, kā Latvijas veselības nozare pozicionējas ES un OECD dalībvalstu vidū gan finansiāli, gan saistībā ar dažāda veida saslimšanām.</w:t>
      </w:r>
    </w:p>
    <w:p w14:paraId="1EB7D651" w14:textId="2B962BFB" w:rsidR="00AE7B9D" w:rsidRPr="00307028" w:rsidRDefault="00FD7666" w:rsidP="0052644A">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Sākotnēji tiks aplūkoti galvenie veselības nozares finansiālie rādītāji. Valsts budžeta izdevumi, kas </w:t>
      </w:r>
      <w:r w:rsidR="00F06038" w:rsidRPr="00307028">
        <w:rPr>
          <w:rFonts w:eastAsiaTheme="minorHAnsi" w:cstheme="minorBidi"/>
          <w:kern w:val="2"/>
          <w:lang w:eastAsia="en-US"/>
          <w14:ligatures w14:val="standardContextual"/>
        </w:rPr>
        <w:t>piešķirti</w:t>
      </w:r>
      <w:r w:rsidRPr="00307028">
        <w:rPr>
          <w:rFonts w:eastAsiaTheme="minorHAnsi" w:cstheme="minorBidi"/>
          <w:kern w:val="2"/>
          <w:lang w:eastAsia="en-US"/>
          <w14:ligatures w14:val="standardContextual"/>
        </w:rPr>
        <w:t xml:space="preserve"> VM, ir pieauguši ik gadu 2023. gadā VM budžetam, neskaitot papildus piešķirto finansējumu, sasniedzot 1 619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kas, salīdzinot ar 2017. gadu, ir par 766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jeb 47% vairāk. Jāatzīmē, ka būtisku papildus finansējumu veselības nozarei bija iespēja iegūt no EK atļautās budžeta deficīta atkāpes 2017. gadā 34,3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2018. gadā 113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bet 2019. gadā 154,2 milj. </w:t>
      </w:r>
      <w:r w:rsidRPr="00307028">
        <w:rPr>
          <w:rFonts w:eastAsiaTheme="minorHAnsi" w:cstheme="minorBidi"/>
          <w:i/>
          <w:iCs/>
          <w:kern w:val="2"/>
          <w:lang w:eastAsia="en-US"/>
          <w14:ligatures w14:val="standardContextual"/>
        </w:rPr>
        <w:t xml:space="preserve">euro </w:t>
      </w:r>
      <w:r w:rsidRPr="00307028">
        <w:rPr>
          <w:rFonts w:eastAsiaTheme="minorHAnsi" w:cstheme="minorBidi"/>
          <w:kern w:val="2"/>
          <w:lang w:eastAsia="en-US"/>
          <w14:ligatures w14:val="standardContextual"/>
        </w:rPr>
        <w:t>apmērā. Tāpat VM tika piešķirts būtisks finansējums Covid-19 pandēmijas gados – 82,8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2020. gadā, 560,5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2021. gadā un 414,1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2022. gadā (Attēls Nr. 3.1.1.). Mazinoties Covid-19 pandēmijas izraisītajām sekām, sekoja papildus finansējuma samazinājums, taču ir vērts atzīmēt, ka pa šiem gadiem daļa no šī Covid-19 seku novēršanai papildus piešķirtā finansējuma iekļāvās veselības nozares apgrozījumā tik lielā mērā, ka tā iztrūkums veselības nozarē izraisīja tūlītēju krīzi īsi pēc 2023. gada valsts budžeta pieņemšanas, kas rezultējās ar izstrādāto mehānismu par papildus 140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piešķiršanu veselības nozarei 2023. gada laikā. Tāpat ir jāatzīmē, ka VM 2021. – 2027. gada plānošanas periodā ir pieejams ES fondu finansējums 381,6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kā arī ANM finansējums 181,5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investīciju un veselības nozares pasākumu īstenošanai.</w:t>
      </w:r>
    </w:p>
    <w:p w14:paraId="17E7106A" w14:textId="458F8D5E" w:rsidR="00FD7666" w:rsidRPr="00307028" w:rsidRDefault="00FD7666" w:rsidP="00F06038">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3.1.1. attēls</w:t>
      </w:r>
      <w:r w:rsidRPr="00307028">
        <w:rPr>
          <w:rFonts w:eastAsiaTheme="minorHAnsi" w:cstheme="minorBidi"/>
          <w:b/>
          <w:bCs/>
          <w:kern w:val="2"/>
          <w:sz w:val="22"/>
          <w:szCs w:val="22"/>
          <w:lang w:eastAsia="en-US"/>
          <w14:ligatures w14:val="standardContextual"/>
        </w:rPr>
        <w:t xml:space="preserve"> VM izdevumi (milj. </w:t>
      </w:r>
      <w:r w:rsidRPr="00307028">
        <w:rPr>
          <w:rFonts w:eastAsiaTheme="minorHAnsi" w:cstheme="minorBidi"/>
          <w:b/>
          <w:bCs/>
          <w:i/>
          <w:iCs/>
          <w:kern w:val="2"/>
          <w:sz w:val="22"/>
          <w:szCs w:val="22"/>
          <w:lang w:eastAsia="en-US"/>
          <w14:ligatures w14:val="standardContextual"/>
        </w:rPr>
        <w:t>euro</w:t>
      </w:r>
      <w:r w:rsidRPr="00307028">
        <w:rPr>
          <w:rFonts w:eastAsiaTheme="minorHAnsi" w:cstheme="minorBidi"/>
          <w:b/>
          <w:bCs/>
          <w:kern w:val="2"/>
          <w:sz w:val="22"/>
          <w:szCs w:val="22"/>
          <w:lang w:eastAsia="en-US"/>
          <w14:ligatures w14:val="standardContextual"/>
        </w:rPr>
        <w:t>)</w:t>
      </w:r>
    </w:p>
    <w:p w14:paraId="166D7B1E" w14:textId="564174F2" w:rsidR="00FD7666" w:rsidRPr="00307028" w:rsidRDefault="00F06038"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3C0F530F" wp14:editId="4B0A7CE1">
            <wp:extent cx="5835015" cy="3147730"/>
            <wp:effectExtent l="0" t="0" r="0" b="0"/>
            <wp:docPr id="1026344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35015" cy="3147730"/>
                    </a:xfrm>
                    <a:prstGeom prst="rect">
                      <a:avLst/>
                    </a:prstGeom>
                    <a:noFill/>
                  </pic:spPr>
                </pic:pic>
              </a:graphicData>
            </a:graphic>
          </wp:inline>
        </w:drawing>
      </w:r>
    </w:p>
    <w:p w14:paraId="3BDF5D7E" w14:textId="551115FB" w:rsidR="00AE7B9D" w:rsidRPr="00307028" w:rsidRDefault="00FD7666" w:rsidP="00580DD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Starptautiskā griezumā finansējums veselības nozarei Latvijā ir viens no zemākajiem starp ES dalībvalstīm. 2021. gadā gan bija vērojams finansējuma pieaugums (lielākais starp visām ES dalībvalstīm). Tā piemēram 2021. gadā veselības nozarei Latvijā tika atvēlēti 14,2%</w:t>
      </w:r>
      <w:r w:rsidR="00BF15EE">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 xml:space="preserve">no kopējiem vispārējās valdības izdevumiem, kas ir par 3 procentpunktiem vairāk nekā gadu iepriekš. Latvija joprojām par 1,5% atpalika no Igaunijas un Lietuvas un par 1,6% atpalika no ES vidējā rādītāja (Attēls Nr.3.1.2.). Tāda pati pozīcija starp pārējām ES dalībvalstīm (proti, astotā vieta no beigām) Latvijai ir arī tad, ja salīdzina veselības izdevumu apmēru pret IKP. Ņemot vērā valstu atšķirīgo nodokļu politiku (iekasēto nodokļu apjomu), mainās to izkārtojuma secība. Šo aprēķinu ietvaros Latvijas izdevumi pat ir par 0,3% lielāki nekā Lietuvai, taču par 0,3% mazāki nekā Igaunijai un par 1,9% mazāki nekā ES vidējais rādītājs. Jāpiezīmē, ka </w:t>
      </w:r>
      <w:r w:rsidRPr="00307028">
        <w:rPr>
          <w:rFonts w:eastAsiaTheme="minorHAnsi" w:cstheme="minorBidi"/>
          <w:kern w:val="2"/>
          <w:lang w:eastAsia="en-US"/>
          <w14:ligatures w14:val="standardContextual"/>
        </w:rPr>
        <w:lastRenderedPageBreak/>
        <w:t>salīdzinājumā ar 2020. gadu Latvijas izdevumi veselības nozarei pieauguši par 1,5 procentpunktiem, kamēr Lietuvā rādītājs saglabājies nemainīgs, bet Igaunijā pat mazliet samazinājies, kas raisa jautājumu par atbalsta samērīgumu Covid-19 seku novēršanai (Attēls Nr. 3.1.3.).</w:t>
      </w:r>
    </w:p>
    <w:p w14:paraId="329950E7" w14:textId="62385E5B" w:rsidR="00FD7666" w:rsidRPr="00307028" w:rsidRDefault="00FD7666" w:rsidP="00F06038">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3.1.2. attēls</w:t>
      </w:r>
      <w:r w:rsidRPr="00307028">
        <w:rPr>
          <w:rFonts w:eastAsiaTheme="minorHAnsi" w:cstheme="minorBidi"/>
          <w:b/>
          <w:bCs/>
          <w:kern w:val="2"/>
          <w:sz w:val="22"/>
          <w:szCs w:val="22"/>
          <w:lang w:eastAsia="en-US"/>
          <w14:ligatures w14:val="standardContextual"/>
        </w:rPr>
        <w:t xml:space="preserve"> Vispārējās valdības izdevumi veselībai 2021. gadā (salīdzinājumā ar 2020. gadu, % no kopējiem izdevumiem)</w:t>
      </w:r>
      <w:r w:rsidRPr="00307028">
        <w:rPr>
          <w:rFonts w:eastAsiaTheme="minorHAnsi" w:cstheme="minorBidi"/>
          <w:b/>
          <w:bCs/>
          <w:kern w:val="2"/>
          <w:sz w:val="22"/>
          <w:szCs w:val="22"/>
          <w:vertAlign w:val="superscript"/>
          <w:lang w:eastAsia="en-US"/>
          <w14:ligatures w14:val="standardContextual"/>
        </w:rPr>
        <w:footnoteReference w:id="39"/>
      </w:r>
    </w:p>
    <w:p w14:paraId="3EC172B4"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292F8F07" wp14:editId="086CA3A1">
            <wp:extent cx="5370830" cy="2895600"/>
            <wp:effectExtent l="0" t="0" r="1270" b="0"/>
            <wp:docPr id="2112114143" name="Picture 4" descr="A graph of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14143" name="Picture 4" descr="A graph of numbers and a number of people&#10;&#10;Description automatically generated"/>
                    <pic:cNvPicPr>
                      <a:picLocks noChangeAspect="1" noChangeArrowheads="1"/>
                    </pic:cNvPicPr>
                  </pic:nvPicPr>
                  <pic:blipFill rotWithShape="1">
                    <a:blip r:embed="rId72">
                      <a:extLst>
                        <a:ext uri="{28A0092B-C50C-407E-A947-70E740481C1C}">
                          <a14:useLocalDpi xmlns:a14="http://schemas.microsoft.com/office/drawing/2010/main" val="0"/>
                        </a:ext>
                      </a:extLst>
                    </a:blip>
                    <a:srcRect t="8564"/>
                    <a:stretch/>
                  </pic:blipFill>
                  <pic:spPr bwMode="auto">
                    <a:xfrm>
                      <a:off x="0" y="0"/>
                      <a:ext cx="537083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1E5A3EFE" w14:textId="77777777" w:rsidR="00FD7666" w:rsidRPr="00307028" w:rsidRDefault="00FD7666" w:rsidP="000B2E85">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3.1.3. attēls</w:t>
      </w:r>
      <w:r w:rsidRPr="00307028">
        <w:rPr>
          <w:rFonts w:eastAsiaTheme="minorHAnsi" w:cstheme="minorBidi"/>
          <w:b/>
          <w:bCs/>
          <w:kern w:val="2"/>
          <w:sz w:val="22"/>
          <w:szCs w:val="22"/>
          <w:lang w:eastAsia="en-US"/>
          <w14:ligatures w14:val="standardContextual"/>
        </w:rPr>
        <w:t xml:space="preserve"> Vispārējās valdības izdevumi veselībai 2021. gadā (salīdzinājumā ar 2020. gadu, % no IKP)</w:t>
      </w:r>
      <w:r w:rsidRPr="00307028">
        <w:rPr>
          <w:rFonts w:eastAsiaTheme="minorHAnsi" w:cstheme="minorBidi"/>
          <w:b/>
          <w:bCs/>
          <w:kern w:val="2"/>
          <w:sz w:val="22"/>
          <w:szCs w:val="22"/>
          <w:vertAlign w:val="superscript"/>
          <w:lang w:eastAsia="en-US"/>
          <w14:ligatures w14:val="standardContextual"/>
        </w:rPr>
        <w:footnoteReference w:id="40"/>
      </w:r>
    </w:p>
    <w:p w14:paraId="072F5F1C"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1FBB3E5E" wp14:editId="5D76F790">
            <wp:extent cx="5170805" cy="2819400"/>
            <wp:effectExtent l="0" t="0" r="0" b="0"/>
            <wp:docPr id="799241137" name="Picture 5"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41137" name="Picture 5" descr="A graph of a number of people&#10;&#10;Description automatically generated"/>
                    <pic:cNvPicPr>
                      <a:picLocks noChangeAspect="1" noChangeArrowheads="1"/>
                    </pic:cNvPicPr>
                  </pic:nvPicPr>
                  <pic:blipFill rotWithShape="1">
                    <a:blip r:embed="rId73">
                      <a:extLst>
                        <a:ext uri="{28A0092B-C50C-407E-A947-70E740481C1C}">
                          <a14:useLocalDpi xmlns:a14="http://schemas.microsoft.com/office/drawing/2010/main" val="0"/>
                        </a:ext>
                      </a:extLst>
                    </a:blip>
                    <a:srcRect t="10278"/>
                    <a:stretch/>
                  </pic:blipFill>
                  <pic:spPr bwMode="auto">
                    <a:xfrm>
                      <a:off x="0" y="0"/>
                      <a:ext cx="5170805"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0881A025" w14:textId="16203026" w:rsidR="00A73B4C" w:rsidRPr="00307028" w:rsidRDefault="00FD7666" w:rsidP="00580DD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Apskatot vispārējās valdības un obligātās veselības apdrošināšanas sistēmas finansējumu pa atsevišķiem veselības aprūpes pakalpojumu veidiem, viennozīmīgi secināms, ka Latvijas rādītāji atpaliek gan no Lietuvas un Igaunijas, gan ES vidējā rādītāja. Vislabākā situācija Latvijas gadījumā ir stacionārās veselības aprūpes jomā, kur valsts budžets vai obligātās veselības apdrošināšanas budžets sedz 87% no pakalpojuma izmaksām (ES vidēji – 91%). Citos rādītājos atpalicība ir lielāka – ambulatorajā aprūpē Latvijā valsts budžets sedz </w:t>
      </w:r>
      <w:r w:rsidRPr="00307028">
        <w:rPr>
          <w:rFonts w:eastAsiaTheme="minorHAnsi" w:cstheme="minorBidi"/>
          <w:kern w:val="2"/>
          <w:lang w:eastAsia="en-US"/>
          <w14:ligatures w14:val="standardContextual"/>
        </w:rPr>
        <w:lastRenderedPageBreak/>
        <w:t>58% pakalpojuma izmaksas (ES vidēji – 78%), zobārstniecībā Latvijā tikai 12% no pakalpojuma izmaksām ir par valsts budžeta līdzekļiem, kamēr ES vidējais rādītājs ir 34%, savukārt medikamentu sadaļā Latvijas budžeta finansējums ir 41% (ES vidēji – 59%) (Attēls Nr. 3.1.4.).</w:t>
      </w:r>
    </w:p>
    <w:p w14:paraId="6E0C1776" w14:textId="77777777" w:rsidR="00FD7666" w:rsidRPr="00307028" w:rsidRDefault="00FD7666" w:rsidP="000B2E85">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3.1.4. attēls</w:t>
      </w:r>
      <w:r w:rsidRPr="00307028">
        <w:rPr>
          <w:rFonts w:eastAsiaTheme="minorHAnsi" w:cstheme="minorBidi"/>
          <w:b/>
          <w:bCs/>
          <w:kern w:val="2"/>
          <w:sz w:val="22"/>
          <w:szCs w:val="22"/>
          <w:lang w:eastAsia="en-US"/>
          <w14:ligatures w14:val="standardContextual"/>
        </w:rPr>
        <w:t xml:space="preserve"> Valdības un obligātās veselības apdrošināšanas sistēmas finansējums atsevišķiem veselības aprūpes pakalpojumiem 2020. gadā</w:t>
      </w:r>
      <w:r w:rsidRPr="00307028">
        <w:rPr>
          <w:rFonts w:eastAsiaTheme="minorHAnsi" w:cstheme="minorBidi"/>
          <w:b/>
          <w:bCs/>
          <w:kern w:val="2"/>
          <w:sz w:val="22"/>
          <w:szCs w:val="22"/>
          <w:vertAlign w:val="superscript"/>
          <w:lang w:eastAsia="en-US"/>
          <w14:ligatures w14:val="standardContextual"/>
        </w:rPr>
        <w:footnoteReference w:id="41"/>
      </w:r>
    </w:p>
    <w:p w14:paraId="60ECF623"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5828EBA8" wp14:editId="1CB2D96E">
            <wp:extent cx="5273700" cy="5181600"/>
            <wp:effectExtent l="0" t="0" r="3175" b="0"/>
            <wp:docPr id="1264317718" name="Picture 1" descr="A chart of different medical c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17718" name="Picture 1" descr="A chart of different medical care&#10;&#10;Description automatically generated"/>
                    <pic:cNvPicPr/>
                  </pic:nvPicPr>
                  <pic:blipFill rotWithShape="1">
                    <a:blip r:embed="rId74">
                      <a:extLst>
                        <a:ext uri="{28A0092B-C50C-407E-A947-70E740481C1C}">
                          <a14:useLocalDpi xmlns:a14="http://schemas.microsoft.com/office/drawing/2010/main" val="0"/>
                        </a:ext>
                      </a:extLst>
                    </a:blip>
                    <a:srcRect b="1840"/>
                    <a:stretch/>
                  </pic:blipFill>
                  <pic:spPr bwMode="auto">
                    <a:xfrm>
                      <a:off x="0" y="0"/>
                      <a:ext cx="5277398" cy="5185234"/>
                    </a:xfrm>
                    <a:prstGeom prst="rect">
                      <a:avLst/>
                    </a:prstGeom>
                    <a:ln>
                      <a:noFill/>
                    </a:ln>
                    <a:extLst>
                      <a:ext uri="{53640926-AAD7-44D8-BBD7-CCE9431645EC}">
                        <a14:shadowObscured xmlns:a14="http://schemas.microsoft.com/office/drawing/2010/main"/>
                      </a:ext>
                    </a:extLst>
                  </pic:spPr>
                </pic:pic>
              </a:graphicData>
            </a:graphic>
          </wp:inline>
        </w:drawing>
      </w:r>
    </w:p>
    <w:p w14:paraId="7DAB88AF" w14:textId="508DD206"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Ņemot vērā Attēlā Nr. 3.1.4. atspoguļotos datus, nepārsteidz tas, ka medicīnas pakalpojumu saņēmēju (pacientu) maksājumi no personīgajiem līdzekļiem </w:t>
      </w:r>
      <w:r w:rsidRPr="00307028">
        <w:rPr>
          <w:rFonts w:eastAsiaTheme="minorHAnsi" w:cstheme="minorBidi"/>
          <w:i/>
          <w:iCs/>
          <w:kern w:val="2"/>
          <w:lang w:eastAsia="en-US"/>
          <w14:ligatures w14:val="standardContextual"/>
        </w:rPr>
        <w:t>(“out of pocket”</w:t>
      </w:r>
      <w:r w:rsidRPr="00307028">
        <w:rPr>
          <w:rFonts w:eastAsiaTheme="minorHAnsi" w:cstheme="minorBidi"/>
          <w:kern w:val="2"/>
          <w:lang w:eastAsia="en-US"/>
          <w14:ligatures w14:val="standardContextual"/>
        </w:rPr>
        <w:t>) Latvijā ir daudz lielāki nekā citās ES dalībvalstīs. 2020. gadā tie bijuši 4,3% apmērā no kopējiem mājsaimniecības izdevumiem, kamēr ES vidējais rādītājs bija 3,3% (Attēls Nr.</w:t>
      </w:r>
      <w:r w:rsidR="000B2E85"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3.1.5.).</w:t>
      </w:r>
    </w:p>
    <w:p w14:paraId="11AE0512" w14:textId="77777777" w:rsidR="00A73B4C" w:rsidRDefault="00A73B4C" w:rsidP="00B00E00">
      <w:pPr>
        <w:spacing w:after="120" w:line="259" w:lineRule="auto"/>
        <w:jc w:val="both"/>
        <w:rPr>
          <w:rFonts w:eastAsiaTheme="minorHAnsi" w:cstheme="minorBidi"/>
          <w:kern w:val="2"/>
          <w:lang w:eastAsia="en-US"/>
          <w14:ligatures w14:val="standardContextual"/>
        </w:rPr>
      </w:pPr>
    </w:p>
    <w:p w14:paraId="6FEA5B5B" w14:textId="77777777" w:rsidR="00580DD6" w:rsidRDefault="00580DD6" w:rsidP="00B00E00">
      <w:pPr>
        <w:spacing w:after="120" w:line="259" w:lineRule="auto"/>
        <w:jc w:val="both"/>
        <w:rPr>
          <w:rFonts w:eastAsiaTheme="minorHAnsi" w:cstheme="minorBidi"/>
          <w:kern w:val="2"/>
          <w:lang w:eastAsia="en-US"/>
          <w14:ligatures w14:val="standardContextual"/>
        </w:rPr>
      </w:pPr>
    </w:p>
    <w:p w14:paraId="2F74798B" w14:textId="77777777" w:rsidR="00580DD6" w:rsidRDefault="00580DD6" w:rsidP="00B00E00">
      <w:pPr>
        <w:spacing w:after="120" w:line="259" w:lineRule="auto"/>
        <w:jc w:val="both"/>
        <w:rPr>
          <w:rFonts w:eastAsiaTheme="minorHAnsi" w:cstheme="minorBidi"/>
          <w:kern w:val="2"/>
          <w:lang w:eastAsia="en-US"/>
          <w14:ligatures w14:val="standardContextual"/>
        </w:rPr>
      </w:pPr>
    </w:p>
    <w:p w14:paraId="7865C04A" w14:textId="77777777" w:rsidR="00580DD6" w:rsidRDefault="00580DD6" w:rsidP="00B00E00">
      <w:pPr>
        <w:spacing w:after="120" w:line="259" w:lineRule="auto"/>
        <w:jc w:val="both"/>
        <w:rPr>
          <w:rFonts w:eastAsiaTheme="minorHAnsi" w:cstheme="minorBidi"/>
          <w:kern w:val="2"/>
          <w:lang w:eastAsia="en-US"/>
          <w14:ligatures w14:val="standardContextual"/>
        </w:rPr>
      </w:pPr>
    </w:p>
    <w:p w14:paraId="3C91EC09" w14:textId="77777777" w:rsidR="00580DD6" w:rsidRPr="00307028" w:rsidRDefault="00580DD6" w:rsidP="00B00E00">
      <w:pPr>
        <w:spacing w:after="120" w:line="259" w:lineRule="auto"/>
        <w:jc w:val="both"/>
        <w:rPr>
          <w:rFonts w:eastAsiaTheme="minorHAnsi" w:cstheme="minorBidi"/>
          <w:kern w:val="2"/>
          <w:lang w:eastAsia="en-US"/>
          <w14:ligatures w14:val="standardContextual"/>
        </w:rPr>
      </w:pPr>
    </w:p>
    <w:p w14:paraId="33583DD3" w14:textId="77777777" w:rsidR="00FD7666" w:rsidRPr="00307028" w:rsidRDefault="00FD7666" w:rsidP="000B2E85">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3.1.5. attēls</w:t>
      </w:r>
      <w:r w:rsidRPr="00307028">
        <w:rPr>
          <w:rFonts w:eastAsiaTheme="minorHAnsi" w:cstheme="minorBidi"/>
          <w:b/>
          <w:bCs/>
          <w:kern w:val="2"/>
          <w:sz w:val="22"/>
          <w:szCs w:val="22"/>
          <w:lang w:eastAsia="en-US"/>
          <w14:ligatures w14:val="standardContextual"/>
        </w:rPr>
        <w:t xml:space="preserve"> Mājsaimniecību </w:t>
      </w:r>
      <w:r w:rsidRPr="00307028">
        <w:rPr>
          <w:rFonts w:eastAsiaTheme="minorHAnsi" w:cstheme="minorBidi"/>
          <w:b/>
          <w:bCs/>
          <w:i/>
          <w:iCs/>
          <w:kern w:val="2"/>
          <w:sz w:val="22"/>
          <w:szCs w:val="22"/>
          <w:lang w:eastAsia="en-US"/>
          <w14:ligatures w14:val="standardContextual"/>
        </w:rPr>
        <w:t>“out of pocket”</w:t>
      </w:r>
      <w:r w:rsidRPr="00307028">
        <w:rPr>
          <w:rFonts w:eastAsiaTheme="minorHAnsi" w:cstheme="minorBidi"/>
          <w:b/>
          <w:bCs/>
          <w:kern w:val="2"/>
          <w:sz w:val="22"/>
          <w:szCs w:val="22"/>
          <w:lang w:eastAsia="en-US"/>
          <w14:ligatures w14:val="standardContextual"/>
        </w:rPr>
        <w:t xml:space="preserve"> maksājumi par veselības aprūpes pakalpojumiem 2020. gadā (% no kopējiem mājsaimniecības izdevumiem)</w:t>
      </w:r>
      <w:r w:rsidRPr="00307028">
        <w:rPr>
          <w:rFonts w:eastAsiaTheme="minorHAnsi" w:cstheme="minorBidi"/>
          <w:b/>
          <w:bCs/>
          <w:kern w:val="2"/>
          <w:sz w:val="22"/>
          <w:szCs w:val="22"/>
          <w:vertAlign w:val="superscript"/>
          <w:lang w:eastAsia="en-US"/>
          <w14:ligatures w14:val="standardContextual"/>
        </w:rPr>
        <w:footnoteReference w:id="42"/>
      </w:r>
    </w:p>
    <w:p w14:paraId="5B48A17D" w14:textId="77777777" w:rsidR="00FD7666" w:rsidRPr="00307028" w:rsidRDefault="00FD7666" w:rsidP="00580DD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600BE779" wp14:editId="6EC14014">
            <wp:extent cx="5430550" cy="2504661"/>
            <wp:effectExtent l="0" t="0" r="0" b="0"/>
            <wp:docPr id="1862368573" name="Picture 6"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68573" name="Picture 6" descr="A graph with different colored bars&#10;&#10;Description automatically generated"/>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4705"/>
                    <a:stretch/>
                  </pic:blipFill>
                  <pic:spPr bwMode="auto">
                    <a:xfrm>
                      <a:off x="0" y="0"/>
                      <a:ext cx="5435359" cy="2506879"/>
                    </a:xfrm>
                    <a:prstGeom prst="rect">
                      <a:avLst/>
                    </a:prstGeom>
                    <a:noFill/>
                    <a:ln>
                      <a:noFill/>
                    </a:ln>
                    <a:extLst>
                      <a:ext uri="{53640926-AAD7-44D8-BBD7-CCE9431645EC}">
                        <a14:shadowObscured xmlns:a14="http://schemas.microsoft.com/office/drawing/2010/main"/>
                      </a:ext>
                    </a:extLst>
                  </pic:spPr>
                </pic:pic>
              </a:graphicData>
            </a:graphic>
          </wp:inline>
        </w:drawing>
      </w:r>
    </w:p>
    <w:p w14:paraId="0C683073"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Lai arī valsts finansējums veselībai ir vidēji zems, tajā pašā laikā iedzīvotāju tiešmaksājumu apmērs ir salīdzinoši augsts, kā rezultātā kopējais finanšu apjoms veselības nozarē ir pietiekami liels, lai būtu pielīdzināms vismaz pārējām Baltijas valstīm. Ņemot vērā OECD un PVO datus, ir aprēķināmi izdevumi veselībai, ņemot vērā visus finansējuma avotus (tai skaitā iedzīvotāju veiktos tiešmaksājumus). Secināms, ka 2022. gadā izdevumi veselībai pēc pirktspējas paritātes Latvijā bija 3 445 ASV dolāri uz vienu iedzīvotāju, kas tikai nedaudz atpaliek no Lietuvas izdevumiem (3 587 ASV dolāri) un ir vairāk nekā Igaunijā (3 091 ASV dolārs). Tāpat Latvija ir priekšā, piemēram, Izraēlai, Grieķijai un Polijai (Attēls Nr. 3.1.6.). Atzīmējams ir arī fakts, ka salīdzinājumā ar 2015. gadu Latvijā ir bijis lielākais veselības izdevumu pieaugums uz vienu iedzīvotāju starp visām OECD dalībvalstīm, proti, 145,3%.</w:t>
      </w:r>
    </w:p>
    <w:p w14:paraId="14175ECE" w14:textId="77777777" w:rsidR="00FD7666" w:rsidRPr="00307028" w:rsidRDefault="00FD7666" w:rsidP="00744043">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3.1.6. attēls</w:t>
      </w:r>
      <w:r w:rsidRPr="00307028">
        <w:rPr>
          <w:rFonts w:eastAsiaTheme="minorHAnsi" w:cstheme="minorBidi"/>
          <w:b/>
          <w:bCs/>
          <w:kern w:val="2"/>
          <w:sz w:val="22"/>
          <w:szCs w:val="22"/>
          <w:lang w:eastAsia="en-US"/>
          <w14:ligatures w14:val="standardContextual"/>
        </w:rPr>
        <w:t xml:space="preserve"> Izdevumi veselībai no visiem finansējuma avotiem (valsts budžeta finansējums, obligātā veselības apdrošināšana, brīvprātīgā veselības apdrošināšana, </w:t>
      </w:r>
      <w:r w:rsidRPr="00307028">
        <w:rPr>
          <w:rFonts w:eastAsiaTheme="minorHAnsi" w:cstheme="minorBidi"/>
          <w:b/>
          <w:bCs/>
          <w:i/>
          <w:iCs/>
          <w:kern w:val="2"/>
          <w:sz w:val="22"/>
          <w:szCs w:val="22"/>
          <w:lang w:eastAsia="en-US"/>
          <w14:ligatures w14:val="standardContextual"/>
        </w:rPr>
        <w:t>“out of pocket”</w:t>
      </w:r>
      <w:r w:rsidRPr="00307028">
        <w:rPr>
          <w:rFonts w:eastAsiaTheme="minorHAnsi" w:cstheme="minorBidi"/>
          <w:b/>
          <w:bCs/>
          <w:kern w:val="2"/>
          <w:sz w:val="22"/>
          <w:szCs w:val="22"/>
          <w:lang w:eastAsia="en-US"/>
          <w14:ligatures w14:val="standardContextual"/>
        </w:rPr>
        <w:t xml:space="preserve"> utt.) pēc pirktspējas paritātes (ASV dolāros uz vienu iedzīvotāju)</w:t>
      </w:r>
      <w:r w:rsidRPr="00307028">
        <w:rPr>
          <w:rFonts w:eastAsiaTheme="minorHAnsi" w:cstheme="minorBidi"/>
          <w:b/>
          <w:bCs/>
          <w:kern w:val="2"/>
          <w:sz w:val="22"/>
          <w:szCs w:val="22"/>
          <w:vertAlign w:val="superscript"/>
          <w:lang w:eastAsia="en-US"/>
          <w14:ligatures w14:val="standardContextual"/>
        </w:rPr>
        <w:footnoteReference w:id="43"/>
      </w:r>
    </w:p>
    <w:p w14:paraId="5F9CD30F"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1F5A7AB1" wp14:editId="11C78080">
            <wp:extent cx="5774337" cy="2232660"/>
            <wp:effectExtent l="0" t="0" r="0" b="0"/>
            <wp:docPr id="1433341448" name="Picture 2"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41448" name="Picture 2" descr="A graph of different colored columns&#10;&#10;Description automatically generated"/>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0708" b="2131"/>
                    <a:stretch/>
                  </pic:blipFill>
                  <pic:spPr bwMode="auto">
                    <a:xfrm>
                      <a:off x="0" y="0"/>
                      <a:ext cx="5803932" cy="2244103"/>
                    </a:xfrm>
                    <a:prstGeom prst="rect">
                      <a:avLst/>
                    </a:prstGeom>
                    <a:noFill/>
                    <a:ln>
                      <a:noFill/>
                    </a:ln>
                    <a:extLst>
                      <a:ext uri="{53640926-AAD7-44D8-BBD7-CCE9431645EC}">
                        <a14:shadowObscured xmlns:a14="http://schemas.microsoft.com/office/drawing/2010/main"/>
                      </a:ext>
                    </a:extLst>
                  </pic:spPr>
                </pic:pic>
              </a:graphicData>
            </a:graphic>
          </wp:inline>
        </w:drawing>
      </w:r>
    </w:p>
    <w:p w14:paraId="1E59D891"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Latvijas gadījumā veselības nozares finansējumu veido trīs komponentes. 2021. gadā 2,1 mljrd.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ir bijis valsts finansējums (ne tikai VM, bet veselības nozarei kopumā), 819,7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bijuši iedzīvotāju individuālie maksājumi, bet brīvprātīgās veselības apdrošināšanas apjoms bijis vien 108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Attēlā Nr. 3.1.7. redzams, kā šis finansējums sadalās pa veselības nozares funkcijām, kā trīs lielākās izdevumu pozīcijas uzskaitot </w:t>
      </w:r>
      <w:r w:rsidRPr="00307028">
        <w:rPr>
          <w:rFonts w:eastAsiaTheme="minorHAnsi" w:cstheme="minorBidi"/>
          <w:kern w:val="2"/>
          <w:lang w:eastAsia="en-US"/>
          <w14:ligatures w14:val="standardContextual"/>
        </w:rPr>
        <w:lastRenderedPageBreak/>
        <w:t>ambulatoro, ārstniecisko un rehabilitējošo aprūpi 956,4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(597,6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no valsts budžeta, 306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no iedzīvotāju maksājumiem un 52,8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no brīvprātīgās veselības apdrošināšanas finansējuma avota), stacionāro, ārstniecisko un rehabilitējošo aprūpi, 670,4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kur lielākā finansējuma daļa tiek piešķirta no valsts budžeta un zālēm un medicīnas precēm 594,4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kur savukārt izteikti dominē </w:t>
      </w:r>
      <w:r w:rsidRPr="00307028">
        <w:rPr>
          <w:rFonts w:eastAsiaTheme="minorHAnsi" w:cstheme="minorBidi"/>
          <w:i/>
          <w:iCs/>
          <w:kern w:val="2"/>
          <w:lang w:eastAsia="en-US"/>
          <w14:ligatures w14:val="standardContextual"/>
        </w:rPr>
        <w:t>“out of pocket”</w:t>
      </w:r>
      <w:r w:rsidRPr="00307028">
        <w:rPr>
          <w:rFonts w:eastAsiaTheme="minorHAnsi" w:cstheme="minorBidi"/>
          <w:kern w:val="2"/>
          <w:lang w:eastAsia="en-US"/>
          <w14:ligatures w14:val="standardContextual"/>
        </w:rPr>
        <w:t xml:space="preserve"> finansējuma avots.</w:t>
      </w:r>
    </w:p>
    <w:p w14:paraId="77D5FEA6" w14:textId="77777777" w:rsidR="00FD7666" w:rsidRPr="00307028" w:rsidRDefault="00FD7666" w:rsidP="00FD7666">
      <w:pPr>
        <w:spacing w:after="120"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3.1.7. attēls</w:t>
      </w:r>
      <w:r w:rsidRPr="00307028">
        <w:rPr>
          <w:rFonts w:eastAsiaTheme="minorHAnsi" w:cstheme="minorBidi"/>
          <w:b/>
          <w:bCs/>
          <w:kern w:val="2"/>
          <w:sz w:val="22"/>
          <w:szCs w:val="22"/>
          <w:lang w:eastAsia="en-US"/>
          <w14:ligatures w14:val="standardContextual"/>
        </w:rPr>
        <w:t xml:space="preserve"> Izdevumu funkcionālais dalījums pa finansēšanas avotiem veselības aprūpē 2021. gadā</w:t>
      </w:r>
      <w:r w:rsidRPr="00307028">
        <w:rPr>
          <w:rFonts w:eastAsiaTheme="minorHAnsi" w:cstheme="minorBidi"/>
          <w:b/>
          <w:bCs/>
          <w:kern w:val="2"/>
          <w:sz w:val="22"/>
          <w:szCs w:val="22"/>
          <w:vertAlign w:val="superscript"/>
          <w:lang w:eastAsia="en-US"/>
          <w14:ligatures w14:val="standardContextual"/>
        </w:rPr>
        <w:footnoteReference w:id="44"/>
      </w:r>
    </w:p>
    <w:p w14:paraId="67972D8C"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3C4993F7" wp14:editId="73B617BA">
            <wp:extent cx="5510254" cy="2885502"/>
            <wp:effectExtent l="0" t="0" r="0" b="0"/>
            <wp:docPr id="1946251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32827" cy="2897323"/>
                    </a:xfrm>
                    <a:prstGeom prst="rect">
                      <a:avLst/>
                    </a:prstGeom>
                    <a:noFill/>
                  </pic:spPr>
                </pic:pic>
              </a:graphicData>
            </a:graphic>
          </wp:inline>
        </w:drawing>
      </w:r>
    </w:p>
    <w:p w14:paraId="2DBB4ED1"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Pievēršoties veselības rādītājiem, norādāms, ka objektīvu ieskatu tajos var sniegt neatkarīgu profesionālo institūciju apkopotā informācija, ar kuras palīdzību pēc vienotiem principiem iespējams veikt starptautisku salīdzinājumu. Lai apskatītu ES iedzīvotāju nāves cēloņus, tika izmantoti Vašingtonas Universitātes Veselības metrikas un vērtēšanas institūta publiski pieejamie dati par ES dalībvalstīm.</w:t>
      </w:r>
    </w:p>
    <w:p w14:paraId="05CB848B" w14:textId="7D6ADA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Apskatot kopainu par ES dalībvalstīm, visās vecuma grupās kopā izkristalizējas divas izplatītākās nāves cēloņu grupas, kas ir nemainīgas visā ES, proti, sirds un asinsvadu slimības un audzēji. Tomēr lielāka uzmanība būtu pievēršama tieši vecuma kategorijai no 15 līdz 49 gadiem, kuru nāves daudzos gadījumos iespējams klasificēt kā priekšlaicīgas. Šajā vecuma grupā mirušo skaits uz 100 000 iedzīvotājiem Latvijā ir augstākais starp ES dalībvalstīm (Attēls Nr. 3.1.8.). Ja sievietēm šajā vecuma kategorijā Latvijas rādītāji vēl ir pielīdzināmi Lietuvai un Rumānijai un atpaliek no Bulgārijas, tad vīriešu grupā ar Latvijas sliktajiem rezultātiem samērojama ir tikai Lietuvas statistika. Latvijas gadījumā sadalījumā pa dzimumiem atšķiras izplatītākais nāves cēlonis. Sievietēm šajā vecuma grupā tie tāpat kā pārējās ES dalībvalstīs ir audzēji (34 mirušās uz 100 000 iedzīvotājām 2019. gadā), proti, dažāda veida vēži, no kuriem ne vienmēr var izvairīties pat veicot regulārus medicīniskos izmeklējumus un konsultācijas pie medicīnas speciālistiem. Arī vīriešiem ES dalībvalstīs dominē audzēju izraisītas nāves, tomēr Latvija ir starp tiem izņēmumiem, kas pārsvarā ir tieši valstis ar lielāko priekšlaicīgo mirstību, kur kā galvenais nāves cēlonis dominē sirds un asinsvadu slimības (77,5 mirušie uz 100</w:t>
      </w:r>
      <w:r w:rsidR="00BF15EE">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000</w:t>
      </w:r>
      <w:r w:rsidR="00BF15EE">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 xml:space="preserve">iedzīvotājiem 2019. gadā), kas tomēr medicīniski ir daudz novēršamākas (sevišķi šajā vecuma grupā). Vīriešiem biežāks nāves cēlonis par audzējiem ir arī dažādas netīšas un </w:t>
      </w:r>
      <w:r w:rsidRPr="00307028">
        <w:rPr>
          <w:rFonts w:eastAsiaTheme="minorHAnsi" w:cstheme="minorBidi"/>
          <w:kern w:val="2"/>
          <w:lang w:eastAsia="en-US"/>
          <w14:ligatures w14:val="standardContextual"/>
        </w:rPr>
        <w:lastRenderedPageBreak/>
        <w:t>nāvējošas traumas, kā arī paškaitējums un vardarbība – iemesli, kas ir populāri visās ES dalībvalstīs.</w:t>
      </w:r>
    </w:p>
    <w:p w14:paraId="6BA86916" w14:textId="77777777" w:rsidR="00FD7666" w:rsidRPr="00307028" w:rsidRDefault="00FD7666" w:rsidP="00744043">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3.1.8. attēls</w:t>
      </w:r>
      <w:r w:rsidRPr="00307028">
        <w:rPr>
          <w:rFonts w:eastAsiaTheme="minorHAnsi" w:cstheme="minorBidi"/>
          <w:b/>
          <w:bCs/>
          <w:kern w:val="2"/>
          <w:sz w:val="22"/>
          <w:szCs w:val="22"/>
          <w:lang w:eastAsia="en-US"/>
          <w14:ligatures w14:val="standardContextual"/>
        </w:rPr>
        <w:t xml:space="preserve"> Nāves cēloņi ES dalībvalstīs 15 – 49 gadu vecuma kategorijā uz 100 000 iedzīvotājiem 2019. gadā</w:t>
      </w:r>
      <w:r w:rsidRPr="00307028">
        <w:rPr>
          <w:rFonts w:eastAsiaTheme="minorHAnsi" w:cstheme="minorBidi"/>
          <w:b/>
          <w:bCs/>
          <w:kern w:val="2"/>
          <w:sz w:val="22"/>
          <w:szCs w:val="22"/>
          <w:vertAlign w:val="superscript"/>
          <w:lang w:eastAsia="en-US"/>
          <w14:ligatures w14:val="standardContextual"/>
        </w:rPr>
        <w:footnoteReference w:id="45"/>
      </w:r>
    </w:p>
    <w:p w14:paraId="36D471B8" w14:textId="77777777" w:rsidR="00FD7666" w:rsidRPr="00307028" w:rsidRDefault="00FD7666" w:rsidP="00FD7666">
      <w:pPr>
        <w:spacing w:after="12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34A785C0" wp14:editId="71936A4D">
            <wp:extent cx="5623560" cy="2851083"/>
            <wp:effectExtent l="0" t="0" r="0" b="6985"/>
            <wp:docPr id="31600533" name="Picture 3"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0533" name="Picture 3" descr="A graph of different colored squares&#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41872" cy="2860367"/>
                    </a:xfrm>
                    <a:prstGeom prst="rect">
                      <a:avLst/>
                    </a:prstGeom>
                    <a:noFill/>
                  </pic:spPr>
                </pic:pic>
              </a:graphicData>
            </a:graphic>
          </wp:inline>
        </w:drawing>
      </w:r>
    </w:p>
    <w:p w14:paraId="06E32ABF" w14:textId="095BCF5F" w:rsidR="00FD7666" w:rsidRPr="00307028" w:rsidRDefault="00FD7666" w:rsidP="00744043">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Plašāk apskatot iepriekšminēto galveno vīriešu nāves cēloni, proti, sirds un asinsvadu slimības, salīdzinājumā ar citām ES dalībvalstīm bez izplatītākajām slimībām, kas ir sirds išēmiskās slimības un insults, spilgti izceļas viens nāves cēlonis – kardiomiopātija jeb miokarda infarkts. 2019. gadā Latvijā ar šādu diagnozi miruši 37,6 vīrieši uz 100 000 iedzīvotājiem, kamēr nākamais tuvākais rādītājs ir Lietuvā, kur mirstība ar šo diagnozi ir bijusi teju trīs reizes mazāka – 13,5 vīrieši uz 100 000 iedzīvotājiem. Arī sievietēm vecuma grupā no 15 līdz 49</w:t>
      </w:r>
      <w:r w:rsidR="00BF15EE">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gadiem izceļas tieši šī diagnoze – Latvijā tie ir 8,3 nāves gadījumi uz 100 000 iedzīvotājām, kamēr Lietuva seko ar lielu atstatumu, proti, 2,3 nāves gadījumiem uz šo pašu sieviešu skaitu (Attēls Nr. 3.1.9.).</w:t>
      </w:r>
    </w:p>
    <w:p w14:paraId="53EB9383" w14:textId="77777777" w:rsidR="00FD7666" w:rsidRPr="00307028" w:rsidRDefault="00FD7666" w:rsidP="00744043">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3.1.9. attēls</w:t>
      </w:r>
      <w:r w:rsidRPr="00307028">
        <w:rPr>
          <w:rFonts w:eastAsiaTheme="minorHAnsi" w:cstheme="minorBidi"/>
          <w:b/>
          <w:bCs/>
          <w:kern w:val="2"/>
          <w:sz w:val="22"/>
          <w:szCs w:val="22"/>
          <w:lang w:eastAsia="en-US"/>
          <w14:ligatures w14:val="standardContextual"/>
        </w:rPr>
        <w:t xml:space="preserve"> Sirds un asinsvadu slimību izraisīto nāves cēloņu sadalījums apakšgrupās ES dalībvalstīs 15 – 49 gadu vecuma kategorijā uz 100 000 iedzīvotājiem 2019. gadā</w:t>
      </w:r>
      <w:r w:rsidRPr="00307028">
        <w:rPr>
          <w:rFonts w:eastAsiaTheme="minorHAnsi" w:cstheme="minorBidi"/>
          <w:b/>
          <w:bCs/>
          <w:kern w:val="2"/>
          <w:sz w:val="22"/>
          <w:szCs w:val="22"/>
          <w:vertAlign w:val="superscript"/>
          <w:lang w:eastAsia="en-US"/>
          <w14:ligatures w14:val="standardContextual"/>
        </w:rPr>
        <w:footnoteReference w:id="46"/>
      </w:r>
    </w:p>
    <w:p w14:paraId="0F86F64A" w14:textId="77777777" w:rsidR="00FD7666" w:rsidRPr="00307028" w:rsidRDefault="00FD7666" w:rsidP="00FD7666">
      <w:pPr>
        <w:spacing w:after="120" w:line="259" w:lineRule="auto"/>
        <w:jc w:val="both"/>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65473187" wp14:editId="475B94FC">
            <wp:extent cx="5646420" cy="2737610"/>
            <wp:effectExtent l="0" t="0" r="0" b="5715"/>
            <wp:docPr id="2120400479" name="Picture 4"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00479" name="Picture 4" descr="A graph of different colored square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91563" cy="2759497"/>
                    </a:xfrm>
                    <a:prstGeom prst="rect">
                      <a:avLst/>
                    </a:prstGeom>
                    <a:noFill/>
                  </pic:spPr>
                </pic:pic>
              </a:graphicData>
            </a:graphic>
          </wp:inline>
        </w:drawing>
      </w:r>
    </w:p>
    <w:p w14:paraId="47A3255C" w14:textId="03AC091D"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lastRenderedPageBreak/>
        <w:t>Savukārt apskatot otru izplatītāko nāves cēloņu kategoriju, proti, audzējus, secināms, ka priekšlaicīgo nāvju skaits attiecīgajā vecuma kategorijā uz 100 000 iedzīvotājiem Latvijā ir ceturtais lielākais ES. Sievietēm biežākais audzēju veids, kas izraisījis nāvi ir krūts vēzis (8,4</w:t>
      </w:r>
      <w:r w:rsidR="00BF15EE">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nāves uz 100 000 iedzīvotājām), kas ir izplatītākais audzēju veids 15 līdz 49 gadus vecām sievietēm visās ES dalībvalstīs. Arī vīriešu kategorijā Latvija neatšķiras no citām ES dalībvalstīm un biežākais audzēju veids, kas izraisījis letālu iznākumu, 2019. gadā bija trahejas, bronhu un plaušu vēzis (6,1 nāves gadījums uz 100 000 iedzīvotājiem) (Attēls Nr. 3.1.10.).</w:t>
      </w:r>
    </w:p>
    <w:p w14:paraId="58DD2844" w14:textId="77777777" w:rsidR="00FD7666" w:rsidRPr="00307028" w:rsidRDefault="00FD7666" w:rsidP="00FD7666">
      <w:pPr>
        <w:spacing w:after="120"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3.1.10. attēls</w:t>
      </w:r>
      <w:r w:rsidRPr="00307028">
        <w:rPr>
          <w:rFonts w:eastAsiaTheme="minorHAnsi" w:cstheme="minorBidi"/>
          <w:b/>
          <w:bCs/>
          <w:kern w:val="2"/>
          <w:sz w:val="22"/>
          <w:szCs w:val="22"/>
          <w:lang w:eastAsia="en-US"/>
          <w14:ligatures w14:val="standardContextual"/>
        </w:rPr>
        <w:t xml:space="preserve"> Audzēju izraisīto nāves cēloņu sadalījums apakšgrupās ES dalībvalstīs 15 – 49 gadu vecuma kategorijā uz 100 000 iedzīvotājiem 2019. gadā</w:t>
      </w:r>
      <w:r w:rsidRPr="00307028">
        <w:rPr>
          <w:rFonts w:eastAsiaTheme="minorHAnsi" w:cstheme="minorBidi"/>
          <w:b/>
          <w:bCs/>
          <w:kern w:val="2"/>
          <w:sz w:val="22"/>
          <w:szCs w:val="22"/>
          <w:vertAlign w:val="superscript"/>
          <w:lang w:eastAsia="en-US"/>
          <w14:ligatures w14:val="standardContextual"/>
        </w:rPr>
        <w:footnoteReference w:id="47"/>
      </w:r>
    </w:p>
    <w:p w14:paraId="375E9D7C" w14:textId="77777777" w:rsidR="00FD7666" w:rsidRPr="00307028" w:rsidRDefault="00FD7666" w:rsidP="00FD7666">
      <w:pPr>
        <w:spacing w:after="120" w:line="259" w:lineRule="auto"/>
        <w:jc w:val="both"/>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04D28F08" wp14:editId="1CC5E42D">
            <wp:extent cx="5720080" cy="2907395"/>
            <wp:effectExtent l="0" t="0" r="0" b="7620"/>
            <wp:docPr id="494771236" name="Picture 5"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71236" name="Picture 5" descr="A graph of different colored squares&#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8321" cy="2911584"/>
                    </a:xfrm>
                    <a:prstGeom prst="rect">
                      <a:avLst/>
                    </a:prstGeom>
                    <a:noFill/>
                  </pic:spPr>
                </pic:pic>
              </a:graphicData>
            </a:graphic>
          </wp:inline>
        </w:drawing>
      </w:r>
    </w:p>
    <w:p w14:paraId="43CC5D49" w14:textId="7E9ABC4E"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Bez medicīnisko iznākumu rezultātiem uzmanība ir pievēršama arī veselības nozares personāla jautājumam, kur jānorāda, ka nezūdoša problēma Latvijas gadījumā ir ārstu un sevišķi māsu trūkums. OECD arvien vairāk akcentē arī jautājumu par ārstu novecošanos, kas, ņemot vērā mācību ilgumu ārsta kvalifikācijas iegūšanai, ir akūti risināms jautājums. Saskaņā ar OECD datiem Latvijā 2019. gadā 47% ārstu bija vecāki par 55 gadiem (trešais sliktākais rādītājs starp OECD dalībvalstīm), kas nozīmē, ka jau tā lielo medicīnas personāla deficītu jau tuvākajā laikā ietekmēs strauja ārstu pensionēšanās.</w:t>
      </w:r>
    </w:p>
    <w:p w14:paraId="12239F0D" w14:textId="77777777"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Ārstu skaits Latvijā pēdējā desmitgadē ir pieaudzis minimāli, vienlaikus palielinoties atpalicībai gan no Igaunijas un Lietuvas ārstu skaita, gan ES vidējā rādītāja. Pēc OECD aprēķiniem 2020. gadā Latvijā bija 3,3 ārsti uz 1 000 iedzīvotājiem, kamēr ES vidējais rādītājs bija 4 ārsti uz šo pašu iedzīvotāju skaitu (Attēls Nr. 3.1.11.).</w:t>
      </w:r>
    </w:p>
    <w:p w14:paraId="49C2D15D"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1D6B8D9B"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033818EF"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05E580BD"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16C4CEB1"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14F243ED" w14:textId="77777777" w:rsidR="00BF15EE" w:rsidRDefault="00BF15EE" w:rsidP="009C1B80">
      <w:pPr>
        <w:spacing w:line="259" w:lineRule="auto"/>
        <w:ind w:firstLine="720"/>
        <w:jc w:val="both"/>
        <w:rPr>
          <w:rFonts w:eastAsiaTheme="minorHAnsi" w:cstheme="minorBidi"/>
          <w:b/>
          <w:bCs/>
          <w:i/>
          <w:kern w:val="2"/>
          <w:sz w:val="22"/>
          <w:szCs w:val="22"/>
          <w:lang w:eastAsia="en-US"/>
          <w14:ligatures w14:val="standardContextual"/>
        </w:rPr>
      </w:pPr>
    </w:p>
    <w:p w14:paraId="7B996DEA" w14:textId="79E65906" w:rsidR="00FD7666" w:rsidRPr="00307028" w:rsidRDefault="00FD7666" w:rsidP="009C1B80">
      <w:pPr>
        <w:spacing w:line="259" w:lineRule="auto"/>
        <w:ind w:firstLine="720"/>
        <w:jc w:val="both"/>
        <w:rPr>
          <w:rFonts w:eastAsiaTheme="minorHAnsi" w:cstheme="minorBidi"/>
          <w:b/>
          <w:bCs/>
          <w:iCs/>
          <w:kern w:val="2"/>
          <w:sz w:val="22"/>
          <w:szCs w:val="22"/>
          <w:lang w:eastAsia="en-US"/>
          <w14:ligatures w14:val="standardContextual"/>
        </w:rPr>
      </w:pPr>
      <w:r w:rsidRPr="00307028">
        <w:rPr>
          <w:rFonts w:eastAsiaTheme="minorHAnsi" w:cstheme="minorBidi"/>
          <w:b/>
          <w:bCs/>
          <w:i/>
          <w:kern w:val="2"/>
          <w:sz w:val="22"/>
          <w:szCs w:val="22"/>
          <w:lang w:eastAsia="en-US"/>
          <w14:ligatures w14:val="standardContextual"/>
        </w:rPr>
        <w:lastRenderedPageBreak/>
        <w:t>3.1.11. attēls</w:t>
      </w:r>
      <w:r w:rsidRPr="00307028">
        <w:rPr>
          <w:rFonts w:eastAsiaTheme="minorHAnsi" w:cstheme="minorBidi"/>
          <w:b/>
          <w:bCs/>
          <w:iCs/>
          <w:kern w:val="2"/>
          <w:sz w:val="22"/>
          <w:szCs w:val="22"/>
          <w:lang w:eastAsia="en-US"/>
          <w14:ligatures w14:val="standardContextual"/>
        </w:rPr>
        <w:t xml:space="preserve"> Praktizējošo ārstu skaits uz 1 000 iedzīvotājiem 2010. un 2020. gadā</w:t>
      </w:r>
      <w:r w:rsidRPr="00307028">
        <w:rPr>
          <w:rFonts w:eastAsiaTheme="minorHAnsi" w:cstheme="minorBidi"/>
          <w:b/>
          <w:bCs/>
          <w:iCs/>
          <w:kern w:val="2"/>
          <w:sz w:val="22"/>
          <w:szCs w:val="22"/>
          <w:vertAlign w:val="superscript"/>
          <w:lang w:eastAsia="en-US"/>
          <w14:ligatures w14:val="standardContextual"/>
        </w:rPr>
        <w:footnoteReference w:id="48"/>
      </w:r>
    </w:p>
    <w:p w14:paraId="481AB30D"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6ECF43A6" wp14:editId="781929DF">
            <wp:extent cx="5738383" cy="3063240"/>
            <wp:effectExtent l="0" t="0" r="0" b="3810"/>
            <wp:docPr id="704088167" name="Picture 1" descr="A graph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88167" name="Picture 1" descr="A graph with numbers and dots&#10;&#10;Description automatically generated"/>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b="1832"/>
                    <a:stretch/>
                  </pic:blipFill>
                  <pic:spPr bwMode="auto">
                    <a:xfrm>
                      <a:off x="0" y="0"/>
                      <a:ext cx="5761356" cy="3075503"/>
                    </a:xfrm>
                    <a:prstGeom prst="rect">
                      <a:avLst/>
                    </a:prstGeom>
                    <a:noFill/>
                    <a:ln>
                      <a:noFill/>
                    </a:ln>
                    <a:extLst>
                      <a:ext uri="{53640926-AAD7-44D8-BBD7-CCE9431645EC}">
                        <a14:shadowObscured xmlns:a14="http://schemas.microsoft.com/office/drawing/2010/main"/>
                      </a:ext>
                    </a:extLst>
                  </pic:spPr>
                </pic:pic>
              </a:graphicData>
            </a:graphic>
          </wp:inline>
        </w:drawing>
      </w:r>
    </w:p>
    <w:p w14:paraId="12663F6E" w14:textId="71588E39" w:rsidR="00FD7666" w:rsidRPr="00307028" w:rsidRDefault="00FD7666" w:rsidP="009C1B80">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Atbilstoši “Eurostat” apkopotajiem datiem (20 valstis) Latvija pēc praktizējošo ārstu skaita ierindojas beigu daļā. 2021. gadā Latvijā kā praktizējošie ārsti bijuši 336 speciālisti uz 100 000 iedzīvotājiem. Jānorāda, ka Igaunijā praktizējošo ārstu skaits nav bijis daudz lielāks – 343 ārsti uz 100 000 iedzīvotājiem. Tikmēr Lietuva ierindojas ES dalībvalstu pieciniekā ar 447</w:t>
      </w:r>
      <w:r w:rsidR="00BF15EE">
        <w:rPr>
          <w:rFonts w:eastAsiaTheme="minorHAnsi" w:cstheme="minorBidi"/>
          <w:iCs/>
          <w:kern w:val="2"/>
          <w:lang w:eastAsia="en-US"/>
          <w14:ligatures w14:val="standardContextual"/>
        </w:rPr>
        <w:t> </w:t>
      </w:r>
      <w:r w:rsidRPr="00307028">
        <w:rPr>
          <w:rFonts w:eastAsiaTheme="minorHAnsi" w:cstheme="minorBidi"/>
          <w:iCs/>
          <w:kern w:val="2"/>
          <w:lang w:eastAsia="en-US"/>
          <w14:ligatures w14:val="standardContextual"/>
        </w:rPr>
        <w:t>ārstiem uz attiecīgo iedzīvotāju skaitu. Turklāt Lietuvas kontekstā norādāms arī tas, ka šajā valstī ir viena no mazākajām starpībām starp licencēto ārstu skaitu un praktizējošo ārstu skaitu, proti, Lietuvā licencēto ārstu skaits uz 100 000 iedzīvotājiem ir tāds pats kā Latvijā, bet Lietuvā pieejamais ārstu resurss tiek izmantots daudz kvalitatīvāk (Attēls Nr. 3.1.12.).</w:t>
      </w:r>
    </w:p>
    <w:p w14:paraId="779C0792" w14:textId="77777777" w:rsidR="00FD7666" w:rsidRPr="00307028" w:rsidRDefault="00FD7666" w:rsidP="009C1B80">
      <w:pPr>
        <w:spacing w:line="259" w:lineRule="auto"/>
        <w:jc w:val="center"/>
        <w:rPr>
          <w:rFonts w:eastAsiaTheme="minorHAnsi" w:cstheme="minorBidi"/>
          <w:b/>
          <w:bCs/>
          <w:iCs/>
          <w:kern w:val="2"/>
          <w:lang w:eastAsia="en-US"/>
          <w14:ligatures w14:val="standardContextual"/>
        </w:rPr>
      </w:pPr>
      <w:r w:rsidRPr="00307028">
        <w:rPr>
          <w:rFonts w:eastAsiaTheme="minorHAnsi" w:cstheme="minorBidi"/>
          <w:b/>
          <w:bCs/>
          <w:i/>
          <w:kern w:val="2"/>
          <w:sz w:val="22"/>
          <w:szCs w:val="22"/>
          <w:lang w:eastAsia="en-US"/>
          <w14:ligatures w14:val="standardContextual"/>
        </w:rPr>
        <w:t>3.1.12. attēls</w:t>
      </w:r>
      <w:r w:rsidRPr="00307028">
        <w:rPr>
          <w:rFonts w:eastAsiaTheme="minorHAnsi" w:cstheme="minorBidi"/>
          <w:b/>
          <w:bCs/>
          <w:iCs/>
          <w:kern w:val="2"/>
          <w:sz w:val="22"/>
          <w:szCs w:val="22"/>
          <w:lang w:eastAsia="en-US"/>
          <w14:ligatures w14:val="standardContextual"/>
        </w:rPr>
        <w:t xml:space="preserve"> Praktizējošo un licencēto ārstu skaits 2021. gadā uz 100 000 iedzīvotājiem</w:t>
      </w:r>
      <w:r w:rsidRPr="00307028">
        <w:rPr>
          <w:rFonts w:eastAsiaTheme="minorHAnsi" w:cstheme="minorBidi"/>
          <w:b/>
          <w:bCs/>
          <w:iCs/>
          <w:kern w:val="2"/>
          <w:sz w:val="22"/>
          <w:szCs w:val="22"/>
          <w:vertAlign w:val="superscript"/>
          <w:lang w:eastAsia="en-US"/>
          <w14:ligatures w14:val="standardContextual"/>
        </w:rPr>
        <w:footnoteReference w:id="49"/>
      </w:r>
    </w:p>
    <w:p w14:paraId="37DB571D"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169227CA" wp14:editId="000D3AB7">
            <wp:extent cx="5654040" cy="3181673"/>
            <wp:effectExtent l="0" t="0" r="3810" b="0"/>
            <wp:docPr id="918988985" name="Picture 2" descr="A graph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88985" name="Picture 2" descr="A graph with numbers and a number of people&#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62745" cy="3186571"/>
                    </a:xfrm>
                    <a:prstGeom prst="rect">
                      <a:avLst/>
                    </a:prstGeom>
                    <a:noFill/>
                  </pic:spPr>
                </pic:pic>
              </a:graphicData>
            </a:graphic>
          </wp:inline>
        </w:drawing>
      </w:r>
    </w:p>
    <w:p w14:paraId="19830AC1" w14:textId="7DC9A09C" w:rsidR="00FD7666" w:rsidRPr="00307028" w:rsidRDefault="00FD7666" w:rsidP="009C1B80">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lastRenderedPageBreak/>
        <w:t>Daudz kritiskāka situācija Latvijā ir attiecībā uz māsu skaitu. Saskaņā ar OECD datiem 2020. gadā Latvijā bija 4,2 māsas uz 1 000 iedzīvotājiem, ierindojot Latviju pirmspēdējā vietā starp ES dalībvalstīm. Salīdzinājumam Igaunijā ir 6,4, Lietuvā 7,8, bet ES vidēji 8,3 māsas uz 1 000 iedzīvotājiem (Attēls Nr. 3.1.13.). Šobrīd, kad sabiedrības dzīvildzes palielināšanās dēļ, pieprasījums pēc veselības aprūpes pakalpojumiem pieaug, gluži saprotams ir arī tas, ka pieaug nodarbināto skaits šajā nozarē. Ja Attēlā Nr. 3.1.11. bija vērojams, ka ārstu skaits uz 1 000 iedzīvotājiem desmit gadu periodā ir pieaudzis visās ES dalībvalstīs un tikai Polijā palicis 2010. gada līmenī, tad attiecībā uz māsu skaitu ES ietvaros šāda tendence nav vērojama. Ja valstīs, kurās ir liels māsu skaits, ir vērojams to pieaugums vai vismaz 2010. gada līmeņa saglabāšana, tad vairākām valstīm, kurās jau tā vēsturiski bijis mazs māsu skaits, vērojams turpmāks šīs profesijas pārstāvju samazinājums. Šo valstu vidū ir arī Latvija – ja 2010. gadā Latvijā bija 5 māsas, tad 2020. gadā vērojams samazinājums uz iepriekšminētajām 4,2 māsām uz 1 000 iedzīvotāju.</w:t>
      </w:r>
    </w:p>
    <w:p w14:paraId="53404BC7" w14:textId="21E09AED" w:rsidR="00FD7666" w:rsidRPr="00307028" w:rsidRDefault="00FD7666" w:rsidP="009C1B80">
      <w:pPr>
        <w:spacing w:line="259" w:lineRule="auto"/>
        <w:jc w:val="center"/>
        <w:rPr>
          <w:rFonts w:eastAsiaTheme="minorHAnsi" w:cstheme="minorBidi"/>
          <w:b/>
          <w:bCs/>
          <w:iCs/>
          <w:kern w:val="2"/>
          <w:sz w:val="22"/>
          <w:szCs w:val="22"/>
          <w:lang w:eastAsia="en-US"/>
          <w14:ligatures w14:val="standardContextual"/>
        </w:rPr>
      </w:pPr>
      <w:r w:rsidRPr="00307028">
        <w:rPr>
          <w:rFonts w:eastAsiaTheme="minorHAnsi" w:cstheme="minorBidi"/>
          <w:b/>
          <w:bCs/>
          <w:i/>
          <w:kern w:val="2"/>
          <w:sz w:val="22"/>
          <w:szCs w:val="22"/>
          <w:lang w:eastAsia="en-US"/>
          <w14:ligatures w14:val="standardContextual"/>
        </w:rPr>
        <w:t>3.1.13. attēls</w:t>
      </w:r>
      <w:r w:rsidRPr="00307028">
        <w:rPr>
          <w:rFonts w:eastAsiaTheme="minorHAnsi" w:cstheme="minorBidi"/>
          <w:b/>
          <w:bCs/>
          <w:iCs/>
          <w:kern w:val="2"/>
          <w:sz w:val="22"/>
          <w:szCs w:val="22"/>
          <w:lang w:eastAsia="en-US"/>
          <w14:ligatures w14:val="standardContextual"/>
        </w:rPr>
        <w:t xml:space="preserve"> Praktizējošo māsu skaits uz 1 000 iedzīvotājiem 2010. un 2020. gadā</w:t>
      </w:r>
      <w:r w:rsidRPr="00307028">
        <w:rPr>
          <w:rFonts w:eastAsiaTheme="minorHAnsi" w:cstheme="minorBidi"/>
          <w:b/>
          <w:bCs/>
          <w:iCs/>
          <w:kern w:val="2"/>
          <w:sz w:val="22"/>
          <w:szCs w:val="22"/>
          <w:vertAlign w:val="superscript"/>
          <w:lang w:eastAsia="en-US"/>
          <w14:ligatures w14:val="standardContextual"/>
        </w:rPr>
        <w:footnoteReference w:id="50"/>
      </w:r>
    </w:p>
    <w:p w14:paraId="64A7FDF0"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16923927" wp14:editId="4CB3F3C8">
            <wp:extent cx="5703663" cy="3124200"/>
            <wp:effectExtent l="0" t="0" r="0" b="0"/>
            <wp:docPr id="1811260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1953"/>
                    <a:stretch/>
                  </pic:blipFill>
                  <pic:spPr bwMode="auto">
                    <a:xfrm>
                      <a:off x="0" y="0"/>
                      <a:ext cx="5731841" cy="3139635"/>
                    </a:xfrm>
                    <a:prstGeom prst="rect">
                      <a:avLst/>
                    </a:prstGeom>
                    <a:noFill/>
                    <a:ln>
                      <a:noFill/>
                    </a:ln>
                    <a:extLst>
                      <a:ext uri="{53640926-AAD7-44D8-BBD7-CCE9431645EC}">
                        <a14:shadowObscured xmlns:a14="http://schemas.microsoft.com/office/drawing/2010/main"/>
                      </a:ext>
                    </a:extLst>
                  </pic:spPr>
                </pic:pic>
              </a:graphicData>
            </a:graphic>
          </wp:inline>
        </w:drawing>
      </w:r>
    </w:p>
    <w:p w14:paraId="1BC5C891" w14:textId="1D40948F"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Māsu lielo lomu veselības aprūpes pakalpojumu nodrošināšanā regulāri uzsver visas nozares organizācijas – gan vietējās iestādes, gan starptautiskās organizācijas. Tajā pašā laikā veselības nozares politika, kā to pierāda Attēlā Nr. 3.1.13. atspoguļotie dati, nav veicinājusi māsas profesijas attīstību. Tā rezultātā, aprēķinot māsu skaitu uz vienu praktizējošo ārstu, Latvija ir pirmspēdējā vietā ES un rādītāja skaitliskā izteiksmē teju divas reizes atpaliek no ES vidējā rādītāja, proti, Latvijā 2020. gadā bija 1,3 māsas uz vienu ārstu, kamēr ES vidējais rādītājs ir 2,2 (Attēls Nr. 3.1.14.).</w:t>
      </w:r>
    </w:p>
    <w:p w14:paraId="615E500E"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6C0BAB3E"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44394946"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3972963C"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4C9D4C6E" w14:textId="77777777" w:rsidR="009C1B80" w:rsidRPr="00307028" w:rsidRDefault="009C1B80" w:rsidP="00FD7666">
      <w:pPr>
        <w:spacing w:after="120" w:line="259" w:lineRule="auto"/>
        <w:ind w:firstLine="720"/>
        <w:jc w:val="both"/>
        <w:rPr>
          <w:rFonts w:eastAsiaTheme="minorHAnsi" w:cstheme="minorBidi"/>
          <w:iCs/>
          <w:kern w:val="2"/>
          <w:lang w:eastAsia="en-US"/>
          <w14:ligatures w14:val="standardContextual"/>
        </w:rPr>
      </w:pPr>
    </w:p>
    <w:p w14:paraId="0DAC1721" w14:textId="71009B9A" w:rsidR="00FD7666" w:rsidRPr="00307028" w:rsidRDefault="00FD7666" w:rsidP="009C1B80">
      <w:pPr>
        <w:spacing w:line="259" w:lineRule="auto"/>
        <w:jc w:val="center"/>
        <w:rPr>
          <w:rFonts w:eastAsiaTheme="minorHAnsi" w:cstheme="minorBidi"/>
          <w:b/>
          <w:bCs/>
          <w:iCs/>
          <w:kern w:val="2"/>
          <w:sz w:val="22"/>
          <w:szCs w:val="22"/>
          <w:lang w:eastAsia="en-US"/>
          <w14:ligatures w14:val="standardContextual"/>
        </w:rPr>
      </w:pPr>
      <w:r w:rsidRPr="00307028">
        <w:rPr>
          <w:rFonts w:eastAsiaTheme="minorHAnsi" w:cstheme="minorBidi"/>
          <w:b/>
          <w:bCs/>
          <w:i/>
          <w:kern w:val="2"/>
          <w:sz w:val="22"/>
          <w:szCs w:val="22"/>
          <w:lang w:eastAsia="en-US"/>
          <w14:ligatures w14:val="standardContextual"/>
        </w:rPr>
        <w:lastRenderedPageBreak/>
        <w:t>3.1.14. attēls</w:t>
      </w:r>
      <w:r w:rsidRPr="00307028">
        <w:rPr>
          <w:rFonts w:eastAsiaTheme="minorHAnsi" w:cstheme="minorBidi"/>
          <w:b/>
          <w:bCs/>
          <w:iCs/>
          <w:kern w:val="2"/>
          <w:sz w:val="22"/>
          <w:szCs w:val="22"/>
          <w:lang w:eastAsia="en-US"/>
          <w14:ligatures w14:val="standardContextual"/>
        </w:rPr>
        <w:t xml:space="preserve"> Māsu skaits uz vienu ārstu 2020. gadā</w:t>
      </w:r>
      <w:r w:rsidRPr="00307028">
        <w:rPr>
          <w:rFonts w:eastAsiaTheme="minorHAnsi" w:cstheme="minorBidi"/>
          <w:b/>
          <w:bCs/>
          <w:iCs/>
          <w:kern w:val="2"/>
          <w:sz w:val="22"/>
          <w:szCs w:val="22"/>
          <w:vertAlign w:val="superscript"/>
          <w:lang w:eastAsia="en-US"/>
          <w14:ligatures w14:val="standardContextual"/>
        </w:rPr>
        <w:footnoteReference w:id="51"/>
      </w:r>
    </w:p>
    <w:p w14:paraId="1E000629"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66B26A65" wp14:editId="0119C653">
            <wp:extent cx="5120640" cy="2636886"/>
            <wp:effectExtent l="0" t="0" r="3810" b="0"/>
            <wp:docPr id="17942701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1528" b="1188"/>
                    <a:stretch/>
                  </pic:blipFill>
                  <pic:spPr bwMode="auto">
                    <a:xfrm>
                      <a:off x="0" y="0"/>
                      <a:ext cx="5178267" cy="2666561"/>
                    </a:xfrm>
                    <a:prstGeom prst="rect">
                      <a:avLst/>
                    </a:prstGeom>
                    <a:noFill/>
                    <a:ln>
                      <a:noFill/>
                    </a:ln>
                    <a:extLst>
                      <a:ext uri="{53640926-AAD7-44D8-BBD7-CCE9431645EC}">
                        <a14:shadowObscured xmlns:a14="http://schemas.microsoft.com/office/drawing/2010/main"/>
                      </a:ext>
                    </a:extLst>
                  </pic:spPr>
                </pic:pic>
              </a:graphicData>
            </a:graphic>
          </wp:inline>
        </w:drawing>
      </w:r>
    </w:p>
    <w:p w14:paraId="01F91D14" w14:textId="187D4BFF"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Iepriekšminētā medicīnas speciālistu novecošanās un jau tā mazais ārstu un māsu skaits Latvijā norāda uz nepieciešamību īstenot tādu politiku, kas jauniešu vidū popularizētu iespēju augstākās izglītības iestādēs izvēlēties ārsta</w:t>
      </w:r>
      <w:r w:rsidR="00D970BD" w:rsidRPr="00307028">
        <w:rPr>
          <w:rFonts w:eastAsiaTheme="minorHAnsi" w:cstheme="minorBidi"/>
          <w:iCs/>
          <w:kern w:val="2"/>
          <w:lang w:eastAsia="en-US"/>
          <w14:ligatures w14:val="standardContextual"/>
        </w:rPr>
        <w:t xml:space="preserve">, </w:t>
      </w:r>
      <w:r w:rsidRPr="00307028">
        <w:rPr>
          <w:rFonts w:eastAsiaTheme="minorHAnsi" w:cstheme="minorBidi"/>
          <w:iCs/>
          <w:kern w:val="2"/>
          <w:lang w:eastAsia="en-US"/>
          <w14:ligatures w14:val="standardContextual"/>
        </w:rPr>
        <w:t xml:space="preserve">māsas </w:t>
      </w:r>
      <w:r w:rsidR="00D970BD" w:rsidRPr="00307028">
        <w:rPr>
          <w:rFonts w:eastAsiaTheme="minorHAnsi" w:cstheme="minorBidi"/>
          <w:iCs/>
          <w:kern w:val="2"/>
          <w:lang w:eastAsia="en-US"/>
          <w14:ligatures w14:val="standardContextual"/>
        </w:rPr>
        <w:t xml:space="preserve">vai citas veselības jomas profesijas </w:t>
      </w:r>
      <w:r w:rsidRPr="00307028">
        <w:rPr>
          <w:rFonts w:eastAsiaTheme="minorHAnsi" w:cstheme="minorBidi"/>
          <w:iCs/>
          <w:kern w:val="2"/>
          <w:lang w:eastAsia="en-US"/>
          <w14:ligatures w14:val="standardContextual"/>
        </w:rPr>
        <w:t>studiju programmas, līdz ar to analizējami ir arī dati par absolventu skaitu ar iegūtu kādu no iepriekšminētajām specialitātēm.</w:t>
      </w:r>
    </w:p>
    <w:p w14:paraId="26F302BC" w14:textId="7531C5CE" w:rsidR="00C35142"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Ņemot vērā lielo māsu trūkumu, varētu izvirzīt hipotēzi, ka šīs specialitātes iegūšana ir kā viena no politikas veidotāju prioritātēm. Pēc absolventu skaita ar iegūtu māsas specialitāti Latvija ierindojas ES dalībvalstu vidusdaļā un faktiski ir vienā līmenī ar pārējām Baltijas valstīm. 2021. gadā Latvijā bija 26,8 absolventi uz 100 000 iedzīvotāju ar iegūtu māsas specialitāti (Attēls Nr. 3.1.15.). Aplūkojot datus dinamikā, jānorāda, ka šis rādītājs Latvijas gadījumā ir bijis nemainīgs. 2015. gadā šādas specialitātes absolventu skaits bija 27,6 jauni nozares profesionāļi uz 100 000 iedzīvotājiem. Gadu vēlāk šis skaitlis samazinājās līdz 20, bet turpmākajos gados faktiski bijis 2021. gada līmenī. Jāpiezīmē, ka uz šīs sadaļas tapšanas brīdi Latvija bija viena no trīs ES dalībvalstīm ar publicētiem datiem arī par 2022. gadu, un tie liecina, ka pērn Latvijā māsas specialitāti ieguvuši tikai 16,6 absolventi uz 100 000 iedzīvotājiem, norādot uz ievērojamu šo speciālistu sagatavošanas skaita samazinājumu.</w:t>
      </w:r>
      <w:r w:rsidR="00D970BD" w:rsidRPr="00307028">
        <w:rPr>
          <w:rFonts w:eastAsiaTheme="minorHAnsi" w:cstheme="minorBidi"/>
          <w:iCs/>
          <w:kern w:val="2"/>
          <w:lang w:eastAsia="en-US"/>
          <w14:ligatures w14:val="standardContextual"/>
        </w:rPr>
        <w:t xml:space="preserve"> </w:t>
      </w:r>
    </w:p>
    <w:p w14:paraId="4CDD34FF" w14:textId="275013F7" w:rsidR="00FD7666" w:rsidRPr="00307028" w:rsidRDefault="00C35142"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VM skaidro, ka a</w:t>
      </w:r>
      <w:r w:rsidR="00D970BD" w:rsidRPr="00307028">
        <w:rPr>
          <w:rFonts w:eastAsiaTheme="minorHAnsi" w:cstheme="minorBidi"/>
          <w:iCs/>
          <w:kern w:val="2"/>
          <w:lang w:eastAsia="en-US"/>
          <w14:ligatures w14:val="standardContextual"/>
        </w:rPr>
        <w:t xml:space="preserve">bsolventu skaita samazināšanās skaidrojama ar 2022. gadā īstenoto māsu profesijas reformu, kas paredzēja māsas (vispārējās aprūpes māsas) profesijas izveidi ar studiju ilgumu četri gadi augstskolas bakalaura līmeņa studiju programmā. </w:t>
      </w:r>
      <w:r w:rsidRPr="00307028">
        <w:rPr>
          <w:rFonts w:eastAsiaTheme="minorHAnsi" w:cstheme="minorBidi"/>
          <w:iCs/>
          <w:kern w:val="2"/>
          <w:lang w:eastAsia="en-US"/>
          <w14:ligatures w14:val="standardContextual"/>
        </w:rPr>
        <w:t>Tā r</w:t>
      </w:r>
      <w:r w:rsidR="00D970BD" w:rsidRPr="00307028">
        <w:rPr>
          <w:rFonts w:eastAsiaTheme="minorHAnsi" w:cstheme="minorBidi"/>
          <w:iCs/>
          <w:kern w:val="2"/>
          <w:lang w:eastAsia="en-US"/>
          <w14:ligatures w14:val="standardContextual"/>
        </w:rPr>
        <w:t>ezultātā māsas, kuras koledžu māszinību programmu būtu absolvējušas 2022. gadā, turpināja profesijas apguvi augstskolā vēl vienu gadu. Māsu profesijas reformas mērķis kopumā ir celt māsas profesijas prestižu un veicināt augsti motivētu māsu piesaisti veselības aprūpes sistēmā, tādējādi uzlabojot veselības aprūpes kvalitāti iedzīvotājiem kopumā. Reformas efektivitāti būs iespējams novērtēt ilgākā laika periodā.</w:t>
      </w:r>
    </w:p>
    <w:p w14:paraId="1EA8A157" w14:textId="484986B3" w:rsidR="009C1B80" w:rsidRPr="00307028" w:rsidRDefault="00C35142" w:rsidP="00D970BD">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Tāpat VM norāda, ka</w:t>
      </w:r>
      <w:r w:rsidR="00D970BD" w:rsidRPr="00307028">
        <w:rPr>
          <w:rFonts w:eastAsiaTheme="minorHAnsi" w:cstheme="minorBidi"/>
          <w:iCs/>
          <w:kern w:val="2"/>
          <w:lang w:eastAsia="en-US"/>
          <w14:ligatures w14:val="standardContextual"/>
        </w:rPr>
        <w:t xml:space="preserve"> likumā “Par valsts budžetu 2023. gadam un budžeta ietvaru 2023., 2024. un 2025. gadam” (izmaiņas ar informatīvo ziņojumu "Par līdzekļu pārdali starp Izglītības un zinātnes ministriju un Veselības ministriju vispārējās aprūpes māsas profesijas ieviešanas nodrošināšanai" 23-TA-966, pieņemts 2023.</w:t>
      </w:r>
      <w:r w:rsidR="00D30EA8" w:rsidRPr="00307028">
        <w:rPr>
          <w:rFonts w:eastAsiaTheme="minorHAnsi" w:cstheme="minorBidi"/>
          <w:iCs/>
          <w:kern w:val="2"/>
          <w:lang w:eastAsia="en-US"/>
          <w14:ligatures w14:val="standardContextual"/>
        </w:rPr>
        <w:t xml:space="preserve"> gada 6.</w:t>
      </w:r>
      <w:r w:rsidR="007C204C" w:rsidRPr="00307028">
        <w:rPr>
          <w:rFonts w:eastAsiaTheme="minorHAnsi" w:cstheme="minorBidi"/>
          <w:iCs/>
          <w:kern w:val="2"/>
          <w:lang w:eastAsia="en-US"/>
          <w14:ligatures w14:val="standardContextual"/>
        </w:rPr>
        <w:t xml:space="preserve"> </w:t>
      </w:r>
      <w:r w:rsidR="00D30EA8" w:rsidRPr="00307028">
        <w:rPr>
          <w:rFonts w:eastAsiaTheme="minorHAnsi" w:cstheme="minorBidi"/>
          <w:iCs/>
          <w:kern w:val="2"/>
          <w:lang w:eastAsia="en-US"/>
          <w14:ligatures w14:val="standardContextual"/>
        </w:rPr>
        <w:t>jūnijā</w:t>
      </w:r>
      <w:r w:rsidR="00D970BD" w:rsidRPr="00307028">
        <w:rPr>
          <w:rFonts w:eastAsiaTheme="minorHAnsi" w:cstheme="minorBidi"/>
          <w:iCs/>
          <w:kern w:val="2"/>
          <w:lang w:eastAsia="en-US"/>
          <w14:ligatures w14:val="standardContextual"/>
        </w:rPr>
        <w:t xml:space="preserve"> Nr.</w:t>
      </w:r>
      <w:r w:rsidR="00D30EA8" w:rsidRPr="00307028">
        <w:rPr>
          <w:rFonts w:eastAsiaTheme="minorHAnsi" w:cstheme="minorBidi"/>
          <w:iCs/>
          <w:kern w:val="2"/>
          <w:lang w:eastAsia="en-US"/>
          <w14:ligatures w14:val="standardContextual"/>
        </w:rPr>
        <w:t xml:space="preserve"> </w:t>
      </w:r>
      <w:r w:rsidR="00D970BD" w:rsidRPr="00307028">
        <w:rPr>
          <w:rFonts w:eastAsiaTheme="minorHAnsi" w:cstheme="minorBidi"/>
          <w:iCs/>
          <w:kern w:val="2"/>
          <w:lang w:eastAsia="en-US"/>
          <w14:ligatures w14:val="standardContextual"/>
        </w:rPr>
        <w:t xml:space="preserve">30/43.§) atbilstoši VM horizontālajām prioritātēm piešķirts valsts budžeta finansējums papildus uzņemšanai māsu un </w:t>
      </w:r>
      <w:r w:rsidR="00D970BD" w:rsidRPr="00307028">
        <w:rPr>
          <w:rFonts w:eastAsiaTheme="minorHAnsi" w:cstheme="minorBidi"/>
          <w:iCs/>
          <w:kern w:val="2"/>
          <w:lang w:eastAsia="en-US"/>
          <w14:ligatures w14:val="standardContextual"/>
        </w:rPr>
        <w:lastRenderedPageBreak/>
        <w:t xml:space="preserve">ārstu palīgu programmās ar 100% optimālā koeficienta nodrošinājumu: izglītības programmā ar iegūstamo kvalifikāciju vispārējās aprūpes māsa </w:t>
      </w:r>
      <w:r w:rsidRPr="00307028">
        <w:rPr>
          <w:rFonts w:eastAsiaTheme="minorHAnsi" w:cstheme="minorBidi"/>
          <w:iCs/>
          <w:kern w:val="2"/>
          <w:lang w:eastAsia="en-US"/>
          <w14:ligatures w14:val="standardContextual"/>
        </w:rPr>
        <w:t xml:space="preserve">radītas </w:t>
      </w:r>
      <w:r w:rsidR="00D970BD" w:rsidRPr="00307028">
        <w:rPr>
          <w:rFonts w:eastAsiaTheme="minorHAnsi" w:cstheme="minorBidi"/>
          <w:iCs/>
          <w:kern w:val="2"/>
          <w:lang w:eastAsia="en-US"/>
          <w14:ligatures w14:val="standardContextual"/>
        </w:rPr>
        <w:t>papildus 196 studiju vietas</w:t>
      </w:r>
      <w:r w:rsidR="006C6D5D" w:rsidRPr="00307028">
        <w:rPr>
          <w:rFonts w:eastAsiaTheme="minorHAnsi" w:cstheme="minorBidi"/>
          <w:iCs/>
          <w:kern w:val="2"/>
          <w:lang w:eastAsia="en-US"/>
          <w14:ligatures w14:val="standardContextual"/>
        </w:rPr>
        <w:t>,</w:t>
      </w:r>
      <w:r w:rsidR="00D970BD" w:rsidRPr="00307028">
        <w:rPr>
          <w:rFonts w:eastAsiaTheme="minorHAnsi" w:cstheme="minorBidi"/>
          <w:iCs/>
          <w:kern w:val="2"/>
          <w:lang w:eastAsia="en-US"/>
          <w14:ligatures w14:val="standardContextual"/>
        </w:rPr>
        <w:t xml:space="preserve"> </w:t>
      </w:r>
      <w:r w:rsidRPr="00307028">
        <w:rPr>
          <w:rFonts w:eastAsiaTheme="minorHAnsi" w:cstheme="minorBidi"/>
          <w:iCs/>
          <w:kern w:val="2"/>
          <w:lang w:eastAsia="en-US"/>
          <w14:ligatures w14:val="standardContextual"/>
        </w:rPr>
        <w:t>bet</w:t>
      </w:r>
      <w:r w:rsidR="00D970BD" w:rsidRPr="00307028">
        <w:rPr>
          <w:rFonts w:eastAsiaTheme="minorHAnsi" w:cstheme="minorBidi"/>
          <w:iCs/>
          <w:kern w:val="2"/>
          <w:lang w:eastAsia="en-US"/>
          <w14:ligatures w14:val="standardContextual"/>
        </w:rPr>
        <w:t xml:space="preserve"> izglītības programmā ar iegūstamo kvalifikāciju ārsta palīgs </w:t>
      </w:r>
      <w:r w:rsidRPr="00307028">
        <w:rPr>
          <w:rFonts w:eastAsiaTheme="minorHAnsi" w:cstheme="minorBidi"/>
          <w:iCs/>
          <w:kern w:val="2"/>
          <w:lang w:eastAsia="en-US"/>
          <w14:ligatures w14:val="standardContextual"/>
        </w:rPr>
        <w:t>–</w:t>
      </w:r>
      <w:r w:rsidR="00D970BD" w:rsidRPr="00307028">
        <w:rPr>
          <w:rFonts w:eastAsiaTheme="minorHAnsi" w:cstheme="minorBidi"/>
          <w:iCs/>
          <w:kern w:val="2"/>
          <w:lang w:eastAsia="en-US"/>
          <w14:ligatures w14:val="standardContextual"/>
        </w:rPr>
        <w:t xml:space="preserve"> papildus 79 studiju vietas.</w:t>
      </w:r>
    </w:p>
    <w:p w14:paraId="5D470556" w14:textId="5D188A25" w:rsidR="00FD7666" w:rsidRPr="00307028" w:rsidRDefault="00FD7666" w:rsidP="009C1B80">
      <w:pPr>
        <w:spacing w:line="259" w:lineRule="auto"/>
        <w:jc w:val="center"/>
        <w:rPr>
          <w:rFonts w:eastAsiaTheme="minorHAnsi" w:cstheme="minorBidi"/>
          <w:b/>
          <w:bCs/>
          <w:iCs/>
          <w:kern w:val="2"/>
          <w:sz w:val="22"/>
          <w:szCs w:val="22"/>
          <w:lang w:eastAsia="en-US"/>
          <w14:ligatures w14:val="standardContextual"/>
        </w:rPr>
      </w:pPr>
      <w:r w:rsidRPr="00307028">
        <w:rPr>
          <w:rFonts w:eastAsiaTheme="minorHAnsi" w:cstheme="minorBidi"/>
          <w:b/>
          <w:bCs/>
          <w:i/>
          <w:kern w:val="2"/>
          <w:sz w:val="22"/>
          <w:szCs w:val="22"/>
          <w:lang w:eastAsia="en-US"/>
          <w14:ligatures w14:val="standardContextual"/>
        </w:rPr>
        <w:t>3.1.15. attēls</w:t>
      </w:r>
      <w:r w:rsidRPr="00307028">
        <w:rPr>
          <w:rFonts w:eastAsiaTheme="minorHAnsi" w:cstheme="minorBidi"/>
          <w:b/>
          <w:bCs/>
          <w:iCs/>
          <w:kern w:val="2"/>
          <w:sz w:val="22"/>
          <w:szCs w:val="22"/>
          <w:lang w:eastAsia="en-US"/>
          <w14:ligatures w14:val="standardContextual"/>
        </w:rPr>
        <w:t xml:space="preserve"> Absolventu skaits ar iegūtu māsas specialitāti 2021. gadā uz 100 000 iedzīvotājiem</w:t>
      </w:r>
      <w:r w:rsidRPr="00307028">
        <w:rPr>
          <w:rFonts w:eastAsiaTheme="minorHAnsi" w:cstheme="minorBidi"/>
          <w:b/>
          <w:bCs/>
          <w:iCs/>
          <w:kern w:val="2"/>
          <w:sz w:val="22"/>
          <w:szCs w:val="22"/>
          <w:vertAlign w:val="superscript"/>
          <w:lang w:eastAsia="en-US"/>
          <w14:ligatures w14:val="standardContextual"/>
        </w:rPr>
        <w:footnoteReference w:id="52"/>
      </w:r>
    </w:p>
    <w:p w14:paraId="08A497E7"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0EDA67B4" wp14:editId="33FC083C">
            <wp:extent cx="5389853" cy="2714625"/>
            <wp:effectExtent l="0" t="0" r="1905" b="0"/>
            <wp:docPr id="2024676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95242" cy="2717339"/>
                    </a:xfrm>
                    <a:prstGeom prst="rect">
                      <a:avLst/>
                    </a:prstGeom>
                    <a:noFill/>
                  </pic:spPr>
                </pic:pic>
              </a:graphicData>
            </a:graphic>
          </wp:inline>
        </w:drawing>
      </w:r>
    </w:p>
    <w:p w14:paraId="013F26D7" w14:textId="4439710C" w:rsidR="00D30EA8" w:rsidRPr="00307028" w:rsidRDefault="00FD7666" w:rsidP="008D6A22">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Ārstu skaita ziņā uz kopējo populāciju situācija šajā brīdī nav tik kritiska, tomēr jau pieminētais speciālistu novecošanas jautājums neļauj vieglprātīgi attiekties arī pret šo speciālistu sagatavošanu. Aplūkojot datus, Latvijas gadījumā ārsta specialitāti ieguvušo absolventu skaits nekorelē ar datiem par praktizējošo ārstu skaitu, liekot izvirzīt vairākas hipotēzes. 2021. gadā Latvija bija līdere starp ES dalībvalstīm pēc ārsta specialitāti ieguvušo absolventu skaita. Šo specialitāti Latvijā ieguva 27,3 absolventi uz 100 000 iedzīvotājiem. Lietuvā šādu absolventu bija 20,4, kas bija virs ES vidējā rādītāja, proti, 15,3 absolvējušajiem ārstiem uz 100 000 iedzīvotājiem. Igaunijas rādītājs ik gadu ir zem ES vidējā un 2021. gadā sasniedza 11,8 ārsta specialitāti ieguvušus absolventus uz 100 000 iedzīvotājiem (Attēls Nr. 3.1.16.).</w:t>
      </w:r>
    </w:p>
    <w:p w14:paraId="74A0CC09" w14:textId="4FBFC5EE" w:rsidR="00FD7666" w:rsidRPr="00307028" w:rsidRDefault="00FD7666" w:rsidP="00FD7666">
      <w:pPr>
        <w:spacing w:after="120" w:line="259" w:lineRule="auto"/>
        <w:jc w:val="center"/>
        <w:rPr>
          <w:rFonts w:eastAsiaTheme="minorHAnsi" w:cstheme="minorBidi"/>
          <w:b/>
          <w:bCs/>
          <w:iCs/>
          <w:kern w:val="2"/>
          <w:sz w:val="22"/>
          <w:szCs w:val="22"/>
          <w:lang w:eastAsia="en-US"/>
          <w14:ligatures w14:val="standardContextual"/>
        </w:rPr>
      </w:pPr>
      <w:r w:rsidRPr="00307028">
        <w:rPr>
          <w:rFonts w:eastAsiaTheme="minorHAnsi" w:cstheme="minorBidi"/>
          <w:b/>
          <w:bCs/>
          <w:i/>
          <w:kern w:val="2"/>
          <w:sz w:val="22"/>
          <w:szCs w:val="22"/>
          <w:lang w:eastAsia="en-US"/>
          <w14:ligatures w14:val="standardContextual"/>
        </w:rPr>
        <w:t>3.1.16. attēls</w:t>
      </w:r>
      <w:r w:rsidRPr="00307028">
        <w:rPr>
          <w:rFonts w:eastAsiaTheme="minorHAnsi" w:cstheme="minorBidi"/>
          <w:b/>
          <w:bCs/>
          <w:iCs/>
          <w:kern w:val="2"/>
          <w:sz w:val="22"/>
          <w:szCs w:val="22"/>
          <w:lang w:eastAsia="en-US"/>
          <w14:ligatures w14:val="standardContextual"/>
        </w:rPr>
        <w:t xml:space="preserve"> Absolventu skaits ar iegūtu ārsta </w:t>
      </w:r>
      <w:r w:rsidR="006C6D5D" w:rsidRPr="00307028">
        <w:rPr>
          <w:rFonts w:eastAsiaTheme="minorHAnsi" w:cstheme="minorBidi"/>
          <w:b/>
          <w:bCs/>
          <w:iCs/>
          <w:kern w:val="2"/>
          <w:sz w:val="22"/>
          <w:szCs w:val="22"/>
          <w:lang w:eastAsia="en-US"/>
          <w14:ligatures w14:val="standardContextual"/>
        </w:rPr>
        <w:t xml:space="preserve">profesiju </w:t>
      </w:r>
      <w:r w:rsidRPr="00307028">
        <w:rPr>
          <w:rFonts w:eastAsiaTheme="minorHAnsi" w:cstheme="minorBidi"/>
          <w:b/>
          <w:bCs/>
          <w:iCs/>
          <w:kern w:val="2"/>
          <w:sz w:val="22"/>
          <w:szCs w:val="22"/>
          <w:lang w:eastAsia="en-US"/>
          <w14:ligatures w14:val="standardContextual"/>
        </w:rPr>
        <w:t>2021. gadā uz 100 000 iedzīvotājiem</w:t>
      </w:r>
      <w:r w:rsidRPr="00307028">
        <w:rPr>
          <w:rFonts w:eastAsiaTheme="minorHAnsi" w:cstheme="minorBidi"/>
          <w:b/>
          <w:bCs/>
          <w:iCs/>
          <w:kern w:val="2"/>
          <w:sz w:val="22"/>
          <w:szCs w:val="22"/>
          <w:vertAlign w:val="superscript"/>
          <w:lang w:eastAsia="en-US"/>
          <w14:ligatures w14:val="standardContextual"/>
        </w:rPr>
        <w:footnoteReference w:id="53"/>
      </w:r>
    </w:p>
    <w:p w14:paraId="57C07492" w14:textId="77777777" w:rsidR="00FD7666" w:rsidRPr="00307028" w:rsidRDefault="00FD7666" w:rsidP="00FD7666">
      <w:pPr>
        <w:spacing w:after="120" w:line="259" w:lineRule="auto"/>
        <w:jc w:val="center"/>
        <w:rPr>
          <w:rFonts w:eastAsiaTheme="minorHAnsi" w:cstheme="minorBidi"/>
          <w:iCs/>
          <w:kern w:val="2"/>
          <w:lang w:eastAsia="en-US"/>
          <w14:ligatures w14:val="standardContextual"/>
        </w:rPr>
      </w:pPr>
      <w:r w:rsidRPr="00307028">
        <w:rPr>
          <w:rFonts w:eastAsiaTheme="minorHAnsi" w:cstheme="minorBidi"/>
          <w:iCs/>
          <w:noProof/>
          <w:kern w:val="2"/>
          <w:lang w:eastAsia="en-US"/>
          <w14:ligatures w14:val="standardContextual"/>
        </w:rPr>
        <w:drawing>
          <wp:inline distT="0" distB="0" distL="0" distR="0" wp14:anchorId="1BA2BCF6" wp14:editId="06B13213">
            <wp:extent cx="5398531" cy="2609850"/>
            <wp:effectExtent l="0" t="0" r="0" b="0"/>
            <wp:docPr id="890744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01708" cy="2611386"/>
                    </a:xfrm>
                    <a:prstGeom prst="rect">
                      <a:avLst/>
                    </a:prstGeom>
                    <a:noFill/>
                  </pic:spPr>
                </pic:pic>
              </a:graphicData>
            </a:graphic>
          </wp:inline>
        </w:drawing>
      </w:r>
    </w:p>
    <w:p w14:paraId="0D44F642" w14:textId="6BF6230F"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lastRenderedPageBreak/>
        <w:t xml:space="preserve">Latvijas dinamika šajā rādītājā pēdējos gados ir ļoti strauji augoša. 2013. gadā starp absolventiem uz 100 000 iedzīvotājiem </w:t>
      </w:r>
      <w:r w:rsidR="009A11B4" w:rsidRPr="00307028">
        <w:rPr>
          <w:rFonts w:eastAsiaTheme="minorHAnsi" w:cstheme="minorBidi"/>
          <w:iCs/>
          <w:kern w:val="2"/>
          <w:lang w:eastAsia="en-US"/>
          <w14:ligatures w14:val="standardContextual"/>
        </w:rPr>
        <w:t xml:space="preserve">diplomu ieguvuši </w:t>
      </w:r>
      <w:r w:rsidRPr="00307028">
        <w:rPr>
          <w:rFonts w:eastAsiaTheme="minorHAnsi" w:cstheme="minorBidi"/>
          <w:iCs/>
          <w:kern w:val="2"/>
          <w:lang w:eastAsia="en-US"/>
          <w14:ligatures w14:val="standardContextual"/>
        </w:rPr>
        <w:t xml:space="preserve">bija 13,5 </w:t>
      </w:r>
      <w:r w:rsidR="009A11B4" w:rsidRPr="00307028">
        <w:rPr>
          <w:rFonts w:eastAsiaTheme="minorHAnsi" w:cstheme="minorBidi"/>
          <w:iCs/>
          <w:kern w:val="2"/>
          <w:lang w:eastAsia="en-US"/>
          <w14:ligatures w14:val="standardContextual"/>
        </w:rPr>
        <w:t>ārsti</w:t>
      </w:r>
      <w:r w:rsidRPr="00307028">
        <w:rPr>
          <w:rFonts w:eastAsiaTheme="minorHAnsi" w:cstheme="minorBidi"/>
          <w:iCs/>
          <w:kern w:val="2"/>
          <w:lang w:eastAsia="en-US"/>
          <w14:ligatures w14:val="standardContextual"/>
        </w:rPr>
        <w:t>, 2016. gadā 16,3, 2019. gadā jau 23,5, līdz 2021. gadā sasniedz iepriekšminētos 27,3 absolventus.</w:t>
      </w:r>
    </w:p>
    <w:p w14:paraId="29A80710" w14:textId="165AE6C7"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 xml:space="preserve">Tā kā šie rādītāji neatspoguļojas praktizējošo ārstu datos, var izvirzīt attiecīgas hipotēzes, kas skaidrotu Attēlā Nr. 3.1.16. vizualizētos datus. Pirmkārt, lielu daļu šo absolventu veido ārvalstu studenti, kas visbiežāk </w:t>
      </w:r>
      <w:r w:rsidR="00497067" w:rsidRPr="00307028">
        <w:rPr>
          <w:rFonts w:eastAsiaTheme="minorHAnsi" w:cstheme="minorBidi"/>
          <w:iCs/>
          <w:kern w:val="2"/>
          <w:lang w:eastAsia="en-US"/>
          <w14:ligatures w14:val="standardContextual"/>
        </w:rPr>
        <w:t>RSU</w:t>
      </w:r>
      <w:r w:rsidRPr="00307028">
        <w:rPr>
          <w:rFonts w:eastAsiaTheme="minorHAnsi" w:cstheme="minorBidi"/>
          <w:iCs/>
          <w:kern w:val="2"/>
          <w:lang w:eastAsia="en-US"/>
          <w14:ligatures w14:val="standardContextual"/>
        </w:rPr>
        <w:t xml:space="preserve"> iegūst </w:t>
      </w:r>
      <w:r w:rsidR="009A11B4" w:rsidRPr="00307028">
        <w:rPr>
          <w:rFonts w:eastAsiaTheme="minorHAnsi" w:cstheme="minorBidi"/>
          <w:iCs/>
          <w:kern w:val="2"/>
          <w:lang w:eastAsia="en-US"/>
          <w14:ligatures w14:val="standardContextual"/>
        </w:rPr>
        <w:t>ārsta profesiju</w:t>
      </w:r>
      <w:r w:rsidRPr="00307028">
        <w:rPr>
          <w:rFonts w:eastAsiaTheme="minorHAnsi" w:cstheme="minorBidi"/>
          <w:iCs/>
          <w:kern w:val="2"/>
          <w:lang w:eastAsia="en-US"/>
          <w14:ligatures w14:val="standardContextual"/>
        </w:rPr>
        <w:t xml:space="preserve">, bet rezidentūrā iestājas jau savā mītnes zemē un arī savu profesionālo karjeru nesaista ar Latviju. Otrkārt, tie ir vietējie studenti, kuri Latvijas augstākās izglītības iestādēs iegūst </w:t>
      </w:r>
      <w:r w:rsidR="009A11B4" w:rsidRPr="00307028">
        <w:rPr>
          <w:rFonts w:eastAsiaTheme="minorHAnsi" w:cstheme="minorBidi"/>
          <w:iCs/>
          <w:kern w:val="2"/>
          <w:lang w:eastAsia="en-US"/>
          <w14:ligatures w14:val="standardContextual"/>
        </w:rPr>
        <w:t>ārsta profesiju</w:t>
      </w:r>
      <w:r w:rsidRPr="00307028">
        <w:rPr>
          <w:rFonts w:eastAsiaTheme="minorHAnsi" w:cstheme="minorBidi"/>
          <w:iCs/>
          <w:kern w:val="2"/>
          <w:lang w:eastAsia="en-US"/>
          <w14:ligatures w14:val="standardContextual"/>
        </w:rPr>
        <w:t xml:space="preserve">, bet profesionālo karjeru (visbiežāk </w:t>
      </w:r>
      <w:r w:rsidR="009A11B4" w:rsidRPr="00307028">
        <w:rPr>
          <w:rFonts w:eastAsiaTheme="minorHAnsi" w:cstheme="minorBidi"/>
          <w:iCs/>
          <w:kern w:val="2"/>
          <w:lang w:eastAsia="en-US"/>
          <w14:ligatures w14:val="standardContextual"/>
        </w:rPr>
        <w:t>ne</w:t>
      </w:r>
      <w:r w:rsidRPr="00307028">
        <w:rPr>
          <w:rFonts w:eastAsiaTheme="minorHAnsi" w:cstheme="minorBidi"/>
          <w:iCs/>
          <w:kern w:val="2"/>
          <w:lang w:eastAsia="en-US"/>
          <w14:ligatures w14:val="standardContextual"/>
        </w:rPr>
        <w:t>konkurētspējīga atalgojuma dēļ) turpina Rietumeiropas valstīs vai Skandināvijā.</w:t>
      </w:r>
      <w:r w:rsidR="009A11B4" w:rsidRPr="00307028">
        <w:rPr>
          <w:rFonts w:eastAsiaTheme="minorHAnsi" w:cstheme="minorBidi"/>
          <w:iCs/>
          <w:kern w:val="2"/>
          <w:lang w:eastAsia="en-US"/>
          <w14:ligatures w14:val="standardContextual"/>
        </w:rPr>
        <w:t xml:space="preserve"> Treškārt, no valsts budžeta finansētās rezidentūras vietu skaits ārsta specialitātes iegūšanai ierobežota finansējuma apstākļos ilgstoši ir bijis mazāks </w:t>
      </w:r>
      <w:r w:rsidR="00C35142" w:rsidRPr="00307028">
        <w:rPr>
          <w:rFonts w:eastAsiaTheme="minorHAnsi" w:cstheme="minorBidi"/>
          <w:iCs/>
          <w:kern w:val="2"/>
          <w:lang w:eastAsia="en-US"/>
          <w14:ligatures w14:val="standardContextual"/>
        </w:rPr>
        <w:t>ne</w:t>
      </w:r>
      <w:r w:rsidR="009A11B4" w:rsidRPr="00307028">
        <w:rPr>
          <w:rFonts w:eastAsiaTheme="minorHAnsi" w:cstheme="minorBidi"/>
          <w:iCs/>
          <w:kern w:val="2"/>
          <w:lang w:eastAsia="en-US"/>
          <w14:ligatures w14:val="standardContextual"/>
        </w:rPr>
        <w:t>kā ārsta pamatsudiju absolventu skaits, kas iespējams arī motivējis jaunos ārstus izvēlēties apgūt specialitāti rezidentūrā ārvalstīs. Tāpat jāmin, ka paaudžu nomaiņa un atjaunotne ārsta specialitātē nespēj kompensēt straujo praktizējošo ārstu novecošanos ilgā apmācību procesa dēļ (specialitātes iegūšanai nepieciešami vidēji 10 gadi).</w:t>
      </w:r>
    </w:p>
    <w:p w14:paraId="2E23B66C" w14:textId="63156140" w:rsidR="00FD7666" w:rsidRPr="00307028" w:rsidRDefault="00FD7666" w:rsidP="00FD7666">
      <w:pPr>
        <w:spacing w:after="120" w:line="259" w:lineRule="auto"/>
        <w:ind w:firstLine="720"/>
        <w:jc w:val="both"/>
        <w:rPr>
          <w:rFonts w:eastAsiaTheme="minorHAnsi" w:cstheme="minorBidi"/>
          <w:iCs/>
          <w:kern w:val="2"/>
          <w:lang w:eastAsia="en-US"/>
          <w14:ligatures w14:val="standardContextual"/>
        </w:rPr>
      </w:pPr>
      <w:r w:rsidRPr="00307028">
        <w:rPr>
          <w:rFonts w:eastAsiaTheme="minorHAnsi" w:cstheme="minorBidi"/>
          <w:iCs/>
          <w:kern w:val="2"/>
          <w:lang w:eastAsia="en-US"/>
          <w14:ligatures w14:val="standardContextual"/>
        </w:rPr>
        <w:t>Līdz ar to veselības politikas veidotājiem sadarbībā ar izglītības politikas ekspertiem būtu nepieciešams vērtēt, cik efektīva ir šī brīža medicīnas izglītības sistēma, kad pirmšķietami ir iespējams prezumēt, ka finansējums augstākās izglītības nozarē medicīnas jomā tiek piešķirts topošajiem mediķiem, kas pēc studiju beigšanas nesniedz pienesumu Latvijas tautsaimniecībai</w:t>
      </w:r>
      <w:r w:rsidR="009A11B4" w:rsidRPr="00307028">
        <w:rPr>
          <w:rFonts w:eastAsiaTheme="minorHAnsi" w:cstheme="minorBidi"/>
          <w:iCs/>
          <w:kern w:val="2"/>
          <w:lang w:eastAsia="en-US"/>
          <w14:ligatures w14:val="standardContextual"/>
        </w:rPr>
        <w:t xml:space="preserve"> ilgtermiņā</w:t>
      </w:r>
      <w:r w:rsidRPr="00307028">
        <w:rPr>
          <w:rFonts w:eastAsiaTheme="minorHAnsi" w:cstheme="minorBidi"/>
          <w:iCs/>
          <w:kern w:val="2"/>
          <w:lang w:eastAsia="en-US"/>
          <w14:ligatures w14:val="standardContextual"/>
        </w:rPr>
        <w:t xml:space="preserve">. Attiecībā uz vietējiem studentiem tas ir valsts budžeta finansējums par studijām potenciāli visos trīs studiju līmeņos, kā arī papildus finansējums rezidentūras vietas nodrošināšanai. Savukārt attiecībā uz ārvalstu studentiem var norādīt, ka tie izmanto studiju vajadzībām nepieciešamās iekārtas un citu infrastruktūru, kas visdrīzāk ir veidota izmantojot Latvijas valsts budžeta finansējumu. </w:t>
      </w:r>
      <w:r w:rsidR="009A11B4" w:rsidRPr="00307028">
        <w:rPr>
          <w:rFonts w:eastAsiaTheme="minorHAnsi" w:cstheme="minorBidi"/>
          <w:iCs/>
          <w:kern w:val="2"/>
          <w:lang w:eastAsia="en-US"/>
          <w14:ligatures w14:val="standardContextual"/>
        </w:rPr>
        <w:t>Vienlaikus jāatzīmē, ka VM ikgadēji</w:t>
      </w:r>
      <w:r w:rsidR="00C35142" w:rsidRPr="00307028">
        <w:rPr>
          <w:rFonts w:eastAsiaTheme="minorHAnsi" w:cstheme="minorBidi"/>
          <w:iCs/>
          <w:kern w:val="2"/>
          <w:lang w:eastAsia="en-US"/>
          <w14:ligatures w14:val="standardContextual"/>
        </w:rPr>
        <w:t>,</w:t>
      </w:r>
      <w:r w:rsidR="009A11B4" w:rsidRPr="00307028">
        <w:rPr>
          <w:rFonts w:eastAsiaTheme="minorHAnsi" w:cstheme="minorBidi"/>
          <w:iCs/>
          <w:kern w:val="2"/>
          <w:lang w:eastAsia="en-US"/>
          <w14:ligatures w14:val="standardContextual"/>
        </w:rPr>
        <w:t xml:space="preserve"> plānojot medicīnas pamatstudiju un rezidentūras vietas</w:t>
      </w:r>
      <w:r w:rsidR="00C35142" w:rsidRPr="00307028">
        <w:rPr>
          <w:rFonts w:eastAsiaTheme="minorHAnsi" w:cstheme="minorBidi"/>
          <w:iCs/>
          <w:kern w:val="2"/>
          <w:lang w:eastAsia="en-US"/>
          <w14:ligatures w14:val="standardContextual"/>
        </w:rPr>
        <w:t>,</w:t>
      </w:r>
      <w:r w:rsidR="009A11B4" w:rsidRPr="00307028">
        <w:rPr>
          <w:rFonts w:eastAsiaTheme="minorHAnsi" w:cstheme="minorBidi"/>
          <w:iCs/>
          <w:kern w:val="2"/>
          <w:lang w:eastAsia="en-US"/>
          <w14:ligatures w14:val="standardContextual"/>
        </w:rPr>
        <w:t xml:space="preserve"> ņem vērā augstskolu plānoto maksas studējošo skaitu, respektējot Augstskolu likumā</w:t>
      </w:r>
      <w:r w:rsidR="009A11B4" w:rsidRPr="00307028">
        <w:rPr>
          <w:rStyle w:val="FootnoteReference"/>
          <w:rFonts w:eastAsiaTheme="minorHAnsi" w:cstheme="minorBidi"/>
          <w:iCs/>
          <w:kern w:val="2"/>
          <w:lang w:eastAsia="en-US"/>
          <w14:ligatures w14:val="standardContextual"/>
        </w:rPr>
        <w:footnoteReference w:id="54"/>
      </w:r>
      <w:r w:rsidR="009A11B4" w:rsidRPr="00307028">
        <w:rPr>
          <w:rFonts w:eastAsiaTheme="minorHAnsi" w:cstheme="minorBidi"/>
          <w:iCs/>
          <w:kern w:val="2"/>
          <w:lang w:eastAsia="en-US"/>
          <w14:ligatures w14:val="standardContextual"/>
        </w:rPr>
        <w:t xml:space="preserve"> noteiktās autonomijas tiesības. </w:t>
      </w:r>
      <w:r w:rsidRPr="00307028">
        <w:rPr>
          <w:rFonts w:eastAsiaTheme="minorHAnsi" w:cstheme="minorBidi"/>
          <w:iCs/>
          <w:kern w:val="2"/>
          <w:lang w:eastAsia="en-US"/>
          <w14:ligatures w14:val="standardContextual"/>
        </w:rPr>
        <w:t xml:space="preserve">Šajā sakarā jāatsaucas arī uz 2019. gada izdevumu pārskatīšanas informatīvo ziņojumu, kurā tika vērtēta Latvijas augstākās izglītības sistēma, secinot, ka par maksas studiju vietu studentam tiek prasīta daudz mazāka samaksa nekā par ekvivalentu studiju vietu samaksā valsts no nodokļu maksātāju līdzekļiem. Piemēram, 2019. gadā </w:t>
      </w:r>
      <w:r w:rsidR="00497067" w:rsidRPr="00307028">
        <w:rPr>
          <w:rFonts w:eastAsiaTheme="minorHAnsi" w:cstheme="minorBidi"/>
          <w:iCs/>
          <w:kern w:val="2"/>
          <w:lang w:eastAsia="en-US"/>
          <w14:ligatures w14:val="standardContextual"/>
        </w:rPr>
        <w:t>RSU</w:t>
      </w:r>
      <w:r w:rsidRPr="00307028">
        <w:rPr>
          <w:rFonts w:eastAsiaTheme="minorHAnsi" w:cstheme="minorBidi"/>
          <w:iCs/>
          <w:kern w:val="2"/>
          <w:lang w:eastAsia="en-US"/>
          <w14:ligatures w14:val="standardContextual"/>
        </w:rPr>
        <w:t xml:space="preserve"> maģistra līmeņa studiju programmā “Medicīna” maksas studiju vietas cena bija 5 193 </w:t>
      </w:r>
      <w:r w:rsidRPr="00307028">
        <w:rPr>
          <w:rFonts w:eastAsiaTheme="minorHAnsi" w:cstheme="minorBidi"/>
          <w:i/>
          <w:kern w:val="2"/>
          <w:lang w:eastAsia="en-US"/>
          <w14:ligatures w14:val="standardContextual"/>
        </w:rPr>
        <w:t>euro</w:t>
      </w:r>
      <w:r w:rsidRPr="00307028">
        <w:rPr>
          <w:rFonts w:eastAsiaTheme="minorHAnsi" w:cstheme="minorBidi"/>
          <w:iCs/>
          <w:kern w:val="2"/>
          <w:lang w:eastAsia="en-US"/>
          <w14:ligatures w14:val="standardContextual"/>
        </w:rPr>
        <w:t xml:space="preserve"> gadā, kamēr valsts budžeta finansētas studiju vietas izmaksas bija 17 736 </w:t>
      </w:r>
      <w:r w:rsidRPr="00307028">
        <w:rPr>
          <w:rFonts w:eastAsiaTheme="minorHAnsi" w:cstheme="minorBidi"/>
          <w:i/>
          <w:kern w:val="2"/>
          <w:lang w:eastAsia="en-US"/>
          <w14:ligatures w14:val="standardContextual"/>
        </w:rPr>
        <w:t>euro</w:t>
      </w:r>
      <w:r w:rsidRPr="00307028">
        <w:rPr>
          <w:rFonts w:eastAsiaTheme="minorHAnsi" w:cstheme="minorBidi"/>
          <w:iCs/>
          <w:kern w:val="2"/>
          <w:lang w:eastAsia="en-US"/>
          <w14:ligatures w14:val="standardContextual"/>
        </w:rPr>
        <w:t xml:space="preserve">. Pie šādas politikas secināms, ka ar valsts budžeta finansējuma palīdzību tiek </w:t>
      </w:r>
      <w:r w:rsidR="009A11B4" w:rsidRPr="00307028">
        <w:rPr>
          <w:rFonts w:eastAsiaTheme="minorHAnsi" w:cstheme="minorBidi"/>
          <w:iCs/>
          <w:kern w:val="2"/>
          <w:lang w:eastAsia="en-US"/>
          <w14:ligatures w14:val="standardContextual"/>
        </w:rPr>
        <w:t xml:space="preserve">daļēji </w:t>
      </w:r>
      <w:r w:rsidRPr="00307028">
        <w:rPr>
          <w:rFonts w:eastAsiaTheme="minorHAnsi" w:cstheme="minorBidi"/>
          <w:iCs/>
          <w:kern w:val="2"/>
          <w:lang w:eastAsia="en-US"/>
          <w14:ligatures w14:val="standardContextual"/>
        </w:rPr>
        <w:t>apmaksātas studijas medicīnas speciālistiem, kuri savas zināšanas pēc absolvēšanas neizmanto Latvijas iedzīvotāju veselības aprūpes nodrošināšanai, un tiek panākts tikai tas, ka Latvija ir līderpozīcijā apmācīto ārstu ziņā, kamēr pašu valstī nodarbināto ārstu un jo sevišķi māsu skaits ir kritiski zems.</w:t>
      </w:r>
    </w:p>
    <w:p w14:paraId="2B1A1D42" w14:textId="77777777" w:rsidR="00FD7666" w:rsidRPr="00307028" w:rsidRDefault="00FD7666" w:rsidP="00FD7666">
      <w:pPr>
        <w:spacing w:after="120" w:line="259" w:lineRule="auto"/>
        <w:jc w:val="both"/>
        <w:rPr>
          <w:rFonts w:eastAsiaTheme="minorHAnsi" w:cstheme="minorBidi"/>
          <w:b/>
          <w:bCs/>
          <w:i/>
          <w:iCs/>
          <w:kern w:val="2"/>
          <w:lang w:eastAsia="en-US"/>
          <w14:ligatures w14:val="standardContextual"/>
        </w:rPr>
      </w:pPr>
      <w:r w:rsidRPr="00307028">
        <w:rPr>
          <w:rFonts w:eastAsiaTheme="minorHAnsi" w:cstheme="minorBidi"/>
          <w:b/>
          <w:bCs/>
          <w:i/>
          <w:iCs/>
          <w:kern w:val="2"/>
          <w:lang w:eastAsia="en-US"/>
          <w14:ligatures w14:val="standardContextual"/>
        </w:rPr>
        <w:t>Valsts apmaksātie laboratoriskie pakalpojumi un ārstniecības iestāžu rentabilitāte</w:t>
      </w:r>
    </w:p>
    <w:p w14:paraId="23E14685" w14:textId="7777777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Ņemot vērā 2022. gada izdevumu pārskatīšanas informatīvajā ziņojumā ietverto VM sagatavoto laboratoriju sniegto pakalpojumu sadaļu, kā arī ar MK protokollēmumu uzdotos uzdevumus, 2023. gadā VM sagatavoja informatīvo ziņojumu “Informatīvais ziņojums par priekšlikumiem laboratorijas pakalpojumu finansiālās pieejamības uzlabošanai”, kas šobrīd ir saskaņošanas procesā. Balstoties uz VM sagatavotajā informatīvajā ziņojumā paustajiem argumentiem un secinājumiem, FM 2023. gada izdevumu pārskatīšanas procesa ietvaros veica ieskatu valsts apmaksāto laboratorisko pakalpojumu segmentā.</w:t>
      </w:r>
    </w:p>
    <w:p w14:paraId="145B121E" w14:textId="7777777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lastRenderedPageBreak/>
        <w:t>NVD līguma apjomu laboratoriju pakalpojumiem plāno saskaņā ar MK 2018. gada 28. augusta noteikumu Nr. 555 “Veselības aprūpes pakalpojumu organizēšanas un samaksas kārtība” regulējumu, kā arī gadskārtējā budžeta ietvaros laboratorisko pakalpojumu apmaksai atvēlēto finansējuma apmēru. Iepriekšminētie noteikumi nosaka valsts apmaksāto laboratorisko pakalpojumu klāstu un to finansēšanas nosacījumus (manipulāciju saraksts un to tarifi ir publiski pieejami NVD tīmekļvietnē).</w:t>
      </w:r>
    </w:p>
    <w:p w14:paraId="0C988E82" w14:textId="30DF1610" w:rsidR="00276424" w:rsidRPr="00307028" w:rsidRDefault="00FD7666" w:rsidP="003E42D5">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NVD ir tiesīgs pārskatīt manipulāciju sarakstu, kā arī to apmaksas nosacījumus, pielīdzinot noteikto tarifu attiecīgās manipulācijas patiesajām izmaksām. Sekojoši NVD slēdz līgumus ar ārstniecības iestādēm, kuras ar ģimenes ārstu un speciālistu starpniecību ambulatoro laboratorisko pakalpojumu saņemšanai nosūta pacientu uz laboratorijām, ar kurām NVD slēdz atsevišķus līgumus, kuros tiek norādīts attiecīgajam kalendārajam gadam plānotais finansējuma apmērs.</w:t>
      </w:r>
    </w:p>
    <w:p w14:paraId="6FAA681A" w14:textId="76F04024" w:rsidR="00276424" w:rsidRPr="00307028" w:rsidRDefault="00FD7666" w:rsidP="003E42D5">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Jāatzīmē, ka, vērtējot medicīnas pakalpojumu sniedzēju rentabilitātes rādītājus, izteikti novērojams, ka daudz lielāku peļņu no savas pamatdarbības gūst privātā sektora komersanti. Saskaņā ar Uzņēmumu reģistra datiem veselības nozares komersantiem, ar apgrozījumu virs 5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2021. gada bruto rentabilitāte (bruto peļņa/neto apgrozījums) bijusi krietni augstāka nekā publiskā sektora komersantiem. Vislabākos bruto rentabilitātes rādītājus uzrādīja SIA “Centrālā laboratorija” 40% un SIA “Vizuālā diagnostika” ar 35,2% bruto peļņu no kopējā apgrozījuma. Vismazākā peļņa no privātā sektora medicīnas pakalpojumu sniedzējiem bija SIA “Balvu un Gulbenes slimnīcu apvienība” – 12,9%. Tajā pašā laikā no publiskā sektora pakalpojumu sniedzējiem lielāki peļņas rādītāji 2021. gadā bija tikai SIA “Nacionālais rehabilitācijas centrs “Vaivari”” – 14,9%. Vienlaikus norādāms, ka ar zaudējumiem 2021. gadā strādāja tikai SIA “Kuldīgas slimnīca”, kuras zaudējumi bija 1,9% (Attēls Nr. 3.1.</w:t>
      </w:r>
      <w:r w:rsidR="001717A1" w:rsidRPr="00307028">
        <w:rPr>
          <w:rFonts w:eastAsiaTheme="minorHAnsi" w:cstheme="minorBidi"/>
          <w:kern w:val="2"/>
          <w:lang w:eastAsia="en-US"/>
          <w14:ligatures w14:val="standardContextual"/>
        </w:rPr>
        <w:t>1</w:t>
      </w:r>
      <w:r w:rsidR="003E42D5">
        <w:rPr>
          <w:rFonts w:eastAsiaTheme="minorHAnsi" w:cstheme="minorBidi"/>
          <w:kern w:val="2"/>
          <w:lang w:eastAsia="en-US"/>
          <w14:ligatures w14:val="standardContextual"/>
        </w:rPr>
        <w:t>7</w:t>
      </w:r>
      <w:r w:rsidRPr="00307028">
        <w:rPr>
          <w:rFonts w:eastAsiaTheme="minorHAnsi" w:cstheme="minorBidi"/>
          <w:kern w:val="2"/>
          <w:lang w:eastAsia="en-US"/>
          <w14:ligatures w14:val="standardContextual"/>
        </w:rPr>
        <w:t>.).</w:t>
      </w:r>
    </w:p>
    <w:p w14:paraId="48DC2126" w14:textId="2DFFA8F8" w:rsidR="00FD7666" w:rsidRPr="00307028" w:rsidRDefault="00FD7666" w:rsidP="007E398B">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w:t>
      </w:r>
      <w:r w:rsidR="001717A1" w:rsidRPr="00307028">
        <w:rPr>
          <w:rFonts w:eastAsiaTheme="minorHAnsi" w:cstheme="minorBidi"/>
          <w:b/>
          <w:bCs/>
          <w:i/>
          <w:iCs/>
          <w:kern w:val="2"/>
          <w:sz w:val="22"/>
          <w:szCs w:val="22"/>
          <w:lang w:eastAsia="en-US"/>
          <w14:ligatures w14:val="standardContextual"/>
        </w:rPr>
        <w:t>1</w:t>
      </w:r>
      <w:r w:rsidR="003E42D5">
        <w:rPr>
          <w:rFonts w:eastAsiaTheme="minorHAnsi" w:cstheme="minorBidi"/>
          <w:b/>
          <w:bCs/>
          <w:i/>
          <w:iCs/>
          <w:kern w:val="2"/>
          <w:sz w:val="22"/>
          <w:szCs w:val="22"/>
          <w:lang w:eastAsia="en-US"/>
          <w14:ligatures w14:val="standardContextual"/>
        </w:rPr>
        <w:t>7</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Publiskā un privātā sektora medicīnas pakalpojumu sniedzēju ar apgrozījumu, kas lielāks par 5 milj. </w:t>
      </w:r>
      <w:r w:rsidRPr="00307028">
        <w:rPr>
          <w:rFonts w:eastAsiaTheme="minorHAnsi" w:cstheme="minorBidi"/>
          <w:b/>
          <w:bCs/>
          <w:i/>
          <w:iCs/>
          <w:kern w:val="2"/>
          <w:sz w:val="22"/>
          <w:szCs w:val="22"/>
          <w:lang w:eastAsia="en-US"/>
          <w14:ligatures w14:val="standardContextual"/>
        </w:rPr>
        <w:t>euro</w:t>
      </w:r>
      <w:r w:rsidRPr="00307028">
        <w:rPr>
          <w:rFonts w:eastAsiaTheme="minorHAnsi" w:cstheme="minorBidi"/>
          <w:b/>
          <w:bCs/>
          <w:kern w:val="2"/>
          <w:sz w:val="22"/>
          <w:szCs w:val="22"/>
          <w:lang w:eastAsia="en-US"/>
          <w14:ligatures w14:val="standardContextual"/>
        </w:rPr>
        <w:t>, bruto peļņas īpatsvars no komersanta kopējā apgrozījuma 2021. gadā (procentos)</w:t>
      </w:r>
      <w:r w:rsidRPr="00307028">
        <w:rPr>
          <w:rFonts w:eastAsiaTheme="minorHAnsi" w:cstheme="minorBidi"/>
          <w:b/>
          <w:bCs/>
          <w:kern w:val="2"/>
          <w:sz w:val="22"/>
          <w:szCs w:val="22"/>
          <w:vertAlign w:val="superscript"/>
          <w:lang w:eastAsia="en-US"/>
          <w14:ligatures w14:val="standardContextual"/>
        </w:rPr>
        <w:footnoteReference w:id="55"/>
      </w:r>
    </w:p>
    <w:p w14:paraId="3FF08E90" w14:textId="77777777" w:rsidR="00FD7666" w:rsidRPr="00307028" w:rsidRDefault="00FD7666" w:rsidP="00FD7666">
      <w:pPr>
        <w:spacing w:after="160" w:line="259" w:lineRule="auto"/>
        <w:jc w:val="both"/>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1F688443" wp14:editId="2849BFA3">
            <wp:extent cx="5811515" cy="3471545"/>
            <wp:effectExtent l="0" t="0" r="0" b="0"/>
            <wp:docPr id="339194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5202"/>
                    <a:stretch/>
                  </pic:blipFill>
                  <pic:spPr bwMode="auto">
                    <a:xfrm>
                      <a:off x="0" y="0"/>
                      <a:ext cx="5811515" cy="3471545"/>
                    </a:xfrm>
                    <a:prstGeom prst="rect">
                      <a:avLst/>
                    </a:prstGeom>
                    <a:noFill/>
                    <a:ln>
                      <a:noFill/>
                    </a:ln>
                    <a:extLst>
                      <a:ext uri="{53640926-AAD7-44D8-BBD7-CCE9431645EC}">
                        <a14:shadowObscured xmlns:a14="http://schemas.microsoft.com/office/drawing/2010/main"/>
                      </a:ext>
                    </a:extLst>
                  </pic:spPr>
                </pic:pic>
              </a:graphicData>
            </a:graphic>
          </wp:inline>
        </w:drawing>
      </w:r>
    </w:p>
    <w:p w14:paraId="49228EDE" w14:textId="414C6DFB" w:rsidR="009A11B4" w:rsidRPr="00307028" w:rsidRDefault="00FD7666" w:rsidP="00B00E00">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lang w:eastAsia="en-US"/>
          <w14:ligatures w14:val="standardContextual"/>
        </w:rPr>
        <w:lastRenderedPageBreak/>
        <w:t xml:space="preserve">Arī salīdzinot </w:t>
      </w:r>
      <w:r w:rsidR="007E398B" w:rsidRPr="00307028">
        <w:rPr>
          <w:rFonts w:eastAsiaTheme="minorHAnsi" w:cstheme="minorBidi"/>
          <w:kern w:val="2"/>
          <w:lang w:eastAsia="en-US"/>
          <w14:ligatures w14:val="standardContextual"/>
        </w:rPr>
        <w:t>UR</w:t>
      </w:r>
      <w:r w:rsidRPr="00307028">
        <w:rPr>
          <w:rFonts w:eastAsiaTheme="minorHAnsi" w:cstheme="minorBidi"/>
          <w:kern w:val="2"/>
          <w:lang w:eastAsia="en-US"/>
          <w14:ligatures w14:val="standardContextual"/>
        </w:rPr>
        <w:t xml:space="preserve"> datus par 2019., 2020. un 2021. gadu dinamikā un sagrupējot komersantus pēc to apgrozījuma, vērojams, ka privātā sektora veselības pakalpojumu sniedzējiem ir daudz labāki rentabilitātes rādītāji. Lielākā rentabilitāte publiskajā sektorā 2021. gadā bijusi komersantiem, kuru gada apgrozījums ir starp 1 un 5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kamēr privātajā sektorā 2021. gadā ar lielāko rentabilitāti darbojušies komersanti, kuru apgrozījums ir virs 20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Rentabilitātes rādītāji 2021. gadā salīdzinājumā ar 2020. gadu ir auguši visās publisko un privāto komersantu grupās, tomēr tieši privātajiem komersantiem rentabilitātes rādītāji kopumā joprojām ir daudz augstāki </w:t>
      </w:r>
      <w:r w:rsidRPr="00307028">
        <w:rPr>
          <w:rFonts w:eastAsiaTheme="minorHAnsi" w:cstheme="minorBidi"/>
          <w:kern w:val="2"/>
          <w:szCs w:val="22"/>
          <w:lang w:eastAsia="en-US"/>
          <w14:ligatures w14:val="standardContextual"/>
        </w:rPr>
        <w:t>(Attēls Nr. 3.1.</w:t>
      </w:r>
      <w:r w:rsidR="003E42D5">
        <w:rPr>
          <w:rFonts w:eastAsiaTheme="minorHAnsi" w:cstheme="minorBidi"/>
          <w:kern w:val="2"/>
          <w:szCs w:val="22"/>
          <w:lang w:eastAsia="en-US"/>
          <w14:ligatures w14:val="standardContextual"/>
        </w:rPr>
        <w:t>18</w:t>
      </w:r>
      <w:r w:rsidRPr="00307028">
        <w:rPr>
          <w:rFonts w:eastAsiaTheme="minorHAnsi" w:cstheme="minorBidi"/>
          <w:kern w:val="2"/>
          <w:szCs w:val="22"/>
          <w:lang w:eastAsia="en-US"/>
          <w14:ligatures w14:val="standardContextual"/>
        </w:rPr>
        <w:t>. un Attēls Nr. 3.1.</w:t>
      </w:r>
      <w:r w:rsidR="003E42D5">
        <w:rPr>
          <w:rFonts w:eastAsiaTheme="minorHAnsi" w:cstheme="minorBidi"/>
          <w:kern w:val="2"/>
          <w:szCs w:val="22"/>
          <w:lang w:eastAsia="en-US"/>
          <w14:ligatures w14:val="standardContextual"/>
        </w:rPr>
        <w:t>19</w:t>
      </w:r>
      <w:r w:rsidRPr="00307028">
        <w:rPr>
          <w:rFonts w:eastAsiaTheme="minorHAnsi" w:cstheme="minorBidi"/>
          <w:kern w:val="2"/>
          <w:szCs w:val="22"/>
          <w:lang w:eastAsia="en-US"/>
          <w14:ligatures w14:val="standardContextual"/>
        </w:rPr>
        <w:t>.).</w:t>
      </w:r>
    </w:p>
    <w:p w14:paraId="77F25A42" w14:textId="358FEA02" w:rsidR="00FD7666" w:rsidRPr="00307028" w:rsidRDefault="00FD7666" w:rsidP="00EC4BC3">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w:t>
      </w:r>
      <w:r w:rsidR="003E42D5">
        <w:rPr>
          <w:rFonts w:eastAsiaTheme="minorHAnsi" w:cstheme="minorBidi"/>
          <w:b/>
          <w:bCs/>
          <w:i/>
          <w:iCs/>
          <w:kern w:val="2"/>
          <w:sz w:val="22"/>
          <w:szCs w:val="20"/>
          <w:lang w:eastAsia="en-US"/>
          <w14:ligatures w14:val="standardContextual"/>
        </w:rPr>
        <w:t>18</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Publiskā sektora kapitālsabiedrību rentabilitāte 2019., 2020. un 2021. gadā</w:t>
      </w:r>
      <w:r w:rsidRPr="00307028">
        <w:rPr>
          <w:rFonts w:eastAsiaTheme="minorHAnsi" w:cstheme="minorBidi"/>
          <w:b/>
          <w:bCs/>
          <w:kern w:val="2"/>
          <w:sz w:val="22"/>
          <w:szCs w:val="20"/>
          <w:vertAlign w:val="superscript"/>
          <w:lang w:eastAsia="en-US"/>
          <w14:ligatures w14:val="standardContextual"/>
        </w:rPr>
        <w:footnoteReference w:id="56"/>
      </w:r>
    </w:p>
    <w:p w14:paraId="277D9E33" w14:textId="77777777" w:rsidR="00FD7666" w:rsidRPr="00307028" w:rsidRDefault="00FD7666" w:rsidP="00FD7666">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21370E25" wp14:editId="41F1CC2C">
            <wp:extent cx="4942270" cy="2613660"/>
            <wp:effectExtent l="0" t="0" r="0" b="0"/>
            <wp:docPr id="746293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59667" cy="2622860"/>
                    </a:xfrm>
                    <a:prstGeom prst="rect">
                      <a:avLst/>
                    </a:prstGeom>
                    <a:noFill/>
                  </pic:spPr>
                </pic:pic>
              </a:graphicData>
            </a:graphic>
          </wp:inline>
        </w:drawing>
      </w:r>
    </w:p>
    <w:p w14:paraId="192AC6B3" w14:textId="28E2185A" w:rsidR="00FD7666" w:rsidRPr="00307028" w:rsidRDefault="00FD7666" w:rsidP="00EC4BC3">
      <w:pPr>
        <w:spacing w:line="259" w:lineRule="auto"/>
        <w:jc w:val="center"/>
        <w:rPr>
          <w:rFonts w:eastAsiaTheme="minorHAnsi" w:cstheme="minorBidi"/>
          <w:b/>
          <w:bCs/>
          <w:kern w:val="2"/>
          <w:szCs w:val="22"/>
          <w:lang w:eastAsia="en-US"/>
          <w14:ligatures w14:val="standardContextual"/>
        </w:rPr>
      </w:pPr>
      <w:r w:rsidRPr="00307028">
        <w:rPr>
          <w:rFonts w:eastAsiaTheme="minorHAnsi" w:cstheme="minorBidi"/>
          <w:b/>
          <w:bCs/>
          <w:i/>
          <w:iCs/>
          <w:kern w:val="2"/>
          <w:sz w:val="22"/>
          <w:szCs w:val="20"/>
          <w:lang w:eastAsia="en-US"/>
          <w14:ligatures w14:val="standardContextual"/>
        </w:rPr>
        <w:t>3.1.</w:t>
      </w:r>
      <w:r w:rsidR="003E42D5">
        <w:rPr>
          <w:rFonts w:eastAsiaTheme="minorHAnsi" w:cstheme="minorBidi"/>
          <w:b/>
          <w:bCs/>
          <w:i/>
          <w:iCs/>
          <w:kern w:val="2"/>
          <w:sz w:val="22"/>
          <w:szCs w:val="20"/>
          <w:lang w:eastAsia="en-US"/>
          <w14:ligatures w14:val="standardContextual"/>
        </w:rPr>
        <w:t>19</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Privātā sektora kapitālsabiedrību rentabilitāte 2019., 2020. un 2021. gadā</w:t>
      </w:r>
      <w:r w:rsidRPr="00307028">
        <w:rPr>
          <w:rFonts w:eastAsiaTheme="minorHAnsi" w:cstheme="minorBidi"/>
          <w:b/>
          <w:bCs/>
          <w:kern w:val="2"/>
          <w:sz w:val="22"/>
          <w:szCs w:val="20"/>
          <w:vertAlign w:val="superscript"/>
          <w:lang w:eastAsia="en-US"/>
          <w14:ligatures w14:val="standardContextual"/>
        </w:rPr>
        <w:footnoteReference w:id="57"/>
      </w:r>
      <w:r w:rsidRPr="00307028">
        <w:rPr>
          <w:rFonts w:eastAsiaTheme="minorHAnsi" w:cstheme="minorBidi"/>
          <w:noProof/>
          <w:kern w:val="2"/>
          <w:szCs w:val="22"/>
          <w:lang w:eastAsia="en-US"/>
          <w14:ligatures w14:val="standardContextual"/>
        </w:rPr>
        <w:drawing>
          <wp:inline distT="0" distB="0" distL="0" distR="0" wp14:anchorId="5146F089" wp14:editId="3F175A70">
            <wp:extent cx="5152441" cy="2590800"/>
            <wp:effectExtent l="0" t="0" r="0" b="0"/>
            <wp:docPr id="845161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68597" cy="2598924"/>
                    </a:xfrm>
                    <a:prstGeom prst="rect">
                      <a:avLst/>
                    </a:prstGeom>
                    <a:noFill/>
                  </pic:spPr>
                </pic:pic>
              </a:graphicData>
            </a:graphic>
          </wp:inline>
        </w:drawing>
      </w:r>
    </w:p>
    <w:p w14:paraId="19156F09"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Atgriežoties pie laboratoriskajiem izmeklējumiem, norādāms, ka 2020. gadā strauji samazinājās to laboratorisko pakalpojumu pieejamība, kas tiešā veidā nav saistīta ar Covid-19. Līdz ar to šīs sadaļas ietvaros tiks aplūkota statistika par Covid-19 pandēmijas ietekmi laboratorisko pakalpojumu pieejamībā, pamatojoties uz Veselības informācijas sistēmas datiem.</w:t>
      </w:r>
    </w:p>
    <w:p w14:paraId="665173F9"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No valsts budžeta līdzekļiem apmaksātās manipulācijas tiek iedalītas manipulāciju grupās, kur laboratorisko izmeklējumu gadījumā atsevišķi tiek izdalītas tādas manipulāciju </w:t>
      </w:r>
      <w:r w:rsidRPr="00307028">
        <w:rPr>
          <w:rFonts w:eastAsiaTheme="minorHAnsi" w:cstheme="minorBidi"/>
          <w:kern w:val="2"/>
          <w:szCs w:val="22"/>
          <w:lang w:eastAsia="en-US"/>
          <w14:ligatures w14:val="standardContextual"/>
        </w:rPr>
        <w:lastRenderedPageBreak/>
        <w:t>grupas kā hematoloģija, glikozes regulācija, fermenti, lipīdi, reimosti-akūtās fāzes olbaltumvielas, urīna analīzes, vairogdziedzera hormoni utt. Aptuveni 90% no visiem valsts apmaksātajiem pakalpojumiem tiek finansēti no valsts budžeta apakšprogrammā 35.15.00 “Laboratorisko izmeklējumu nodrošināšana ambulatorajā aprūpē” pieejamajiem līdzekļiem. Norēķins par katru atsevišķo laboratorisko izmeklējumu ir atkarīgs no veikto manipulāciju skaita un šai manipulācijai aprēķinātā tarifa.</w:t>
      </w:r>
    </w:p>
    <w:p w14:paraId="1F300F01" w14:textId="637083FC" w:rsidR="00B00E00" w:rsidRPr="00307028" w:rsidRDefault="00FD7666" w:rsidP="003E42D5">
      <w:pPr>
        <w:spacing w:after="120" w:line="259" w:lineRule="auto"/>
        <w:ind w:firstLine="709"/>
        <w:jc w:val="both"/>
        <w:rPr>
          <w:rFonts w:eastAsiaTheme="minorHAnsi" w:cstheme="minorBidi"/>
          <w:b/>
          <w:bCs/>
          <w:i/>
          <w:iCs/>
          <w:kern w:val="2"/>
          <w:sz w:val="22"/>
          <w:szCs w:val="20"/>
          <w:lang w:eastAsia="en-US"/>
          <w14:ligatures w14:val="standardContextual"/>
        </w:rPr>
      </w:pPr>
      <w:r w:rsidRPr="00307028">
        <w:rPr>
          <w:rFonts w:eastAsiaTheme="minorHAnsi" w:cstheme="minorBidi"/>
          <w:kern w:val="2"/>
          <w:szCs w:val="22"/>
          <w:lang w:eastAsia="en-US"/>
          <w14:ligatures w14:val="standardContextual"/>
        </w:rPr>
        <w:t>Aplūkojot individuālo izmeklējumu gadījumu skaitu katrā no laboratorisko izmeklējumu grupām, gūstams priekšstats par valsts apmaksāto pakalpojumu apjomiem attiecīgajās grupās un to dinamiku. Attiecīgajos grafikos aplūkojamas desmit biežākās laboratorisko izmeklējumu grupas (Attēls Nr. 3.1.2</w:t>
      </w:r>
      <w:r w:rsidR="003E42D5">
        <w:rPr>
          <w:rFonts w:eastAsiaTheme="minorHAnsi" w:cstheme="minorBidi"/>
          <w:kern w:val="2"/>
          <w:szCs w:val="22"/>
          <w:lang w:eastAsia="en-US"/>
          <w14:ligatures w14:val="standardContextual"/>
        </w:rPr>
        <w:t>0</w:t>
      </w:r>
      <w:r w:rsidRPr="00307028">
        <w:rPr>
          <w:rFonts w:eastAsiaTheme="minorHAnsi" w:cstheme="minorBidi"/>
          <w:kern w:val="2"/>
          <w:szCs w:val="22"/>
          <w:lang w:eastAsia="en-US"/>
          <w14:ligatures w14:val="standardContextual"/>
        </w:rPr>
        <w:t>., Attēls Nr. 3.1.2</w:t>
      </w:r>
      <w:r w:rsidR="003E42D5">
        <w:rPr>
          <w:rFonts w:eastAsiaTheme="minorHAnsi" w:cstheme="minorBidi"/>
          <w:kern w:val="2"/>
          <w:szCs w:val="22"/>
          <w:lang w:eastAsia="en-US"/>
          <w14:ligatures w14:val="standardContextual"/>
        </w:rPr>
        <w:t>1</w:t>
      </w:r>
      <w:r w:rsidRPr="00307028">
        <w:rPr>
          <w:rFonts w:eastAsiaTheme="minorHAnsi" w:cstheme="minorBidi"/>
          <w:kern w:val="2"/>
          <w:szCs w:val="22"/>
          <w:lang w:eastAsia="en-US"/>
          <w14:ligatures w14:val="standardContextual"/>
        </w:rPr>
        <w:t>. un Attēls Nr. 3.1.2</w:t>
      </w:r>
      <w:r w:rsidR="003E42D5">
        <w:rPr>
          <w:rFonts w:eastAsiaTheme="minorHAnsi" w:cstheme="minorBidi"/>
          <w:kern w:val="2"/>
          <w:szCs w:val="22"/>
          <w:lang w:eastAsia="en-US"/>
          <w14:ligatures w14:val="standardContextual"/>
        </w:rPr>
        <w:t>2</w:t>
      </w:r>
      <w:r w:rsidRPr="00307028">
        <w:rPr>
          <w:rFonts w:eastAsiaTheme="minorHAnsi" w:cstheme="minorBidi"/>
          <w:kern w:val="2"/>
          <w:szCs w:val="22"/>
          <w:lang w:eastAsia="en-US"/>
          <w14:ligatures w14:val="standardContextual"/>
        </w:rPr>
        <w:t>.).</w:t>
      </w:r>
    </w:p>
    <w:p w14:paraId="382D6B52" w14:textId="18B6F453" w:rsidR="00FD7666" w:rsidRPr="00307028" w:rsidRDefault="00FD7666" w:rsidP="00EC4BC3">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w:t>
      </w:r>
      <w:r w:rsidR="001717A1" w:rsidRPr="00307028">
        <w:rPr>
          <w:rFonts w:eastAsiaTheme="minorHAnsi" w:cstheme="minorBidi"/>
          <w:b/>
          <w:bCs/>
          <w:i/>
          <w:iCs/>
          <w:kern w:val="2"/>
          <w:sz w:val="22"/>
          <w:szCs w:val="20"/>
          <w:lang w:eastAsia="en-US"/>
          <w14:ligatures w14:val="standardContextual"/>
        </w:rPr>
        <w:t>2</w:t>
      </w:r>
      <w:r w:rsidR="003E42D5">
        <w:rPr>
          <w:rFonts w:eastAsiaTheme="minorHAnsi" w:cstheme="minorBidi"/>
          <w:b/>
          <w:bCs/>
          <w:i/>
          <w:iCs/>
          <w:kern w:val="2"/>
          <w:sz w:val="22"/>
          <w:szCs w:val="20"/>
          <w:lang w:eastAsia="en-US"/>
          <w14:ligatures w14:val="standardContextual"/>
        </w:rPr>
        <w:t>0</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gadījumu skaits Top 10 manipulāciju grupām (2016. – 2022. gadā sadalījumā pa mēnešiem)</w:t>
      </w:r>
      <w:r w:rsidRPr="00307028">
        <w:rPr>
          <w:rFonts w:eastAsiaTheme="minorHAnsi" w:cstheme="minorBidi"/>
          <w:b/>
          <w:bCs/>
          <w:kern w:val="2"/>
          <w:sz w:val="22"/>
          <w:szCs w:val="20"/>
          <w:vertAlign w:val="superscript"/>
          <w:lang w:eastAsia="en-US"/>
          <w14:ligatures w14:val="standardContextual"/>
        </w:rPr>
        <w:footnoteReference w:id="58"/>
      </w:r>
    </w:p>
    <w:p w14:paraId="1D44974C" w14:textId="327187D7" w:rsidR="00CE4F77" w:rsidRPr="00307028" w:rsidRDefault="00FD7666" w:rsidP="00D30EA8">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29E906B8" wp14:editId="2B73BF4B">
            <wp:extent cx="5442699" cy="2838450"/>
            <wp:effectExtent l="0" t="0" r="5715" b="0"/>
            <wp:docPr id="200408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70143" cy="2852762"/>
                    </a:xfrm>
                    <a:prstGeom prst="rect">
                      <a:avLst/>
                    </a:prstGeom>
                    <a:noFill/>
                  </pic:spPr>
                </pic:pic>
              </a:graphicData>
            </a:graphic>
          </wp:inline>
        </w:drawing>
      </w:r>
    </w:p>
    <w:p w14:paraId="234C7843" w14:textId="336D86BB" w:rsidR="00FD7666" w:rsidRPr="00307028" w:rsidRDefault="00FD7666" w:rsidP="00CE4F77">
      <w:pPr>
        <w:spacing w:line="259" w:lineRule="auto"/>
        <w:ind w:firstLine="709"/>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3.1.2</w:t>
      </w:r>
      <w:r w:rsidR="003E42D5">
        <w:rPr>
          <w:rFonts w:eastAsiaTheme="minorHAnsi" w:cstheme="minorBidi"/>
          <w:b/>
          <w:bCs/>
          <w:i/>
          <w:iCs/>
          <w:kern w:val="2"/>
          <w:sz w:val="22"/>
          <w:szCs w:val="20"/>
          <w:lang w:eastAsia="en-US"/>
          <w14:ligatures w14:val="standardContextual"/>
        </w:rPr>
        <w:t>1</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gadījumu skaits Top 10 manipulāciju grupām (2016. – 2022. gadā sadalījumā pa ceturkšņiem)</w:t>
      </w:r>
      <w:r w:rsidRPr="00307028">
        <w:rPr>
          <w:rFonts w:eastAsiaTheme="minorHAnsi" w:cstheme="minorBidi"/>
          <w:b/>
          <w:bCs/>
          <w:kern w:val="2"/>
          <w:sz w:val="22"/>
          <w:szCs w:val="20"/>
          <w:vertAlign w:val="superscript"/>
          <w:lang w:eastAsia="en-US"/>
          <w14:ligatures w14:val="standardContextual"/>
        </w:rPr>
        <w:footnoteReference w:id="59"/>
      </w:r>
    </w:p>
    <w:p w14:paraId="24C94C7D" w14:textId="0BD68B61" w:rsidR="00B00E00" w:rsidRPr="003E42D5" w:rsidRDefault="00FD7666" w:rsidP="003E42D5">
      <w:pPr>
        <w:spacing w:after="12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5F261816" wp14:editId="1E0C3A0E">
            <wp:extent cx="5276850" cy="2791144"/>
            <wp:effectExtent l="0" t="0" r="0" b="9525"/>
            <wp:docPr id="785031529"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31529" name="Picture 2" descr="A graph of different colored lines&#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15537" cy="2811607"/>
                    </a:xfrm>
                    <a:prstGeom prst="rect">
                      <a:avLst/>
                    </a:prstGeom>
                    <a:noFill/>
                  </pic:spPr>
                </pic:pic>
              </a:graphicData>
            </a:graphic>
          </wp:inline>
        </w:drawing>
      </w:r>
    </w:p>
    <w:p w14:paraId="09AE3B9B" w14:textId="63E1CED5" w:rsidR="00FD7666" w:rsidRPr="00307028" w:rsidRDefault="00FD7666" w:rsidP="00CE4F77">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lastRenderedPageBreak/>
        <w:t>3.1.2</w:t>
      </w:r>
      <w:r w:rsidR="003E42D5">
        <w:rPr>
          <w:rFonts w:eastAsiaTheme="minorHAnsi" w:cstheme="minorBidi"/>
          <w:b/>
          <w:bCs/>
          <w:i/>
          <w:iCs/>
          <w:kern w:val="2"/>
          <w:sz w:val="22"/>
          <w:szCs w:val="20"/>
          <w:lang w:eastAsia="en-US"/>
          <w14:ligatures w14:val="standardContextual"/>
        </w:rPr>
        <w:t>2</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gadījumu skaita pieauguma tempi Top 10 manipulāciju grupām (2016. – 2022. gadā sadalījumā pa ceturkšņiem)</w:t>
      </w:r>
      <w:r w:rsidRPr="00307028">
        <w:rPr>
          <w:rFonts w:eastAsiaTheme="minorHAnsi" w:cstheme="minorBidi"/>
          <w:b/>
          <w:bCs/>
          <w:kern w:val="2"/>
          <w:sz w:val="22"/>
          <w:szCs w:val="20"/>
          <w:vertAlign w:val="superscript"/>
          <w:lang w:eastAsia="en-US"/>
          <w14:ligatures w14:val="standardContextual"/>
        </w:rPr>
        <w:footnoteReference w:id="60"/>
      </w:r>
    </w:p>
    <w:p w14:paraId="7C315A4F" w14:textId="77777777" w:rsidR="00FD7666" w:rsidRPr="00307028" w:rsidRDefault="00FD7666" w:rsidP="00FD7666">
      <w:pPr>
        <w:spacing w:after="120"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noProof/>
          <w:kern w:val="2"/>
          <w:sz w:val="22"/>
          <w:szCs w:val="20"/>
          <w:lang w:eastAsia="en-US"/>
          <w14:ligatures w14:val="standardContextual"/>
        </w:rPr>
        <w:drawing>
          <wp:inline distT="0" distB="0" distL="0" distR="0" wp14:anchorId="17254CA2" wp14:editId="0CF9A192">
            <wp:extent cx="5728851" cy="2981325"/>
            <wp:effectExtent l="0" t="0" r="5715" b="0"/>
            <wp:docPr id="819617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5061" cy="2984556"/>
                    </a:xfrm>
                    <a:prstGeom prst="rect">
                      <a:avLst/>
                    </a:prstGeom>
                    <a:noFill/>
                  </pic:spPr>
                </pic:pic>
              </a:graphicData>
            </a:graphic>
          </wp:inline>
        </w:drawing>
      </w:r>
    </w:p>
    <w:p w14:paraId="0C6280F6" w14:textId="752DCB89"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Attēlā Nr. 3.1.2</w:t>
      </w:r>
      <w:r w:rsidR="003E42D5">
        <w:rPr>
          <w:rFonts w:eastAsiaTheme="minorHAnsi" w:cstheme="minorBidi"/>
          <w:kern w:val="2"/>
          <w:szCs w:val="22"/>
          <w:lang w:eastAsia="en-US"/>
          <w14:ligatures w14:val="standardContextual"/>
        </w:rPr>
        <w:t>2</w:t>
      </w:r>
      <w:r w:rsidRPr="00307028">
        <w:rPr>
          <w:rFonts w:eastAsiaTheme="minorHAnsi" w:cstheme="minorBidi"/>
          <w:kern w:val="2"/>
          <w:szCs w:val="22"/>
          <w:lang w:eastAsia="en-US"/>
          <w14:ligatures w14:val="standardContextual"/>
        </w:rPr>
        <w:t>. vērojama laboratorisko izmeklējumu sezonalitāte, kā arī Covid-19 izraisīts strukturāls lūzums no 2020. gada martam līdz 2021. gada pavasarim. Covid-19 radīto ierobežojumu izraisītais sniegto laboratorisko izmeklējumu lūzuma tendences katrai izmeklējumu grupai tiks apskatītas sadaļas turpinājumā esošajos grafikos.</w:t>
      </w:r>
    </w:p>
    <w:p w14:paraId="39FA2560" w14:textId="41E941DE"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Visās desmit aplūkotajās laboratorisko izmeklējumu grupās pēdējo septiņu gadu laikā ir vērojama izmeklējumu gadījumu skaita pieaugoša tendence. Sešām no desmit manipulāciju grupām pakalpojumu apjomi atguvuši tendences, kas bija vērojamas pirms Covid-19 pandēmijas sākuma (Attēls Nr. 3.1.2</w:t>
      </w:r>
      <w:r w:rsidR="003E42D5">
        <w:rPr>
          <w:rFonts w:eastAsiaTheme="minorHAnsi" w:cstheme="minorBidi"/>
          <w:kern w:val="2"/>
          <w:szCs w:val="22"/>
          <w:lang w:eastAsia="en-US"/>
          <w14:ligatures w14:val="standardContextual"/>
        </w:rPr>
        <w:t>3</w:t>
      </w:r>
      <w:r w:rsidRPr="00307028">
        <w:rPr>
          <w:rFonts w:eastAsiaTheme="minorHAnsi" w:cstheme="minorBidi"/>
          <w:kern w:val="2"/>
          <w:szCs w:val="22"/>
          <w:lang w:eastAsia="en-US"/>
          <w14:ligatures w14:val="standardContextual"/>
        </w:rPr>
        <w:t>. – Attēls Nr. 3.1.</w:t>
      </w:r>
      <w:r w:rsidR="003E42D5">
        <w:rPr>
          <w:rFonts w:eastAsiaTheme="minorHAnsi" w:cstheme="minorBidi"/>
          <w:kern w:val="2"/>
          <w:szCs w:val="22"/>
          <w:lang w:eastAsia="en-US"/>
          <w14:ligatures w14:val="standardContextual"/>
        </w:rPr>
        <w:t>28</w:t>
      </w:r>
      <w:r w:rsidRPr="00307028">
        <w:rPr>
          <w:rFonts w:eastAsiaTheme="minorHAnsi" w:cstheme="minorBidi"/>
          <w:kern w:val="2"/>
          <w:szCs w:val="22"/>
          <w:lang w:eastAsia="en-US"/>
          <w14:ligatures w14:val="standardContextual"/>
        </w:rPr>
        <w:t>.).</w:t>
      </w:r>
    </w:p>
    <w:p w14:paraId="4C789CB4" w14:textId="5F09B9BE" w:rsidR="00FD7666" w:rsidRPr="00307028" w:rsidRDefault="00FD7666" w:rsidP="00CE4F77">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3.1.2</w:t>
      </w:r>
      <w:r w:rsidR="003E42D5">
        <w:rPr>
          <w:rFonts w:eastAsiaTheme="minorHAnsi" w:cstheme="minorBidi"/>
          <w:b/>
          <w:bCs/>
          <w:i/>
          <w:iCs/>
          <w:kern w:val="2"/>
          <w:sz w:val="22"/>
          <w:szCs w:val="20"/>
          <w:lang w:eastAsia="en-US"/>
          <w14:ligatures w14:val="standardContextual"/>
        </w:rPr>
        <w:t>3</w:t>
      </w:r>
      <w:r w:rsidRPr="00307028">
        <w:rPr>
          <w:rFonts w:eastAsiaTheme="minorHAnsi" w:cstheme="minorBidi"/>
          <w:b/>
          <w:bCs/>
          <w:i/>
          <w:iCs/>
          <w:kern w:val="2"/>
          <w:sz w:val="22"/>
          <w:szCs w:val="20"/>
          <w:lang w:eastAsia="en-US"/>
          <w14:ligatures w14:val="standardContextual"/>
        </w:rPr>
        <w:t>. – 3.1.</w:t>
      </w:r>
      <w:r w:rsidR="003E42D5">
        <w:rPr>
          <w:rFonts w:eastAsiaTheme="minorHAnsi" w:cstheme="minorBidi"/>
          <w:b/>
          <w:bCs/>
          <w:i/>
          <w:iCs/>
          <w:kern w:val="2"/>
          <w:sz w:val="22"/>
          <w:szCs w:val="20"/>
          <w:lang w:eastAsia="en-US"/>
          <w14:ligatures w14:val="standardContextual"/>
        </w:rPr>
        <w:t>28</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grupas, kurās izmeklējumu skaita tendences atgriezušās pirms Covid-19 pandēmijas laika līmenī (laboratorisko izmeklējumu gadījumu skaits, 12 mēnešu slīdošais vidējais)</w:t>
      </w:r>
      <w:r w:rsidRPr="00307028">
        <w:rPr>
          <w:rFonts w:eastAsiaTheme="minorHAnsi" w:cstheme="minorBidi"/>
          <w:b/>
          <w:bCs/>
          <w:kern w:val="2"/>
          <w:sz w:val="22"/>
          <w:szCs w:val="20"/>
          <w:vertAlign w:val="superscript"/>
          <w:lang w:eastAsia="en-US"/>
          <w14:ligatures w14:val="standardContextual"/>
        </w:rPr>
        <w:footnoteReference w:id="61"/>
      </w:r>
    </w:p>
    <w:p w14:paraId="4A209482" w14:textId="77777777" w:rsidR="00FD7666" w:rsidRPr="00307028" w:rsidRDefault="00FD7666" w:rsidP="00FD7666">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5FB812C9" wp14:editId="33B5A46D">
            <wp:extent cx="5821343" cy="1985959"/>
            <wp:effectExtent l="0" t="0" r="8255" b="0"/>
            <wp:docPr id="477482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92815" cy="2010342"/>
                    </a:xfrm>
                    <a:prstGeom prst="rect">
                      <a:avLst/>
                    </a:prstGeom>
                    <a:noFill/>
                  </pic:spPr>
                </pic:pic>
              </a:graphicData>
            </a:graphic>
          </wp:inline>
        </w:drawing>
      </w:r>
    </w:p>
    <w:p w14:paraId="5EEE2760" w14:textId="77777777" w:rsidR="00FD7666" w:rsidRPr="00307028" w:rsidRDefault="00FD7666" w:rsidP="00FD7666">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lastRenderedPageBreak/>
        <w:drawing>
          <wp:inline distT="0" distB="0" distL="0" distR="0" wp14:anchorId="5A71C9A8" wp14:editId="5A5206A0">
            <wp:extent cx="5543550" cy="1888462"/>
            <wp:effectExtent l="0" t="0" r="0" b="0"/>
            <wp:docPr id="8746904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92955" cy="1905292"/>
                    </a:xfrm>
                    <a:prstGeom prst="rect">
                      <a:avLst/>
                    </a:prstGeom>
                    <a:noFill/>
                  </pic:spPr>
                </pic:pic>
              </a:graphicData>
            </a:graphic>
          </wp:inline>
        </w:drawing>
      </w:r>
    </w:p>
    <w:p w14:paraId="71697A25" w14:textId="77777777" w:rsidR="00FD7666" w:rsidRPr="00307028" w:rsidRDefault="00FD7666" w:rsidP="00FD7666">
      <w:pPr>
        <w:spacing w:after="12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17D504BD" wp14:editId="62238D9E">
            <wp:extent cx="5514975" cy="1885796"/>
            <wp:effectExtent l="0" t="0" r="0" b="635"/>
            <wp:docPr id="1492220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60609" cy="1901400"/>
                    </a:xfrm>
                    <a:prstGeom prst="rect">
                      <a:avLst/>
                    </a:prstGeom>
                    <a:noFill/>
                  </pic:spPr>
                </pic:pic>
              </a:graphicData>
            </a:graphic>
          </wp:inline>
        </w:drawing>
      </w:r>
    </w:p>
    <w:p w14:paraId="767FC956" w14:textId="1898D0A0" w:rsidR="00FD7666" w:rsidRPr="00307028" w:rsidRDefault="00FD7666" w:rsidP="00FD7666">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Trijām manipulāciju grupām pēc Covid-19 pandēmijas perioda ierobežojumiem sniegto laboratorisko pakalpojumu apjomos bija vērojams tendences atlēciens 6 – 8% robežās salīdzinājumā ar pieprasījumu pirms 2020. gada marta (Attēls Nr. 3.1.</w:t>
      </w:r>
      <w:r w:rsidR="003E42D5">
        <w:rPr>
          <w:rFonts w:eastAsiaTheme="minorHAnsi" w:cstheme="minorBidi"/>
          <w:kern w:val="2"/>
          <w:szCs w:val="22"/>
          <w:lang w:eastAsia="en-US"/>
          <w14:ligatures w14:val="standardContextual"/>
        </w:rPr>
        <w:t>29</w:t>
      </w:r>
      <w:r w:rsidRPr="00307028">
        <w:rPr>
          <w:rFonts w:eastAsiaTheme="minorHAnsi" w:cstheme="minorBidi"/>
          <w:kern w:val="2"/>
          <w:szCs w:val="22"/>
          <w:lang w:eastAsia="en-US"/>
          <w14:ligatures w14:val="standardContextual"/>
        </w:rPr>
        <w:t>. – Attēls Nr. 3.1.3</w:t>
      </w:r>
      <w:r w:rsidR="003E42D5">
        <w:rPr>
          <w:rFonts w:eastAsiaTheme="minorHAnsi" w:cstheme="minorBidi"/>
          <w:kern w:val="2"/>
          <w:szCs w:val="22"/>
          <w:lang w:eastAsia="en-US"/>
          <w14:ligatures w14:val="standardContextual"/>
        </w:rPr>
        <w:t>1</w:t>
      </w:r>
      <w:r w:rsidRPr="00307028">
        <w:rPr>
          <w:rFonts w:eastAsiaTheme="minorHAnsi" w:cstheme="minorBidi"/>
          <w:kern w:val="2"/>
          <w:szCs w:val="22"/>
          <w:lang w:eastAsia="en-US"/>
          <w14:ligatures w14:val="standardContextual"/>
        </w:rPr>
        <w:t>.).</w:t>
      </w:r>
    </w:p>
    <w:p w14:paraId="1F5BD7AA" w14:textId="1B899D01" w:rsidR="00FD7666" w:rsidRPr="00307028" w:rsidRDefault="00FD7666" w:rsidP="00CE4F77">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w:t>
      </w:r>
      <w:r w:rsidR="003E42D5">
        <w:rPr>
          <w:rFonts w:eastAsiaTheme="minorHAnsi" w:cstheme="minorBidi"/>
          <w:b/>
          <w:bCs/>
          <w:i/>
          <w:iCs/>
          <w:kern w:val="2"/>
          <w:sz w:val="22"/>
          <w:szCs w:val="20"/>
          <w:lang w:eastAsia="en-US"/>
          <w14:ligatures w14:val="standardContextual"/>
        </w:rPr>
        <w:t>29</w:t>
      </w:r>
      <w:r w:rsidRPr="00307028">
        <w:rPr>
          <w:rFonts w:eastAsiaTheme="minorHAnsi" w:cstheme="minorBidi"/>
          <w:b/>
          <w:bCs/>
          <w:i/>
          <w:iCs/>
          <w:kern w:val="2"/>
          <w:sz w:val="22"/>
          <w:szCs w:val="20"/>
          <w:lang w:eastAsia="en-US"/>
          <w14:ligatures w14:val="standardContextual"/>
        </w:rPr>
        <w:t>. – 3.1.3</w:t>
      </w:r>
      <w:r w:rsidR="003E42D5">
        <w:rPr>
          <w:rFonts w:eastAsiaTheme="minorHAnsi" w:cstheme="minorBidi"/>
          <w:b/>
          <w:bCs/>
          <w:i/>
          <w:iCs/>
          <w:kern w:val="2"/>
          <w:sz w:val="22"/>
          <w:szCs w:val="20"/>
          <w:lang w:eastAsia="en-US"/>
          <w14:ligatures w14:val="standardContextual"/>
        </w:rPr>
        <w:t>1</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grupas, kurās izmeklējumu skaits pēc Covid-19 pandēmijas ir samazinājies (laboratorisko izmeklējumu gadījumu skaits, 12 mēnešu slīdošais vidējais)</w:t>
      </w:r>
      <w:r w:rsidRPr="00307028">
        <w:rPr>
          <w:rFonts w:eastAsiaTheme="minorHAnsi" w:cstheme="minorBidi"/>
          <w:b/>
          <w:bCs/>
          <w:kern w:val="2"/>
          <w:sz w:val="22"/>
          <w:szCs w:val="20"/>
          <w:vertAlign w:val="superscript"/>
          <w:lang w:eastAsia="en-US"/>
          <w14:ligatures w14:val="standardContextual"/>
        </w:rPr>
        <w:footnoteReference w:id="62"/>
      </w:r>
    </w:p>
    <w:p w14:paraId="216D4C22" w14:textId="77777777" w:rsidR="00FD7666" w:rsidRPr="00307028" w:rsidRDefault="00FD7666" w:rsidP="00FD7666">
      <w:pPr>
        <w:spacing w:after="12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08FCC0C4" wp14:editId="637BD4ED">
            <wp:extent cx="4857750" cy="3347945"/>
            <wp:effectExtent l="0" t="0" r="0" b="5080"/>
            <wp:docPr id="3727413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80514" cy="3363634"/>
                    </a:xfrm>
                    <a:prstGeom prst="rect">
                      <a:avLst/>
                    </a:prstGeom>
                    <a:noFill/>
                  </pic:spPr>
                </pic:pic>
              </a:graphicData>
            </a:graphic>
          </wp:inline>
        </w:drawing>
      </w:r>
    </w:p>
    <w:p w14:paraId="790E70BE" w14:textId="360B155A" w:rsidR="00FD7666" w:rsidRPr="00307028" w:rsidRDefault="00FD7666" w:rsidP="00FD7666">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lastRenderedPageBreak/>
        <w:t>Savukārt vienai laboratorisko izmeklējumu grupai, proti, koaguloģijai, novērojams straujš izmeklējumu gadījumu skaita pieaugums sākot ar 2021. gada otro pusi un tikai 2022. gada beigās vērojams neliels veikto manipulāciju skaita kritums (Attēls Nr. 3.1.3</w:t>
      </w:r>
      <w:r w:rsidR="003E42D5">
        <w:rPr>
          <w:rFonts w:eastAsiaTheme="minorHAnsi" w:cstheme="minorBidi"/>
          <w:kern w:val="2"/>
          <w:szCs w:val="22"/>
          <w:lang w:eastAsia="en-US"/>
          <w14:ligatures w14:val="standardContextual"/>
        </w:rPr>
        <w:t>2</w:t>
      </w:r>
      <w:r w:rsidRPr="00307028">
        <w:rPr>
          <w:rFonts w:eastAsiaTheme="minorHAnsi" w:cstheme="minorBidi"/>
          <w:kern w:val="2"/>
          <w:szCs w:val="22"/>
          <w:lang w:eastAsia="en-US"/>
          <w14:ligatures w14:val="standardContextual"/>
        </w:rPr>
        <w:t>.).</w:t>
      </w:r>
    </w:p>
    <w:p w14:paraId="3A08124C" w14:textId="215B1A98" w:rsidR="00FD7666" w:rsidRPr="00307028" w:rsidRDefault="00FD7666" w:rsidP="00CE4F77">
      <w:pPr>
        <w:spacing w:line="259" w:lineRule="auto"/>
        <w:jc w:val="center"/>
        <w:rPr>
          <w:rFonts w:eastAsiaTheme="minorHAnsi" w:cstheme="minorBidi"/>
          <w:b/>
          <w:bCs/>
          <w:kern w:val="2"/>
          <w:sz w:val="22"/>
          <w:szCs w:val="20"/>
          <w:lang w:eastAsia="en-US"/>
          <w14:ligatures w14:val="standardContextual"/>
        </w:rPr>
      </w:pPr>
      <w:r w:rsidRPr="00307028">
        <w:rPr>
          <w:rFonts w:eastAsiaTheme="minorHAnsi" w:cstheme="minorBidi"/>
          <w:b/>
          <w:bCs/>
          <w:i/>
          <w:iCs/>
          <w:kern w:val="2"/>
          <w:sz w:val="22"/>
          <w:szCs w:val="20"/>
          <w:lang w:eastAsia="en-US"/>
          <w14:ligatures w14:val="standardContextual"/>
        </w:rPr>
        <w:t>3.1.3</w:t>
      </w:r>
      <w:r w:rsidR="003E42D5">
        <w:rPr>
          <w:rFonts w:eastAsiaTheme="minorHAnsi" w:cstheme="minorBidi"/>
          <w:b/>
          <w:bCs/>
          <w:i/>
          <w:iCs/>
          <w:kern w:val="2"/>
          <w:sz w:val="22"/>
          <w:szCs w:val="20"/>
          <w:lang w:eastAsia="en-US"/>
          <w14:ligatures w14:val="standardContextual"/>
        </w:rPr>
        <w:t>2</w:t>
      </w:r>
      <w:r w:rsidRPr="00307028">
        <w:rPr>
          <w:rFonts w:eastAsiaTheme="minorHAnsi" w:cstheme="minorBidi"/>
          <w:b/>
          <w:bCs/>
          <w:i/>
          <w:iCs/>
          <w:kern w:val="2"/>
          <w:sz w:val="22"/>
          <w:szCs w:val="20"/>
          <w:lang w:eastAsia="en-US"/>
          <w14:ligatures w14:val="standardContextual"/>
        </w:rPr>
        <w:t>. attēls</w:t>
      </w:r>
      <w:r w:rsidRPr="00307028">
        <w:rPr>
          <w:rFonts w:eastAsiaTheme="minorHAnsi" w:cstheme="minorBidi"/>
          <w:b/>
          <w:bCs/>
          <w:kern w:val="2"/>
          <w:sz w:val="22"/>
          <w:szCs w:val="20"/>
          <w:lang w:eastAsia="en-US"/>
          <w14:ligatures w14:val="standardContextual"/>
        </w:rPr>
        <w:t xml:space="preserve"> Laboratorisko izmeklējumu grupa, kurā izmeklējumu skaits pēc Covid-19 pandēmijas mainījis tendenci (laboratorisko izmeklējumu gadījumu skaits, 12 mēnešu slīdošais vidējais)</w:t>
      </w:r>
      <w:r w:rsidRPr="00307028">
        <w:rPr>
          <w:rFonts w:eastAsiaTheme="minorHAnsi" w:cstheme="minorBidi"/>
          <w:b/>
          <w:bCs/>
          <w:kern w:val="2"/>
          <w:sz w:val="22"/>
          <w:szCs w:val="20"/>
          <w:vertAlign w:val="superscript"/>
          <w:lang w:eastAsia="en-US"/>
          <w14:ligatures w14:val="standardContextual"/>
        </w:rPr>
        <w:footnoteReference w:id="63"/>
      </w:r>
    </w:p>
    <w:p w14:paraId="62B2CF64" w14:textId="77777777" w:rsidR="00FD7666" w:rsidRPr="00307028" w:rsidRDefault="00FD7666" w:rsidP="00FD7666">
      <w:pPr>
        <w:spacing w:after="12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20A46B01" wp14:editId="5EA9D636">
            <wp:extent cx="2971800" cy="2032322"/>
            <wp:effectExtent l="0" t="0" r="0" b="6350"/>
            <wp:docPr id="4550257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79583" cy="2037645"/>
                    </a:xfrm>
                    <a:prstGeom prst="rect">
                      <a:avLst/>
                    </a:prstGeom>
                    <a:noFill/>
                  </pic:spPr>
                </pic:pic>
              </a:graphicData>
            </a:graphic>
          </wp:inline>
        </w:drawing>
      </w:r>
    </w:p>
    <w:p w14:paraId="00CB0ABF" w14:textId="77777777" w:rsidR="00FD7666" w:rsidRPr="00307028" w:rsidRDefault="00FD7666" w:rsidP="00FD7666">
      <w:pPr>
        <w:spacing w:after="120" w:line="259" w:lineRule="auto"/>
        <w:ind w:firstLine="720"/>
        <w:jc w:val="both"/>
        <w:rPr>
          <w:rFonts w:eastAsiaTheme="minorHAnsi" w:cstheme="minorBidi"/>
          <w:b/>
          <w:bCs/>
          <w:i/>
          <w:iCs/>
          <w:kern w:val="2"/>
          <w:lang w:eastAsia="en-US"/>
          <w14:ligatures w14:val="standardContextual"/>
        </w:rPr>
      </w:pPr>
      <w:r w:rsidRPr="00307028">
        <w:rPr>
          <w:rFonts w:eastAsiaTheme="minorHAnsi" w:cstheme="minorBidi"/>
          <w:b/>
          <w:bCs/>
          <w:i/>
          <w:iCs/>
          <w:kern w:val="2"/>
          <w:lang w:eastAsia="en-US"/>
          <w14:ligatures w14:val="standardContextual"/>
        </w:rPr>
        <w:t>Veselības nozares rezultatīvo rādītāju izvērtējums</w:t>
      </w:r>
    </w:p>
    <w:p w14:paraId="0867E595" w14:textId="77777777" w:rsidR="00FD7666" w:rsidRPr="00307028" w:rsidRDefault="00FD7666" w:rsidP="00B00E00">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Budžeta programmas/apakšprogrammas mērķu sasniegšanu var vērtēt pēc rezultatīvo rādītāju izpildes datiem. Izdevumu pārskatīšanas ietvaros tika caurskatīti VM DRR, konstatējot daudzus rādītājus, kuri būtu uzlabojami, proti, uzlabojama šo rādītāju plānošana.</w:t>
      </w:r>
    </w:p>
    <w:p w14:paraId="14DF2E58" w14:textId="17C5AD76" w:rsidR="00FD7666" w:rsidRPr="00307028" w:rsidRDefault="00FD7666" w:rsidP="00B00E00">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Budžeta apakšprogrammā 02.04.00 “Rezidentu apmācība” regulāri vērojama tendence, kad VM plānotais rezidentūrā uzņemto skaits ir mazāks nekā plānotais rezidentūru pabeigušo ārstu skaits, proti, VM konstanti plāno, ka rezidentūru beigs vairāk speciālisti nekā tajā tiks uzņemti. Vienlaikus redzams, ka faktiskā izpilde rezidentūrā uzņemto ārstu skaitam regulāri pārsniedz plānu un tādā veidā vairāk korelē ar plānoto rezidentūras beidzēju skaitu. Šim DRR savukārt vērojama regulāra neizpilde. Līdz ar to VM jāveic labāka DRR plānošana šajā budžeta apakšprogrammā, lai to plāni un izpildes būtu savstarpēji labāk salīdzināmi. Ja šiem rādītājiem pievieno budžeta apakšprogrammas izdevumu aspektu, tad izvērtējams kļūst jautājums par finansējuma izlietojumu, jo, kamēr rezidentu skaits, kas saņem valsts budžeta finansējumu 2022. gadā pieaudzis vien par 60 rezidentiem, budžeta apakšprogrammas plānotie izdevumi sešu gadu laikā palielinājušies četrkārtīgi (no 9,7 milj. </w:t>
      </w:r>
      <w:r w:rsidRPr="00307028">
        <w:rPr>
          <w:rFonts w:eastAsiaTheme="minorHAnsi" w:cstheme="minorBidi"/>
          <w:i/>
          <w:iCs/>
          <w:kern w:val="2"/>
          <w:lang w:eastAsia="en-US"/>
          <w14:ligatures w14:val="standardContextual"/>
        </w:rPr>
        <w:t xml:space="preserve">euro </w:t>
      </w:r>
      <w:r w:rsidRPr="00307028">
        <w:rPr>
          <w:rFonts w:eastAsiaTheme="minorHAnsi" w:cstheme="minorBidi"/>
          <w:kern w:val="2"/>
          <w:lang w:eastAsia="en-US"/>
          <w14:ligatures w14:val="standardContextual"/>
        </w:rPr>
        <w:t>2018. gadā līdz 37,9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2023. gadā) (Attēls Nr. 3.1.3</w:t>
      </w:r>
      <w:r w:rsidR="003E42D5">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w:t>
      </w:r>
    </w:p>
    <w:p w14:paraId="5101A133"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4691FEB3"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69E50107"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116547E1"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75835083"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49B4A042"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3174E8C2"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6D1219B7"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p>
    <w:p w14:paraId="6214E692" w14:textId="77777777" w:rsidR="00060267" w:rsidRPr="00307028" w:rsidRDefault="00060267" w:rsidP="00CE4F77">
      <w:pPr>
        <w:spacing w:line="259" w:lineRule="auto"/>
        <w:jc w:val="center"/>
        <w:rPr>
          <w:rFonts w:eastAsiaTheme="minorHAnsi" w:cstheme="minorBidi"/>
          <w:b/>
          <w:bCs/>
          <w:i/>
          <w:iCs/>
          <w:kern w:val="2"/>
          <w:sz w:val="22"/>
          <w:szCs w:val="22"/>
          <w:lang w:eastAsia="en-US"/>
          <w14:ligatures w14:val="standardContextual"/>
        </w:rPr>
      </w:pPr>
    </w:p>
    <w:p w14:paraId="6A716702" w14:textId="0DED7E55" w:rsidR="00FD7666" w:rsidRPr="00307028" w:rsidRDefault="00FD7666" w:rsidP="00CE4F77">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w:t>
      </w:r>
      <w:r w:rsidR="003E42D5">
        <w:rPr>
          <w:rFonts w:eastAsiaTheme="minorHAnsi" w:cstheme="minorBidi"/>
          <w:b/>
          <w:bCs/>
          <w:i/>
          <w:iCs/>
          <w:kern w:val="2"/>
          <w:sz w:val="22"/>
          <w:szCs w:val="22"/>
          <w:lang w:eastAsia="en-US"/>
          <w14:ligatures w14:val="standardContextual"/>
        </w:rPr>
        <w:t>33</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Budžeta apakšprogrammas 02.04.00 “Rezidentu apmācība” DRR un finansējums</w:t>
      </w:r>
    </w:p>
    <w:p w14:paraId="1B89965D" w14:textId="77777777" w:rsidR="00FD7666" w:rsidRPr="00307028" w:rsidRDefault="00FD7666" w:rsidP="00FD7666">
      <w:pPr>
        <w:spacing w:after="120" w:line="259" w:lineRule="auto"/>
        <w:jc w:val="both"/>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348BAF15" wp14:editId="4D6FD585">
            <wp:extent cx="5807323" cy="3787140"/>
            <wp:effectExtent l="0" t="0" r="3175" b="3810"/>
            <wp:docPr id="163501565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15656" name="Picture 1" descr="A graph of different colored lines&#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31592" cy="3802967"/>
                    </a:xfrm>
                    <a:prstGeom prst="rect">
                      <a:avLst/>
                    </a:prstGeom>
                    <a:noFill/>
                  </pic:spPr>
                </pic:pic>
              </a:graphicData>
            </a:graphic>
          </wp:inline>
        </w:drawing>
      </w:r>
    </w:p>
    <w:p w14:paraId="085A3113" w14:textId="0230EA54"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Budžeta apakšprogrammā 33.14.00 “Primārās ambulatorās veselības aprūpes nodrošināšana” vēršama uzmanība uz DRR “Ģimenes ārstu prakses, kurām piesaistīta otra māsa, līgumattiecībās ar NVD uz gada beigām”, kur VM ik gadu nosaka zemāku plāna vērtību nekā ir faktiskā izpilde attiecīgā gada beigās. Jāpiezīmē, ka attiecībā uz šo rādītāju VM ikgadēji palielina plāna vērtību, taču tajā pašā laikā izpildes dati liecina, ka plānotā vērtība nav uzskatāma par mērķi, uz ko virzīties, bet gan tāda vērtība, ko garantēti būs iespējams izpildīt (Attēls Nr. 3.1.3</w:t>
      </w:r>
      <w:r w:rsidR="003E42D5">
        <w:rPr>
          <w:rFonts w:eastAsiaTheme="minorHAnsi" w:cstheme="minorBidi"/>
          <w:kern w:val="2"/>
          <w:lang w:eastAsia="en-US"/>
          <w14:ligatures w14:val="standardContextual"/>
        </w:rPr>
        <w:t>4</w:t>
      </w:r>
      <w:r w:rsidRPr="00307028">
        <w:rPr>
          <w:rFonts w:eastAsiaTheme="minorHAnsi" w:cstheme="minorBidi"/>
          <w:kern w:val="2"/>
          <w:lang w:eastAsia="en-US"/>
          <w14:ligatures w14:val="standardContextual"/>
        </w:rPr>
        <w:t>.). Saskaņā ar VM sniegto informāciju uz 2023. gada 1. ceturkšņa beigām šī DRR izpilde būtu 854, proti, atkal lielāka par plānoto vērtību.</w:t>
      </w:r>
    </w:p>
    <w:p w14:paraId="07195DBA" w14:textId="1F6DA06F" w:rsidR="00FD7666" w:rsidRPr="00307028" w:rsidRDefault="00FD7666" w:rsidP="00CE4F77">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3.1.3</w:t>
      </w:r>
      <w:r w:rsidR="003E42D5">
        <w:rPr>
          <w:rFonts w:eastAsiaTheme="minorHAnsi" w:cstheme="minorBidi"/>
          <w:b/>
          <w:bCs/>
          <w:i/>
          <w:iCs/>
          <w:kern w:val="2"/>
          <w:sz w:val="22"/>
          <w:szCs w:val="22"/>
          <w:lang w:eastAsia="en-US"/>
          <w14:ligatures w14:val="standardContextual"/>
        </w:rPr>
        <w:t>4</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“Ģimenes ārstu prakses, kurām piesaistīta otra māsa, līgumattiecībās ar NVD uz gada beigām” plāna un izpildes dinamika (skaits)</w:t>
      </w:r>
    </w:p>
    <w:p w14:paraId="732D6868" w14:textId="77777777" w:rsidR="00FD7666" w:rsidRPr="00307028" w:rsidRDefault="00FD7666" w:rsidP="00FD7666">
      <w:pPr>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41F59F49" wp14:editId="06EC7FE0">
            <wp:extent cx="5492750" cy="2524125"/>
            <wp:effectExtent l="0" t="0" r="0" b="9525"/>
            <wp:docPr id="1670189188" name="Picture 2"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89188" name="Picture 2" descr="A graph with numbers and a line&#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92750" cy="2524125"/>
                    </a:xfrm>
                    <a:prstGeom prst="rect">
                      <a:avLst/>
                    </a:prstGeom>
                    <a:noFill/>
                  </pic:spPr>
                </pic:pic>
              </a:graphicData>
            </a:graphic>
          </wp:inline>
        </w:drawing>
      </w:r>
    </w:p>
    <w:p w14:paraId="300B54B2" w14:textId="4C8CE0AB" w:rsidR="00FD7666" w:rsidRPr="00307028" w:rsidRDefault="00FD7666" w:rsidP="00FD7666">
      <w:pPr>
        <w:tabs>
          <w:tab w:val="left" w:pos="2342"/>
        </w:tabs>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Budžeta apakšprogrammā 33.15.00 “Laboratorisko izmeklējumu nodrošināšana ambulatorajā aprūpē” uzmanība pievēršama DRR “Laboratoriskie izmeklējumi”. Vien </w:t>
      </w:r>
      <w:r w:rsidRPr="00307028">
        <w:rPr>
          <w:rFonts w:eastAsiaTheme="minorHAnsi" w:cstheme="minorBidi"/>
          <w:kern w:val="2"/>
          <w:lang w:eastAsia="en-US"/>
          <w14:ligatures w14:val="standardContextual"/>
        </w:rPr>
        <w:lastRenderedPageBreak/>
        <w:t>2019. gadā attiecīgajam DRR plāna un izpildes vērtības bija teju vienādas, 2020. gadā provizoriski sakarā ar Covid-19 pandēmijas sākumu izpilde bija mazāka par plānu, bet divos turpmākajos gados izpilde strauji pieaug, kamēr plānotā vērtība ir saglabāta 2020. gada līmenī (Attēls Nr.3.1.3</w:t>
      </w:r>
      <w:r w:rsidR="003E42D5">
        <w:rPr>
          <w:rFonts w:eastAsiaTheme="minorHAnsi" w:cstheme="minorBidi"/>
          <w:kern w:val="2"/>
          <w:lang w:eastAsia="en-US"/>
          <w14:ligatures w14:val="standardContextual"/>
        </w:rPr>
        <w:t>5</w:t>
      </w:r>
      <w:r w:rsidRPr="00307028">
        <w:rPr>
          <w:rFonts w:eastAsiaTheme="minorHAnsi" w:cstheme="minorBidi"/>
          <w:kern w:val="2"/>
          <w:lang w:eastAsia="en-US"/>
          <w14:ligatures w14:val="standardContextual"/>
        </w:rPr>
        <w:t>.). Ņemot vērā 2023. gada 1. ceturkšņa izpildi, paredzamais laboratorisko izmeklējumu skaits šajā gadā būs 18,8 miljoni pretstatā plānotajiem 14,9 miljoniem.</w:t>
      </w:r>
    </w:p>
    <w:p w14:paraId="3DBCEE55" w14:textId="6BC41107" w:rsidR="00FD7666" w:rsidRPr="00307028" w:rsidRDefault="00FD7666" w:rsidP="00CE4F77">
      <w:pPr>
        <w:tabs>
          <w:tab w:val="left" w:pos="2342"/>
        </w:tabs>
        <w:spacing w:line="259" w:lineRule="auto"/>
        <w:jc w:val="center"/>
        <w:rPr>
          <w:rFonts w:eastAsiaTheme="minorHAnsi" w:cstheme="minorBidi"/>
          <w:kern w:val="2"/>
          <w:lang w:eastAsia="en-US"/>
          <w14:ligatures w14:val="standardContextual"/>
        </w:rPr>
      </w:pPr>
      <w:r w:rsidRPr="00307028">
        <w:rPr>
          <w:rFonts w:eastAsiaTheme="minorHAnsi" w:cstheme="minorBidi"/>
          <w:b/>
          <w:bCs/>
          <w:i/>
          <w:iCs/>
          <w:kern w:val="2"/>
          <w:sz w:val="22"/>
          <w:szCs w:val="22"/>
          <w:lang w:eastAsia="en-US"/>
          <w14:ligatures w14:val="standardContextual"/>
        </w:rPr>
        <w:t>3.1.</w:t>
      </w:r>
      <w:r w:rsidR="001717A1" w:rsidRPr="00307028">
        <w:rPr>
          <w:rFonts w:eastAsiaTheme="minorHAnsi" w:cstheme="minorBidi"/>
          <w:b/>
          <w:bCs/>
          <w:i/>
          <w:iCs/>
          <w:kern w:val="2"/>
          <w:sz w:val="22"/>
          <w:szCs w:val="22"/>
          <w:lang w:eastAsia="en-US"/>
          <w14:ligatures w14:val="standardContextual"/>
        </w:rPr>
        <w:t>3</w:t>
      </w:r>
      <w:r w:rsidR="003E42D5">
        <w:rPr>
          <w:rFonts w:eastAsiaTheme="minorHAnsi" w:cstheme="minorBidi"/>
          <w:b/>
          <w:bCs/>
          <w:i/>
          <w:iCs/>
          <w:kern w:val="2"/>
          <w:sz w:val="22"/>
          <w:szCs w:val="22"/>
          <w:lang w:eastAsia="en-US"/>
          <w14:ligatures w14:val="standardContextual"/>
        </w:rPr>
        <w:t>5</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“Laboratoriskie izmeklējumi” plāna un izpildes dinamika (miljonos)</w:t>
      </w:r>
    </w:p>
    <w:p w14:paraId="140FF92A" w14:textId="77777777" w:rsidR="00FD7666" w:rsidRPr="00307028" w:rsidRDefault="00FD7666" w:rsidP="00FD7666">
      <w:pPr>
        <w:tabs>
          <w:tab w:val="left" w:pos="2342"/>
        </w:tabs>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39F26B60" wp14:editId="240E01CA">
            <wp:extent cx="5492750" cy="2468880"/>
            <wp:effectExtent l="0" t="0" r="0" b="7620"/>
            <wp:docPr id="1561481249" name="Picture 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81249" name="Picture 3" descr="A graph with numbers and a line&#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92750" cy="2468880"/>
                    </a:xfrm>
                    <a:prstGeom prst="rect">
                      <a:avLst/>
                    </a:prstGeom>
                    <a:noFill/>
                  </pic:spPr>
                </pic:pic>
              </a:graphicData>
            </a:graphic>
          </wp:inline>
        </w:drawing>
      </w:r>
    </w:p>
    <w:p w14:paraId="43D68245" w14:textId="0CECBB3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Budžeta apakšprogrammas 33.16.00 “Pārējo ambulatoro veselības aprūpes pakalpojumu nodrošināšana” vērtējama kā tāda, kur visi izvirzītie DRR ir noteikti ar tādām plāna vērtībām, kas ir uzskatāmas par droši izpildāmām. Vienīgais DRR, kura plāns regulāri pārsniedz izpildi, ir “Gultas dienas dienas stacionārā”, kura izpildi no 2020. līdz 2022. gadam gan lielā mērā ietekmēja Covid-19 izraisītās pandēmijas ietekme uz stacionāru darbu. DRR “Ambulatorie apmeklējumi pie sekundārās ambulatorās aprūpes speciālistiem” 2019. gadā tika strauji samazināta plānotā vērtība, paredzot 9,8 – 10 miljonus apmeklējumu gadā, kas bija aptuvenais apmeklējumu skaits līdz 2020. gadam. Taču 2021. un 2022. gadā apmeklējumu skaits ir strauji pieaudzis (attiecīgi 15,6 un 12,3 miljoni apmeklējumu), uz ko VM gan norāda, ka tuvākajā laikā, ņemot vērā dažādu sistēmas atlases parametru maiņu, šī DRR plānotās vērtības tiks precizētas. Plāns ar uzviju tiek izpildīts arī DRR “Ārstniecības iestādes (līgumi) sekundārajā ambulatorajā veselības aprūpē (bez ģimenes ārstu praksēm), kurās no valsts budžeta līdzekļiem nodrošina sekundāro ambulatoro veselības aprūpi”. 2021. gadā plānotā vērtība tika samazināta uz 402 noslēgtiem līgumiem, pielīdzinot plānu 2020. gada faktiskajai izpildei, tomēr rezultātā 2021. gadā bija noslēgts 471 līgums. Turpmākajiem gadiem plānotā vērtība mazliet ir palielināta (uz 412 līgumiem), taču 2022. gada izpilde (458 līgumi) joprojām pamatīgi pārsniedz plānoto vērtību. Tāpat vērtējams arī DRR “ES un EEZ dalībvalstu pieprasījumi (rēķini) par LR sociāli apdrošinātām personām”, kurā 2020. gadā plānotā vērtība tika palielināta līdz līmenim, kas tik un tā nesasniedza 2019. gada faktisko izpildi. Turklāt turpmākajos gados pie nemainīga plāna izpildes līmenis ir tikai paaugstinājies (Attēls Nr. 3.1.</w:t>
      </w:r>
      <w:r w:rsidR="001717A1" w:rsidRPr="00307028">
        <w:rPr>
          <w:rFonts w:eastAsiaTheme="minorHAnsi" w:cstheme="minorBidi"/>
          <w:kern w:val="2"/>
          <w:lang w:eastAsia="en-US"/>
          <w14:ligatures w14:val="standardContextual"/>
        </w:rPr>
        <w:t>3</w:t>
      </w:r>
      <w:r w:rsidR="003E42D5">
        <w:rPr>
          <w:rFonts w:eastAsiaTheme="minorHAnsi" w:cstheme="minorBidi"/>
          <w:kern w:val="2"/>
          <w:lang w:eastAsia="en-US"/>
          <w14:ligatures w14:val="standardContextual"/>
        </w:rPr>
        <w:t>6</w:t>
      </w:r>
      <w:r w:rsidRPr="00307028">
        <w:rPr>
          <w:rFonts w:eastAsiaTheme="minorHAnsi" w:cstheme="minorBidi"/>
          <w:kern w:val="2"/>
          <w:lang w:eastAsia="en-US"/>
          <w14:ligatures w14:val="standardContextual"/>
        </w:rPr>
        <w:t>.).</w:t>
      </w:r>
    </w:p>
    <w:p w14:paraId="17506BE2" w14:textId="7777777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p>
    <w:p w14:paraId="03477647" w14:textId="7777777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p>
    <w:p w14:paraId="42469747" w14:textId="77777777" w:rsidR="00CE4F77" w:rsidRPr="00307028" w:rsidRDefault="00CE4F77" w:rsidP="00FD7666">
      <w:pPr>
        <w:spacing w:after="120" w:line="259" w:lineRule="auto"/>
        <w:ind w:firstLine="709"/>
        <w:jc w:val="both"/>
        <w:rPr>
          <w:rFonts w:eastAsiaTheme="minorHAnsi" w:cstheme="minorBidi"/>
          <w:kern w:val="2"/>
          <w:lang w:eastAsia="en-US"/>
          <w14:ligatures w14:val="standardContextual"/>
        </w:rPr>
      </w:pPr>
    </w:p>
    <w:p w14:paraId="2CF15F9F" w14:textId="77777777" w:rsidR="00060267" w:rsidRPr="00307028" w:rsidRDefault="00060267" w:rsidP="00FD7666">
      <w:pPr>
        <w:spacing w:after="120" w:line="259" w:lineRule="auto"/>
        <w:ind w:firstLine="709"/>
        <w:jc w:val="both"/>
        <w:rPr>
          <w:rFonts w:eastAsiaTheme="minorHAnsi" w:cstheme="minorBidi"/>
          <w:kern w:val="2"/>
          <w:lang w:eastAsia="en-US"/>
          <w14:ligatures w14:val="standardContextual"/>
        </w:rPr>
      </w:pPr>
    </w:p>
    <w:p w14:paraId="6791259B" w14:textId="7F39D0FD" w:rsidR="00FD7666" w:rsidRPr="00307028" w:rsidRDefault="00FD7666" w:rsidP="00CE4F77">
      <w:pPr>
        <w:spacing w:line="259" w:lineRule="auto"/>
        <w:jc w:val="center"/>
        <w:rPr>
          <w:rFonts w:eastAsiaTheme="minorHAnsi" w:cstheme="minorBidi"/>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w:t>
      </w:r>
      <w:r w:rsidR="001717A1" w:rsidRPr="00307028">
        <w:rPr>
          <w:rFonts w:eastAsiaTheme="minorHAnsi" w:cstheme="minorBidi"/>
          <w:b/>
          <w:bCs/>
          <w:i/>
          <w:iCs/>
          <w:kern w:val="2"/>
          <w:sz w:val="22"/>
          <w:szCs w:val="22"/>
          <w:lang w:eastAsia="en-US"/>
          <w14:ligatures w14:val="standardContextual"/>
        </w:rPr>
        <w:t>3</w:t>
      </w:r>
      <w:r w:rsidR="003E42D5">
        <w:rPr>
          <w:rFonts w:eastAsiaTheme="minorHAnsi" w:cstheme="minorBidi"/>
          <w:b/>
          <w:bCs/>
          <w:i/>
          <w:iCs/>
          <w:kern w:val="2"/>
          <w:sz w:val="22"/>
          <w:szCs w:val="22"/>
          <w:lang w:eastAsia="en-US"/>
          <w14:ligatures w14:val="standardContextual"/>
        </w:rPr>
        <w:t>6</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“ES un EEZ dalībvalstu pieprasījumi (rēķini) par LR sociāli apdrošinātām personām” plāna un izpildes dinamika (skaits)</w:t>
      </w:r>
    </w:p>
    <w:p w14:paraId="465CA4C5" w14:textId="77777777" w:rsidR="00FD7666" w:rsidRPr="00307028" w:rsidRDefault="00FD7666" w:rsidP="00FD7666">
      <w:pPr>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486779E6" wp14:editId="1D9258CF">
            <wp:extent cx="5474970" cy="2512060"/>
            <wp:effectExtent l="0" t="0" r="0" b="2540"/>
            <wp:docPr id="1079592150"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92150" name="Picture 1" descr="A graph with numbers and a line&#10;&#10;Description automatically generated"/>
                    <pic:cNvPicPr>
                      <a:picLocks noChangeAspect="1" noChangeArrowheads="1"/>
                    </pic:cNvPicPr>
                  </pic:nvPicPr>
                  <pic:blipFill rotWithShape="1">
                    <a:blip r:embed="rId101">
                      <a:extLst>
                        <a:ext uri="{28A0092B-C50C-407E-A947-70E740481C1C}">
                          <a14:useLocalDpi xmlns:a14="http://schemas.microsoft.com/office/drawing/2010/main" val="0"/>
                        </a:ext>
                      </a:extLst>
                    </a:blip>
                    <a:srcRect t="12709"/>
                    <a:stretch/>
                  </pic:blipFill>
                  <pic:spPr bwMode="auto">
                    <a:xfrm>
                      <a:off x="0" y="0"/>
                      <a:ext cx="5474970" cy="2512060"/>
                    </a:xfrm>
                    <a:prstGeom prst="rect">
                      <a:avLst/>
                    </a:prstGeom>
                    <a:noFill/>
                    <a:ln>
                      <a:noFill/>
                    </a:ln>
                    <a:extLst>
                      <a:ext uri="{53640926-AAD7-44D8-BBD7-CCE9431645EC}">
                        <a14:shadowObscured xmlns:a14="http://schemas.microsoft.com/office/drawing/2010/main"/>
                      </a:ext>
                    </a:extLst>
                  </pic:spPr>
                </pic:pic>
              </a:graphicData>
            </a:graphic>
          </wp:inline>
        </w:drawing>
      </w:r>
    </w:p>
    <w:p w14:paraId="6B29F4E7" w14:textId="04D6D8E3"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Tāpat šīs budžeta apakšprogrammas kontekstā jāmin arī kopējie izdevumi. 2018. gadā apakšprogrammas plānotie izdevumi bija 157,9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kamēr faktiskā izpilde bija par 23%</w:t>
      </w:r>
      <w:r w:rsidR="007760F6">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 xml:space="preserve">lielāka, sasniedzot 194,2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Savukārt 2023. gadā plānotie izdevumi sasniedz jau 309,9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Līdz ar to sešu gadu laikā plānotie izdevumi gandrīz dubultojušies, taču tajā pašā laikā DRR izpildes rādītāji un lielākoties arī plānotās vērtības nav mainījušās. Tādējādi šī ir viena no tām VM budžeta apakšprogrammām, kurā būtu nepieciešams izvirzīt tādus DRR, kas parādītu šī finansējuma jēgpilnu izlietojumu.</w:t>
      </w:r>
    </w:p>
    <w:p w14:paraId="43A52BDE"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Šo pašu secinājumu ir iespējams attiecināt arī uz budžeta apakšprogrammām 33.17.00 “Neatliekamās medicīniskās palīdzības nodrošināšana stacionārās ārstniecības iestādēs” un 33.18.00 “Plānveida stacionāro veselības aprūpes pakalpojumu nodrošināšana”. Ņemot vērā lielo valsts budžeta finansējuma apmēru, kas tiek ieguldīta tieši sekundārās veselības aprūpes līmenī, izvirzītie DRR nekādi neļauj secināt to, cik kvalitatīvi un kādiem mērķiem tiek paredzēts šis finansējums, kā arī kāds ir sasniegtais rezultāts. Abās budžeta apakšprogrammās divi no trīs DRR ir par iestāžu skaitu, ar kurām ir noslēgti līgumi par valsts apmaksātu pakalpojumu sniegšanu, kā arī par vidējo ārstēšanās ilgumu, kuri faktiski ir statiski DRR un to izpildes rādītāji nemainās gadu no gada, kā arī tie nav tieši atkarīgi no piešķirtā finansējuma apjoma. Proti, budžeta apakšprogrammu finansējuma palielināšana negarantē līgumu skaita pieaugumu ar ārstniecības iestādēm, jo paši līgumi un tajos ietvertais valsts apmaksāto pakalpojumu klāsts var būt atšķirīgs un tam nav korelācijas ar finansējuma apmēru, bet vidējo ārstēšanas dienu skaitu vairāk ietekmē ārstēšanas metodes (dubultojot finansējumu, pacientu nevarēs izārstēt divreiz īsākā laika periodā).</w:t>
      </w:r>
    </w:p>
    <w:p w14:paraId="3290B77F"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Kā uz darbību vērsti DRR šajās apakšprogrammās faktiski ir tikai divi. Budžeta apakšprogrammā 33.17.00 tas ir DRR “Neatliekamās hospitalizācijas”, kur kopš 2020. gada ir plānotas 226 000 neatliekamas hospitalizācijas ik gadu, šo rezultātu gan nesasniedzot nevienā no gadiem (visticamāk tieši Covid-19 dēļ). Savukārt budžeta apakšprogrammā 33.18.00 tas ir DRR “Plānveida hospitalizācijas”, kurā plānotās vērtības variē gadu no gada un arī izpildes rādītāji ir ļoti viļņveidīgi, ko tāpat ir ietekmējusi Covid-19 pandēmijas izraisītā slimnīcās sniegto pakalpojumu ierobežošana.</w:t>
      </w:r>
    </w:p>
    <w:p w14:paraId="74DC406D"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Finansējuma pieaugums abās šajās budžeta apakšprogrammās pārsniedz 50% pēdējo sešu gadu periodā. Apakšprogrammā 33.17.00 2018. gadā plānotie izdevumi bija 177,6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kas 2023. gadā pieauguši līdz 361,9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kamēr apakšprogrammā </w:t>
      </w:r>
      <w:r w:rsidRPr="00307028">
        <w:rPr>
          <w:rFonts w:eastAsiaTheme="minorHAnsi" w:cstheme="minorBidi"/>
          <w:kern w:val="2"/>
          <w:lang w:eastAsia="en-US"/>
          <w14:ligatures w14:val="standardContextual"/>
        </w:rPr>
        <w:lastRenderedPageBreak/>
        <w:t xml:space="preserve">33.18.00 plānotie izdevumi šajā pašā laika periodā pieauguši no 102,1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līdz 214,5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Tātad 576,4 milj.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valsts budžeta finansējuma izlietojums 2023. gadā, kas, ņemot vērā papildus piešķirto finansējumu, vēl pieaugs, pēc būtības būtu jāvērtē tikai pēc diviem DRR, kuros tiek uzskaitītas neatliekamās un plānotās hospitalizācijas. Ir iespējams izdarīt nepārprotamu secinājumu, ka VM nepieciešams uzlabot (ieviest jaunus) DRR stacionārās veselības aprūpes segmentā, kuri ļautu izvērtēt piešķirtā finansējuma izlietojuma efektivitāti.</w:t>
      </w:r>
    </w:p>
    <w:p w14:paraId="40A085C4" w14:textId="77777777" w:rsidR="00FD7666" w:rsidRPr="00307028" w:rsidRDefault="00FD7666" w:rsidP="00FD766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Budžeta apakšprogramma 39.07.00 “Antidopinga politikas īstenošana” minama sakarā ar regulāru finansējuma neizpildi, kamēr DRR izpilde 2022. gadā pat pārsniedza plānu. DRR “Dopinga analīzes” izpilde 3 no 5 gadiem pārsniedza plānoto veikto dopinga analīžu skaitu (izņēmums arī šoreiz ir Covid-19 pandēmijas skartie gadi). Arī DRR “Izglītojošie pasākumi” izpilde 2021. un 2022. gadā diezgan daudz pārsniedz plānoto pasākumu skaitu. Turklāt arī 2023. gadā joprojām plānoti tiek vien 30 pasākumi, bet tajā pašā laikā jau 1. ceturksnī ir norisinājušies 18 izglītojoši pasākumi, kas liek prezumēt, ka arī šajā gadā plāns tiks pārpildīts. Vienlaikus finansējums nevienā no pēdējiem pieciem gadiem šajā budžeta apakšprogrammā netiek pilnībā iztērēts. Turklāt katra nākamā gada plānotais finansējums sākot ar 2020. gadu būtiski pārsniedz iepriekšējā gada izpildi, radot jautājumus par budžeta plānošanas efektivitāti. Salīdzinot 2019. gada DRR izpildi un izlietoto finansējumu ar 2022. gada datiem, secināms, ka pie lielāka dopinga analīžu skaita kā arī teju divkārt lielāka izglītojošo pasākumu skaita apakšprogrammas izlietotais finansējums ir gandrīz tāds pats (Tabula Nr. 3.1.1.).</w:t>
      </w:r>
    </w:p>
    <w:p w14:paraId="693886E5" w14:textId="77777777" w:rsidR="00FD7666" w:rsidRPr="00307028" w:rsidRDefault="00FD7666" w:rsidP="00CE4F77">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3.1.1. tabula</w:t>
      </w:r>
      <w:r w:rsidRPr="00307028">
        <w:rPr>
          <w:rFonts w:eastAsiaTheme="minorHAnsi" w:cstheme="minorBidi"/>
          <w:b/>
          <w:bCs/>
          <w:kern w:val="2"/>
          <w:sz w:val="22"/>
          <w:szCs w:val="22"/>
          <w:lang w:eastAsia="en-US"/>
          <w14:ligatures w14:val="standardContextual"/>
        </w:rPr>
        <w:t xml:space="preserve"> Budžeta apakšprogrammas 39.07.00 “Antidopinga politikas īstenošana” DRR un finansējuma plāna un izpildes dinamika</w:t>
      </w:r>
    </w:p>
    <w:tbl>
      <w:tblPr>
        <w:tblStyle w:val="TableGrid3"/>
        <w:tblW w:w="0" w:type="auto"/>
        <w:tblLook w:val="04A0" w:firstRow="1" w:lastRow="0" w:firstColumn="1" w:lastColumn="0" w:noHBand="0" w:noVBand="1"/>
      </w:tblPr>
      <w:tblGrid>
        <w:gridCol w:w="1392"/>
        <w:gridCol w:w="1580"/>
        <w:gridCol w:w="1276"/>
        <w:gridCol w:w="1242"/>
        <w:gridCol w:w="1170"/>
        <w:gridCol w:w="1231"/>
        <w:gridCol w:w="1170"/>
      </w:tblGrid>
      <w:tr w:rsidR="00FD7666" w:rsidRPr="00307028" w14:paraId="22A829D6" w14:textId="77777777" w:rsidTr="00070F9C">
        <w:trPr>
          <w:tblHeader/>
        </w:trPr>
        <w:tc>
          <w:tcPr>
            <w:tcW w:w="1392" w:type="dxa"/>
            <w:shd w:val="clear" w:color="auto" w:fill="B2D9EC"/>
          </w:tcPr>
          <w:p w14:paraId="389BDF1A" w14:textId="77777777" w:rsidR="00FD7666" w:rsidRPr="00307028" w:rsidRDefault="00FD7666" w:rsidP="00FD7666">
            <w:pPr>
              <w:jc w:val="both"/>
              <w:rPr>
                <w:rFonts w:eastAsiaTheme="minorHAnsi"/>
                <w:kern w:val="2"/>
                <w:sz w:val="22"/>
                <w:szCs w:val="22"/>
                <w:lang w:eastAsia="en-US"/>
                <w14:ligatures w14:val="standardContextual"/>
              </w:rPr>
            </w:pPr>
          </w:p>
        </w:tc>
        <w:tc>
          <w:tcPr>
            <w:tcW w:w="1580" w:type="dxa"/>
            <w:shd w:val="clear" w:color="auto" w:fill="B2D9EC"/>
          </w:tcPr>
          <w:p w14:paraId="4ECAAF1A"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2023. gads</w:t>
            </w:r>
          </w:p>
        </w:tc>
        <w:tc>
          <w:tcPr>
            <w:tcW w:w="1276" w:type="dxa"/>
            <w:shd w:val="clear" w:color="auto" w:fill="B2D9EC"/>
          </w:tcPr>
          <w:p w14:paraId="50AC5D4C"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2022. gads</w:t>
            </w:r>
          </w:p>
        </w:tc>
        <w:tc>
          <w:tcPr>
            <w:tcW w:w="1242" w:type="dxa"/>
            <w:shd w:val="clear" w:color="auto" w:fill="B2D9EC"/>
          </w:tcPr>
          <w:p w14:paraId="7F84192D"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2021. gads</w:t>
            </w:r>
          </w:p>
        </w:tc>
        <w:tc>
          <w:tcPr>
            <w:tcW w:w="1170" w:type="dxa"/>
            <w:shd w:val="clear" w:color="auto" w:fill="B2D9EC"/>
          </w:tcPr>
          <w:p w14:paraId="09C6DB1F"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2020. gads</w:t>
            </w:r>
          </w:p>
        </w:tc>
        <w:tc>
          <w:tcPr>
            <w:tcW w:w="1231" w:type="dxa"/>
            <w:shd w:val="clear" w:color="auto" w:fill="B2D9EC"/>
          </w:tcPr>
          <w:p w14:paraId="2CD0ECD6"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2019. gads</w:t>
            </w:r>
          </w:p>
        </w:tc>
        <w:tc>
          <w:tcPr>
            <w:tcW w:w="1170" w:type="dxa"/>
            <w:shd w:val="clear" w:color="auto" w:fill="B2D9EC"/>
          </w:tcPr>
          <w:p w14:paraId="661A8689"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2018. gads</w:t>
            </w:r>
          </w:p>
        </w:tc>
      </w:tr>
      <w:tr w:rsidR="00FD7666" w:rsidRPr="00307028" w14:paraId="14F7C018" w14:textId="77777777" w:rsidTr="00F1281D">
        <w:tc>
          <w:tcPr>
            <w:tcW w:w="9061" w:type="dxa"/>
            <w:gridSpan w:val="7"/>
            <w:shd w:val="clear" w:color="auto" w:fill="F7CAAC" w:themeFill="accent2" w:themeFillTint="66"/>
          </w:tcPr>
          <w:p w14:paraId="2859B815"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DRR “Dopinga analīzes” (skaits)</w:t>
            </w:r>
          </w:p>
        </w:tc>
      </w:tr>
      <w:tr w:rsidR="00FD7666" w:rsidRPr="00307028" w14:paraId="4A3D903F" w14:textId="77777777" w:rsidTr="00B00E00">
        <w:tc>
          <w:tcPr>
            <w:tcW w:w="1392" w:type="dxa"/>
          </w:tcPr>
          <w:p w14:paraId="7F91109D"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Plāns</w:t>
            </w:r>
          </w:p>
        </w:tc>
        <w:tc>
          <w:tcPr>
            <w:tcW w:w="1580" w:type="dxa"/>
          </w:tcPr>
          <w:p w14:paraId="7B374434"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1050</w:t>
            </w:r>
          </w:p>
        </w:tc>
        <w:tc>
          <w:tcPr>
            <w:tcW w:w="1276" w:type="dxa"/>
          </w:tcPr>
          <w:p w14:paraId="124071C2"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1050</w:t>
            </w:r>
          </w:p>
        </w:tc>
        <w:tc>
          <w:tcPr>
            <w:tcW w:w="1242" w:type="dxa"/>
          </w:tcPr>
          <w:p w14:paraId="4D58E47C"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1050</w:t>
            </w:r>
          </w:p>
        </w:tc>
        <w:tc>
          <w:tcPr>
            <w:tcW w:w="1170" w:type="dxa"/>
          </w:tcPr>
          <w:p w14:paraId="66424E0C"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1050</w:t>
            </w:r>
          </w:p>
        </w:tc>
        <w:tc>
          <w:tcPr>
            <w:tcW w:w="1231" w:type="dxa"/>
          </w:tcPr>
          <w:p w14:paraId="18B91CDF"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1000</w:t>
            </w:r>
          </w:p>
        </w:tc>
        <w:tc>
          <w:tcPr>
            <w:tcW w:w="1170" w:type="dxa"/>
          </w:tcPr>
          <w:p w14:paraId="109549D1"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1000</w:t>
            </w:r>
          </w:p>
        </w:tc>
      </w:tr>
      <w:tr w:rsidR="00FD7666" w:rsidRPr="00307028" w14:paraId="24C9E3DE" w14:textId="77777777" w:rsidTr="00B00E00">
        <w:tc>
          <w:tcPr>
            <w:tcW w:w="1392" w:type="dxa"/>
          </w:tcPr>
          <w:p w14:paraId="36D39901"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Izpilde</w:t>
            </w:r>
          </w:p>
        </w:tc>
        <w:tc>
          <w:tcPr>
            <w:tcW w:w="1580" w:type="dxa"/>
          </w:tcPr>
          <w:p w14:paraId="45A6D76D" w14:textId="378181FA"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255</w:t>
            </w:r>
            <w:r w:rsidR="00B00E00" w:rsidRPr="00307028">
              <w:rPr>
                <w:rFonts w:eastAsiaTheme="minorHAnsi"/>
                <w:kern w:val="2"/>
                <w:sz w:val="22"/>
                <w:szCs w:val="22"/>
                <w:lang w:eastAsia="en-US"/>
                <w14:ligatures w14:val="standardContextual"/>
              </w:rPr>
              <w:t xml:space="preserve"> </w:t>
            </w:r>
            <w:r w:rsidRPr="00307028">
              <w:rPr>
                <w:rFonts w:eastAsiaTheme="minorHAnsi"/>
                <w:kern w:val="2"/>
                <w:sz w:val="22"/>
                <w:szCs w:val="22"/>
                <w:lang w:eastAsia="en-US"/>
                <w14:ligatures w14:val="standardContextual"/>
              </w:rPr>
              <w:t>(3</w:t>
            </w:r>
            <w:r w:rsidR="00B00E00" w:rsidRPr="00307028">
              <w:rPr>
                <w:rFonts w:eastAsiaTheme="minorHAnsi"/>
                <w:kern w:val="2"/>
                <w:sz w:val="22"/>
                <w:szCs w:val="22"/>
                <w:lang w:eastAsia="en-US"/>
                <w14:ligatures w14:val="standardContextual"/>
              </w:rPr>
              <w:t xml:space="preserve"> </w:t>
            </w:r>
            <w:r w:rsidRPr="00307028">
              <w:rPr>
                <w:rFonts w:eastAsiaTheme="minorHAnsi"/>
                <w:kern w:val="2"/>
                <w:sz w:val="22"/>
                <w:szCs w:val="22"/>
                <w:lang w:eastAsia="en-US"/>
                <w14:ligatures w14:val="standardContextual"/>
              </w:rPr>
              <w:t>mēn.)</w:t>
            </w:r>
          </w:p>
        </w:tc>
        <w:tc>
          <w:tcPr>
            <w:tcW w:w="1276" w:type="dxa"/>
          </w:tcPr>
          <w:p w14:paraId="2CA35CB8"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1129</w:t>
            </w:r>
          </w:p>
        </w:tc>
        <w:tc>
          <w:tcPr>
            <w:tcW w:w="1242" w:type="dxa"/>
          </w:tcPr>
          <w:p w14:paraId="1228DCCF"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765</w:t>
            </w:r>
          </w:p>
        </w:tc>
        <w:tc>
          <w:tcPr>
            <w:tcW w:w="1170" w:type="dxa"/>
          </w:tcPr>
          <w:p w14:paraId="44AB9C22"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730</w:t>
            </w:r>
          </w:p>
        </w:tc>
        <w:tc>
          <w:tcPr>
            <w:tcW w:w="1231" w:type="dxa"/>
          </w:tcPr>
          <w:p w14:paraId="0691A144"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1021</w:t>
            </w:r>
          </w:p>
        </w:tc>
        <w:tc>
          <w:tcPr>
            <w:tcW w:w="1170" w:type="dxa"/>
          </w:tcPr>
          <w:p w14:paraId="1BE46A2C"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1030</w:t>
            </w:r>
          </w:p>
        </w:tc>
      </w:tr>
      <w:tr w:rsidR="00FD7666" w:rsidRPr="00307028" w14:paraId="1A3EA9D5" w14:textId="77777777" w:rsidTr="00F1281D">
        <w:tc>
          <w:tcPr>
            <w:tcW w:w="9061" w:type="dxa"/>
            <w:gridSpan w:val="7"/>
            <w:shd w:val="clear" w:color="auto" w:fill="F7CAAC" w:themeFill="accent2" w:themeFillTint="66"/>
          </w:tcPr>
          <w:p w14:paraId="703772DE"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DRR “Izglītojošie pasākumi” (skaits)</w:t>
            </w:r>
          </w:p>
        </w:tc>
      </w:tr>
      <w:tr w:rsidR="00FD7666" w:rsidRPr="00307028" w14:paraId="33450CE3" w14:textId="77777777" w:rsidTr="00B00E00">
        <w:tc>
          <w:tcPr>
            <w:tcW w:w="1392" w:type="dxa"/>
          </w:tcPr>
          <w:p w14:paraId="71061B88"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Plāns</w:t>
            </w:r>
          </w:p>
        </w:tc>
        <w:tc>
          <w:tcPr>
            <w:tcW w:w="1580" w:type="dxa"/>
          </w:tcPr>
          <w:p w14:paraId="125B115E"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c>
          <w:tcPr>
            <w:tcW w:w="1276" w:type="dxa"/>
          </w:tcPr>
          <w:p w14:paraId="4AB5F86C"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c>
          <w:tcPr>
            <w:tcW w:w="1242" w:type="dxa"/>
          </w:tcPr>
          <w:p w14:paraId="420826B1"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c>
          <w:tcPr>
            <w:tcW w:w="1170" w:type="dxa"/>
          </w:tcPr>
          <w:p w14:paraId="4DC13DE0"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c>
          <w:tcPr>
            <w:tcW w:w="1231" w:type="dxa"/>
          </w:tcPr>
          <w:p w14:paraId="096F9198"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c>
          <w:tcPr>
            <w:tcW w:w="1170" w:type="dxa"/>
          </w:tcPr>
          <w:p w14:paraId="1831382E"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30</w:t>
            </w:r>
          </w:p>
        </w:tc>
      </w:tr>
      <w:tr w:rsidR="00FD7666" w:rsidRPr="00307028" w14:paraId="714B0631" w14:textId="77777777" w:rsidTr="00B00E00">
        <w:tc>
          <w:tcPr>
            <w:tcW w:w="1392" w:type="dxa"/>
          </w:tcPr>
          <w:p w14:paraId="7B0C2193"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Izpilde</w:t>
            </w:r>
          </w:p>
        </w:tc>
        <w:tc>
          <w:tcPr>
            <w:tcW w:w="1580" w:type="dxa"/>
          </w:tcPr>
          <w:p w14:paraId="58E76A32" w14:textId="0D61A0F4"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18</w:t>
            </w:r>
            <w:r w:rsidR="00B00E00" w:rsidRPr="00307028">
              <w:rPr>
                <w:rFonts w:eastAsiaTheme="minorHAnsi"/>
                <w:kern w:val="2"/>
                <w:sz w:val="22"/>
                <w:szCs w:val="22"/>
                <w:lang w:eastAsia="en-US"/>
                <w14:ligatures w14:val="standardContextual"/>
              </w:rPr>
              <w:t xml:space="preserve"> </w:t>
            </w:r>
            <w:r w:rsidRPr="00307028">
              <w:rPr>
                <w:rFonts w:eastAsiaTheme="minorHAnsi"/>
                <w:kern w:val="2"/>
                <w:sz w:val="22"/>
                <w:szCs w:val="22"/>
                <w:lang w:eastAsia="en-US"/>
                <w14:ligatures w14:val="standardContextual"/>
              </w:rPr>
              <w:t>(3 mēn.)</w:t>
            </w:r>
          </w:p>
        </w:tc>
        <w:tc>
          <w:tcPr>
            <w:tcW w:w="1276" w:type="dxa"/>
          </w:tcPr>
          <w:p w14:paraId="40E1EC36"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53</w:t>
            </w:r>
          </w:p>
        </w:tc>
        <w:tc>
          <w:tcPr>
            <w:tcW w:w="1242" w:type="dxa"/>
          </w:tcPr>
          <w:p w14:paraId="362FAA9C"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42</w:t>
            </w:r>
          </w:p>
        </w:tc>
        <w:tc>
          <w:tcPr>
            <w:tcW w:w="1170" w:type="dxa"/>
          </w:tcPr>
          <w:p w14:paraId="5DB0F817"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29</w:t>
            </w:r>
          </w:p>
        </w:tc>
        <w:tc>
          <w:tcPr>
            <w:tcW w:w="1231" w:type="dxa"/>
          </w:tcPr>
          <w:p w14:paraId="692A66E4"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28</w:t>
            </w:r>
          </w:p>
        </w:tc>
        <w:tc>
          <w:tcPr>
            <w:tcW w:w="1170" w:type="dxa"/>
          </w:tcPr>
          <w:p w14:paraId="1ABA1F2F"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26</w:t>
            </w:r>
          </w:p>
        </w:tc>
      </w:tr>
      <w:tr w:rsidR="00FD7666" w:rsidRPr="00307028" w14:paraId="481E82CD" w14:textId="77777777" w:rsidTr="00F1281D">
        <w:tc>
          <w:tcPr>
            <w:tcW w:w="9061" w:type="dxa"/>
            <w:gridSpan w:val="7"/>
            <w:shd w:val="clear" w:color="auto" w:fill="F7CAAC" w:themeFill="accent2" w:themeFillTint="66"/>
          </w:tcPr>
          <w:p w14:paraId="663987E0" w14:textId="77777777" w:rsidR="00FD7666" w:rsidRPr="00307028" w:rsidRDefault="00FD7666" w:rsidP="00FD7666">
            <w:pPr>
              <w:jc w:val="center"/>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Apakšprogrammas finansējums</w:t>
            </w:r>
          </w:p>
        </w:tc>
      </w:tr>
      <w:tr w:rsidR="00FD7666" w:rsidRPr="00307028" w14:paraId="3C07530D" w14:textId="77777777" w:rsidTr="00B00E00">
        <w:tc>
          <w:tcPr>
            <w:tcW w:w="1392" w:type="dxa"/>
          </w:tcPr>
          <w:p w14:paraId="558CD7ED"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Plāns</w:t>
            </w:r>
          </w:p>
        </w:tc>
        <w:tc>
          <w:tcPr>
            <w:tcW w:w="1580" w:type="dxa"/>
          </w:tcPr>
          <w:p w14:paraId="174476B1"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876 987</w:t>
            </w:r>
          </w:p>
        </w:tc>
        <w:tc>
          <w:tcPr>
            <w:tcW w:w="1276" w:type="dxa"/>
          </w:tcPr>
          <w:p w14:paraId="388A24BD"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854 081</w:t>
            </w:r>
          </w:p>
        </w:tc>
        <w:tc>
          <w:tcPr>
            <w:tcW w:w="1242" w:type="dxa"/>
          </w:tcPr>
          <w:p w14:paraId="26B04898"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843 696</w:t>
            </w:r>
          </w:p>
        </w:tc>
        <w:tc>
          <w:tcPr>
            <w:tcW w:w="1170" w:type="dxa"/>
          </w:tcPr>
          <w:p w14:paraId="53DDB234"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850 571</w:t>
            </w:r>
          </w:p>
        </w:tc>
        <w:tc>
          <w:tcPr>
            <w:tcW w:w="1231" w:type="dxa"/>
          </w:tcPr>
          <w:p w14:paraId="7B0A5D90"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874 106</w:t>
            </w:r>
          </w:p>
        </w:tc>
        <w:tc>
          <w:tcPr>
            <w:tcW w:w="1170" w:type="dxa"/>
          </w:tcPr>
          <w:p w14:paraId="57B453FF"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1 643 691</w:t>
            </w:r>
          </w:p>
        </w:tc>
      </w:tr>
      <w:tr w:rsidR="00FD7666" w:rsidRPr="00307028" w14:paraId="3186382A" w14:textId="77777777" w:rsidTr="00B00E00">
        <w:tc>
          <w:tcPr>
            <w:tcW w:w="1392" w:type="dxa"/>
          </w:tcPr>
          <w:p w14:paraId="0009E568"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Izpilde</w:t>
            </w:r>
          </w:p>
        </w:tc>
        <w:tc>
          <w:tcPr>
            <w:tcW w:w="1580" w:type="dxa"/>
          </w:tcPr>
          <w:p w14:paraId="16B2656E" w14:textId="77777777" w:rsidR="00FD7666" w:rsidRPr="00307028" w:rsidRDefault="00FD7666" w:rsidP="00FD7666">
            <w:pPr>
              <w:jc w:val="both"/>
              <w:rPr>
                <w:rFonts w:eastAsiaTheme="minorHAnsi"/>
                <w:kern w:val="2"/>
                <w:sz w:val="22"/>
                <w:szCs w:val="22"/>
                <w:lang w:eastAsia="en-US"/>
                <w14:ligatures w14:val="standardContextual"/>
              </w:rPr>
            </w:pPr>
          </w:p>
        </w:tc>
        <w:tc>
          <w:tcPr>
            <w:tcW w:w="1276" w:type="dxa"/>
          </w:tcPr>
          <w:p w14:paraId="54E9EB9A"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776 338</w:t>
            </w:r>
          </w:p>
        </w:tc>
        <w:tc>
          <w:tcPr>
            <w:tcW w:w="1242" w:type="dxa"/>
          </w:tcPr>
          <w:p w14:paraId="2D0054BF"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594 711</w:t>
            </w:r>
          </w:p>
        </w:tc>
        <w:tc>
          <w:tcPr>
            <w:tcW w:w="1170" w:type="dxa"/>
          </w:tcPr>
          <w:p w14:paraId="00BFF6F0"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621 055</w:t>
            </w:r>
          </w:p>
        </w:tc>
        <w:tc>
          <w:tcPr>
            <w:tcW w:w="1231" w:type="dxa"/>
          </w:tcPr>
          <w:p w14:paraId="5F70F69B"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723 436</w:t>
            </w:r>
          </w:p>
        </w:tc>
        <w:tc>
          <w:tcPr>
            <w:tcW w:w="1170" w:type="dxa"/>
          </w:tcPr>
          <w:p w14:paraId="0BB1729A"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1 133 921</w:t>
            </w:r>
          </w:p>
        </w:tc>
      </w:tr>
      <w:tr w:rsidR="00FD7666" w:rsidRPr="00307028" w14:paraId="2057C327" w14:textId="77777777" w:rsidTr="00B00E00">
        <w:tc>
          <w:tcPr>
            <w:tcW w:w="1392" w:type="dxa"/>
          </w:tcPr>
          <w:p w14:paraId="05258245"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Plāns pret iepriekšējā gada izpildi</w:t>
            </w:r>
          </w:p>
        </w:tc>
        <w:tc>
          <w:tcPr>
            <w:tcW w:w="1580" w:type="dxa"/>
          </w:tcPr>
          <w:p w14:paraId="0B0350D5"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+13 %</w:t>
            </w:r>
          </w:p>
        </w:tc>
        <w:tc>
          <w:tcPr>
            <w:tcW w:w="1276" w:type="dxa"/>
          </w:tcPr>
          <w:p w14:paraId="1940C4F6"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+44%</w:t>
            </w:r>
          </w:p>
        </w:tc>
        <w:tc>
          <w:tcPr>
            <w:tcW w:w="1242" w:type="dxa"/>
          </w:tcPr>
          <w:p w14:paraId="64D0D314"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+36%</w:t>
            </w:r>
          </w:p>
        </w:tc>
        <w:tc>
          <w:tcPr>
            <w:tcW w:w="1170" w:type="dxa"/>
          </w:tcPr>
          <w:p w14:paraId="3A3E8B92"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+18%</w:t>
            </w:r>
          </w:p>
        </w:tc>
        <w:tc>
          <w:tcPr>
            <w:tcW w:w="1231" w:type="dxa"/>
          </w:tcPr>
          <w:p w14:paraId="0C7D29B2" w14:textId="77777777" w:rsidR="00FD7666" w:rsidRPr="00307028" w:rsidRDefault="00FD7666" w:rsidP="00FD7666">
            <w:pPr>
              <w:jc w:val="both"/>
              <w:rPr>
                <w:rFonts w:eastAsiaTheme="minorHAnsi"/>
                <w:kern w:val="2"/>
                <w:sz w:val="22"/>
                <w:szCs w:val="22"/>
                <w:lang w:eastAsia="en-US"/>
                <w14:ligatures w14:val="standardContextual"/>
              </w:rPr>
            </w:pPr>
            <w:r w:rsidRPr="00307028">
              <w:rPr>
                <w:rFonts w:eastAsiaTheme="minorHAnsi"/>
                <w:kern w:val="2"/>
                <w:sz w:val="22"/>
                <w:szCs w:val="22"/>
                <w:lang w:eastAsia="en-US"/>
                <w14:ligatures w14:val="standardContextual"/>
              </w:rPr>
              <w:t>-23%</w:t>
            </w:r>
          </w:p>
        </w:tc>
        <w:tc>
          <w:tcPr>
            <w:tcW w:w="1170" w:type="dxa"/>
          </w:tcPr>
          <w:p w14:paraId="38B55A58" w14:textId="77777777" w:rsidR="00FD7666" w:rsidRPr="00307028" w:rsidRDefault="00FD7666" w:rsidP="00FD7666">
            <w:pPr>
              <w:jc w:val="both"/>
              <w:rPr>
                <w:rFonts w:eastAsiaTheme="minorHAnsi"/>
                <w:kern w:val="2"/>
                <w:sz w:val="22"/>
                <w:szCs w:val="22"/>
                <w:lang w:eastAsia="en-US"/>
                <w14:ligatures w14:val="standardContextual"/>
              </w:rPr>
            </w:pPr>
          </w:p>
        </w:tc>
      </w:tr>
    </w:tbl>
    <w:p w14:paraId="61E67932" w14:textId="5057243A" w:rsidR="00FD7666" w:rsidRPr="00307028" w:rsidRDefault="00FD7666" w:rsidP="00FD7666">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Nepieciešamība pārskatīt DRR plānotās vērtības akcentējama arī budžeta apakšprogrammā 45.01.00 “Veselības aprūpes finansējuma administrēšana un ekonomiskā novērtēšana”, kur izdevumu pārskatīšanā tiek vērsta uzmanība uz trim konkrētiem DRR. Viens no DRR, kura plānotā vērtība iepriekšējos gados, neskatoties uz straujo izpildes pieaugumu, ir saglabāta nemainīga, ir “Veiktas veselības aprūpes pakalpojumu pieejamības un valsts budžeta līdzekļu izlietojuma uzraudzības un kontroles pārbaudes ārstniecības iestādēs”. VM konstanti plāno 220 veiktas pārbaudes gadā, bet pēdējos divos gados faktiskais pārbaužu skaits ir pieaudzis līdz 417 (Attēls Nr. 3.1.</w:t>
      </w:r>
      <w:r w:rsidR="001717A1" w:rsidRPr="00307028">
        <w:rPr>
          <w:rFonts w:eastAsiaTheme="minorHAnsi" w:cstheme="minorBidi"/>
          <w:kern w:val="2"/>
          <w:lang w:eastAsia="en-US"/>
          <w14:ligatures w14:val="standardContextual"/>
        </w:rPr>
        <w:t>3</w:t>
      </w:r>
      <w:r w:rsidR="003E42D5">
        <w:rPr>
          <w:rFonts w:eastAsiaTheme="minorHAnsi" w:cstheme="minorBidi"/>
          <w:kern w:val="2"/>
          <w:lang w:eastAsia="en-US"/>
          <w14:ligatures w14:val="standardContextual"/>
        </w:rPr>
        <w:t>7</w:t>
      </w:r>
      <w:r w:rsidRPr="00307028">
        <w:rPr>
          <w:rFonts w:eastAsiaTheme="minorHAnsi" w:cstheme="minorBidi"/>
          <w:kern w:val="2"/>
          <w:lang w:eastAsia="en-US"/>
          <w14:ligatures w14:val="standardContextual"/>
        </w:rPr>
        <w:t>.). Jāpiezīmē, ka 2023. gada 1. ceturksnī veiktas vien 49 pārbaudes, kas, ja vien netiek palielināts pārbaužu apjoms, DRR izpildi veidotu paredzētās plānotās vērtības līmenī.</w:t>
      </w:r>
    </w:p>
    <w:p w14:paraId="44481CDE" w14:textId="77777777" w:rsidR="00B00E00" w:rsidRPr="00307028" w:rsidRDefault="00B00E00" w:rsidP="00FD7666">
      <w:pPr>
        <w:spacing w:before="120" w:after="120" w:line="259" w:lineRule="auto"/>
        <w:ind w:firstLine="709"/>
        <w:jc w:val="both"/>
        <w:rPr>
          <w:rFonts w:eastAsiaTheme="minorHAnsi" w:cstheme="minorBidi"/>
          <w:kern w:val="2"/>
          <w:lang w:eastAsia="en-US"/>
          <w14:ligatures w14:val="standardContextual"/>
        </w:rPr>
      </w:pPr>
    </w:p>
    <w:p w14:paraId="61C45EAF" w14:textId="6B94F5C5" w:rsidR="00FD7666" w:rsidRPr="00307028" w:rsidRDefault="00FD7666" w:rsidP="00CE4F77">
      <w:pPr>
        <w:spacing w:line="259" w:lineRule="auto"/>
        <w:jc w:val="center"/>
        <w:rPr>
          <w:rFonts w:eastAsiaTheme="minorHAnsi" w:cstheme="minorBidi"/>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w:t>
      </w:r>
      <w:r w:rsidR="001717A1" w:rsidRPr="00307028">
        <w:rPr>
          <w:rFonts w:eastAsiaTheme="minorHAnsi" w:cstheme="minorBidi"/>
          <w:b/>
          <w:bCs/>
          <w:i/>
          <w:iCs/>
          <w:kern w:val="2"/>
          <w:sz w:val="22"/>
          <w:szCs w:val="22"/>
          <w:lang w:eastAsia="en-US"/>
          <w14:ligatures w14:val="standardContextual"/>
        </w:rPr>
        <w:t>3</w:t>
      </w:r>
      <w:r w:rsidR="003E42D5">
        <w:rPr>
          <w:rFonts w:eastAsiaTheme="minorHAnsi" w:cstheme="minorBidi"/>
          <w:b/>
          <w:bCs/>
          <w:i/>
          <w:iCs/>
          <w:kern w:val="2"/>
          <w:sz w:val="22"/>
          <w:szCs w:val="22"/>
          <w:lang w:eastAsia="en-US"/>
          <w14:ligatures w14:val="standardContextual"/>
        </w:rPr>
        <w:t>7</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“Veiktas veselības aprūpes pakalpojumu pieejamības un valsts budžeta līdzekļu izlietojuma uzraudzības un kontroles pārbaudes ārstniecības iestādēs” plāna un izpildes dinamika (skaits)</w:t>
      </w:r>
    </w:p>
    <w:p w14:paraId="45715284" w14:textId="77777777" w:rsidR="00FD7666" w:rsidRPr="00307028" w:rsidRDefault="00FD7666" w:rsidP="007261A1">
      <w:pPr>
        <w:spacing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06CB5805" wp14:editId="7E975660">
            <wp:extent cx="5499100" cy="2379345"/>
            <wp:effectExtent l="0" t="0" r="6350" b="1905"/>
            <wp:docPr id="553155922" name="Picture 2"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55922" name="Picture 2" descr="A graph with numbers and a line&#10;&#10;Description automatically generated"/>
                    <pic:cNvPicPr>
                      <a:picLocks noChangeAspect="1" noChangeArrowheads="1"/>
                    </pic:cNvPicPr>
                  </pic:nvPicPr>
                  <pic:blipFill rotWithShape="1">
                    <a:blip r:embed="rId102">
                      <a:extLst>
                        <a:ext uri="{28A0092B-C50C-407E-A947-70E740481C1C}">
                          <a14:useLocalDpi xmlns:a14="http://schemas.microsoft.com/office/drawing/2010/main" val="0"/>
                        </a:ext>
                      </a:extLst>
                    </a:blip>
                    <a:srcRect t="6861"/>
                    <a:stretch/>
                  </pic:blipFill>
                  <pic:spPr bwMode="auto">
                    <a:xfrm>
                      <a:off x="0" y="0"/>
                      <a:ext cx="5499100" cy="2379345"/>
                    </a:xfrm>
                    <a:prstGeom prst="rect">
                      <a:avLst/>
                    </a:prstGeom>
                    <a:noFill/>
                    <a:ln>
                      <a:noFill/>
                    </a:ln>
                    <a:extLst>
                      <a:ext uri="{53640926-AAD7-44D8-BBD7-CCE9431645EC}">
                        <a14:shadowObscured xmlns:a14="http://schemas.microsoft.com/office/drawing/2010/main"/>
                      </a:ext>
                    </a:extLst>
                  </pic:spPr>
                </pic:pic>
              </a:graphicData>
            </a:graphic>
          </wp:inline>
        </w:drawing>
      </w:r>
    </w:p>
    <w:p w14:paraId="27775DDB" w14:textId="7ABD5C6B"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Tāpat jāpievērš uzmanība DRR “Izstrādāti jauni veselības aprūpes tarifi un veikta esošo pakalpojumu tarifu pārskatīšana”, kura izpilde pēdējo piecu gadu laikā vienmēr ir pārsniegusi plānoto vērtību. Ja ir saprotams, ka pēc 2018. gada nelielās plānotās vērtības un 12 reižu lielākās izpildes bija nepieciešams koriģēt 2019. gada plānu, nosakot to līdzvērtīgu 2018. gada izpildei, tad nemaz nav skaidrs, kāpēc 2020. gadā plānoto vērtību vajadzēja samazināt no 140 uz 120, ja 2019. gada izpilde liecina par 212 jaunu veselības aprūpes tarifu izstrādāšanu vai esošo tarifu pārskatīšanu. Esošā plānotā vērtība ir saglabāta arī turpmākajos gados, kamēr faktiskā izpilde vienmēr ir bijusi daudz augstāka (Attēls Nr. 3.1.</w:t>
      </w:r>
      <w:r w:rsidR="003E42D5">
        <w:rPr>
          <w:rFonts w:eastAsiaTheme="minorHAnsi" w:cstheme="minorBidi"/>
          <w:kern w:val="2"/>
          <w:lang w:eastAsia="en-US"/>
          <w14:ligatures w14:val="standardContextual"/>
        </w:rPr>
        <w:t>38</w:t>
      </w:r>
      <w:r w:rsidRPr="00307028">
        <w:rPr>
          <w:rFonts w:eastAsiaTheme="minorHAnsi" w:cstheme="minorBidi"/>
          <w:kern w:val="2"/>
          <w:lang w:eastAsia="en-US"/>
          <w14:ligatures w14:val="standardContextual"/>
        </w:rPr>
        <w:t>.). 2023. gada 1. ceturkšņa izpilde ir 43, kas matemātiski liek pieļaut, ka plānotā vērtība tiks pārsniegta arī šogad.</w:t>
      </w:r>
    </w:p>
    <w:p w14:paraId="29587479" w14:textId="3406D703" w:rsidR="00FD7666" w:rsidRPr="00307028" w:rsidRDefault="00FD7666" w:rsidP="00CE4F77">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w:t>
      </w:r>
      <w:r w:rsidR="003E42D5">
        <w:rPr>
          <w:rFonts w:eastAsiaTheme="minorHAnsi" w:cstheme="minorBidi"/>
          <w:b/>
          <w:bCs/>
          <w:i/>
          <w:iCs/>
          <w:kern w:val="2"/>
          <w:sz w:val="22"/>
          <w:szCs w:val="22"/>
          <w:lang w:eastAsia="en-US"/>
          <w14:ligatures w14:val="standardContextual"/>
        </w:rPr>
        <w:t>38</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“Izstrādāti jauni veselības aprūpes tarifi un veikta esošo pakalpojumu tarifu pārskatīšana” plāna un izpildes dinamika (skaits)</w:t>
      </w:r>
    </w:p>
    <w:p w14:paraId="41791E99" w14:textId="77777777" w:rsidR="00FD7666" w:rsidRPr="00307028" w:rsidRDefault="00FD7666" w:rsidP="00CE4F77">
      <w:pPr>
        <w:spacing w:line="259" w:lineRule="auto"/>
        <w:jc w:val="center"/>
        <w:rPr>
          <w:rFonts w:eastAsiaTheme="minorHAnsi" w:cstheme="minorBidi"/>
          <w:b/>
          <w:bCs/>
          <w:kern w:val="2"/>
          <w:lang w:eastAsia="en-US"/>
          <w14:ligatures w14:val="standardContextual"/>
        </w:rPr>
      </w:pPr>
      <w:r w:rsidRPr="00307028">
        <w:rPr>
          <w:rFonts w:eastAsiaTheme="minorHAnsi" w:cstheme="minorBidi"/>
          <w:b/>
          <w:bCs/>
          <w:noProof/>
          <w:kern w:val="2"/>
          <w:lang w:eastAsia="en-US"/>
          <w14:ligatures w14:val="standardContextual"/>
        </w:rPr>
        <w:drawing>
          <wp:inline distT="0" distB="0" distL="0" distR="0" wp14:anchorId="0DF193CC" wp14:editId="231A1E2A">
            <wp:extent cx="5499100" cy="2377440"/>
            <wp:effectExtent l="0" t="0" r="6350" b="3810"/>
            <wp:docPr id="1649972696" name="Picture 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72696" name="Picture 3" descr="A graph with numbers and a line&#10;&#10;Description automatically generated"/>
                    <pic:cNvPicPr>
                      <a:picLocks noChangeAspect="1" noChangeArrowheads="1"/>
                    </pic:cNvPicPr>
                  </pic:nvPicPr>
                  <pic:blipFill rotWithShape="1">
                    <a:blip r:embed="rId103">
                      <a:extLst>
                        <a:ext uri="{28A0092B-C50C-407E-A947-70E740481C1C}">
                          <a14:useLocalDpi xmlns:a14="http://schemas.microsoft.com/office/drawing/2010/main" val="0"/>
                        </a:ext>
                      </a:extLst>
                    </a:blip>
                    <a:srcRect t="7991" b="2973"/>
                    <a:stretch/>
                  </pic:blipFill>
                  <pic:spPr bwMode="auto">
                    <a:xfrm>
                      <a:off x="0" y="0"/>
                      <a:ext cx="549910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5E97A8D9" w14:textId="58F6FB44"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Kā trešais DRR attiecīgajā budžeta apakšprogrammā minams “Zāļu nosaukumi kompensējamo zāļu sarakstā”. Šim DRR izpilde pēdējos gados ir bijusi tuvu plānotajai vērtībai, tomēr jautājumus rada VM izvēle 2023. gadā samazināt plānoto vērtību. 2022. gadā VM plānoja 1 700 zāļu nosaukumus kompensējamo zāļu sarakstā, bet 2022. gada izpilde liecina par 1 725 šādiem nosaukumiem. Savukārt 2023. gada plāns, neraugoties uz 2022. gada izpildi, ir samazināts uz 1 650 zāļu nosaukumiem (Attēls Nr. 3.1.</w:t>
      </w:r>
      <w:r w:rsidR="003E42D5">
        <w:rPr>
          <w:rFonts w:eastAsiaTheme="minorHAnsi" w:cstheme="minorBidi"/>
          <w:kern w:val="2"/>
          <w:lang w:eastAsia="en-US"/>
          <w14:ligatures w14:val="standardContextual"/>
        </w:rPr>
        <w:t>39</w:t>
      </w:r>
      <w:r w:rsidRPr="00307028">
        <w:rPr>
          <w:rFonts w:eastAsiaTheme="minorHAnsi" w:cstheme="minorBidi"/>
          <w:kern w:val="2"/>
          <w:lang w:eastAsia="en-US"/>
          <w14:ligatures w14:val="standardContextual"/>
        </w:rPr>
        <w:t xml:space="preserve">.). Līdz ar to, rodas pamatots jautājums VM, kādi no 2022. gadā kompensējamo zāļu sarakstā iekļautajiem zāļu nosaukumiem ir tikuši izslēgti uz 2023. gadu plānu. Turklāt uz 2023. gada 31. martu </w:t>
      </w:r>
      <w:r w:rsidRPr="00307028">
        <w:rPr>
          <w:rFonts w:eastAsiaTheme="minorHAnsi" w:cstheme="minorBidi"/>
          <w:kern w:val="2"/>
          <w:lang w:eastAsia="en-US"/>
          <w14:ligatures w14:val="standardContextual"/>
        </w:rPr>
        <w:lastRenderedPageBreak/>
        <w:t>kompensējamo zāļu sarakstā ir jau 1 732 zāļu nosaukumi, kas pārsniedz jebkura iepriekšējā gada izpildes rādītājus, radot jautājumus par plānotās vērtības samazināšanas pamatotību.</w:t>
      </w:r>
    </w:p>
    <w:p w14:paraId="7B3581CB" w14:textId="67BD5A3A" w:rsidR="00FD7666" w:rsidRPr="00307028" w:rsidRDefault="00FD7666" w:rsidP="007261A1">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w:t>
      </w:r>
      <w:r w:rsidR="003E42D5">
        <w:rPr>
          <w:rFonts w:eastAsiaTheme="minorHAnsi" w:cstheme="minorBidi"/>
          <w:b/>
          <w:bCs/>
          <w:i/>
          <w:iCs/>
          <w:kern w:val="2"/>
          <w:sz w:val="22"/>
          <w:szCs w:val="22"/>
          <w:lang w:eastAsia="en-US"/>
          <w14:ligatures w14:val="standardContextual"/>
        </w:rPr>
        <w:t>39</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“Zāļu nosaukumi kompensējamo zāļu sarakstā” plāna un izpildes dinamika (skaits)</w:t>
      </w:r>
    </w:p>
    <w:p w14:paraId="4EC13757" w14:textId="77777777" w:rsidR="00FD7666" w:rsidRPr="00307028" w:rsidRDefault="00FD7666" w:rsidP="00FD7666">
      <w:pPr>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60F63506" wp14:editId="5F49F59F">
            <wp:extent cx="5517515" cy="2133600"/>
            <wp:effectExtent l="0" t="0" r="6985" b="0"/>
            <wp:docPr id="1470866877" name="Picture 5" descr="A graph with numbers and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66877" name="Picture 5" descr="A graph with numbers and a blue line&#10;&#10;Description automatically generated"/>
                    <pic:cNvPicPr>
                      <a:picLocks noChangeAspect="1" noChangeArrowheads="1"/>
                    </pic:cNvPicPr>
                  </pic:nvPicPr>
                  <pic:blipFill rotWithShape="1">
                    <a:blip r:embed="rId104">
                      <a:extLst>
                        <a:ext uri="{28A0092B-C50C-407E-A947-70E740481C1C}">
                          <a14:useLocalDpi xmlns:a14="http://schemas.microsoft.com/office/drawing/2010/main" val="0"/>
                        </a:ext>
                      </a:extLst>
                    </a:blip>
                    <a:srcRect t="15981" b="4115"/>
                    <a:stretch/>
                  </pic:blipFill>
                  <pic:spPr bwMode="auto">
                    <a:xfrm>
                      <a:off x="0" y="0"/>
                      <a:ext cx="5517515" cy="2133600"/>
                    </a:xfrm>
                    <a:prstGeom prst="rect">
                      <a:avLst/>
                    </a:prstGeom>
                    <a:noFill/>
                    <a:ln>
                      <a:noFill/>
                    </a:ln>
                    <a:extLst>
                      <a:ext uri="{53640926-AAD7-44D8-BBD7-CCE9431645EC}">
                        <a14:shadowObscured xmlns:a14="http://schemas.microsoft.com/office/drawing/2010/main"/>
                      </a:ext>
                    </a:extLst>
                  </pic:spPr>
                </pic:pic>
              </a:graphicData>
            </a:graphic>
          </wp:inline>
        </w:drawing>
      </w:r>
    </w:p>
    <w:p w14:paraId="762B33C0" w14:textId="76E86F52" w:rsidR="00FD7666" w:rsidRPr="00307028" w:rsidRDefault="00FD7666" w:rsidP="007261A1">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Arī budžeta apakšprogrammā 46.01.00 “Uzraudzība un kontrole” uzmanība vēršama uz trīs DRR, kuriem plānotās vērtības regulāri ir ievērojami zemākas nekā faktiskā izpilde. Divi no šiem DRR saistās ar veiktajām kontrolēm un abiem DRR pēdējos gados plānotā vērtība tiek ievērojami samazināta, kamēr faktiskās izpildes samazinājums nav tik straujš. Tā piemēram DRR “Veikta farmaceitiskās darbības uzņēmumu kontrole atbilstoši uzraudzības programmā attiecīgam gadam apstiprinātajam biežumam un apjomam” 2018. gada plāns bija veiktas 600 kontroles, bet 2022. un 2023. gada plānā bija vien 330 kontroļu veikšana. 2022. gada faktiskā DRR izpilde gan bija 433 veiktas kontroles (Attēls Nr. 3.1.4</w:t>
      </w:r>
      <w:r w:rsidR="003E42D5">
        <w:rPr>
          <w:rFonts w:eastAsiaTheme="minorHAnsi" w:cstheme="minorBidi"/>
          <w:kern w:val="2"/>
          <w:lang w:eastAsia="en-US"/>
          <w14:ligatures w14:val="standardContextual"/>
        </w:rPr>
        <w:t>0</w:t>
      </w:r>
      <w:r w:rsidRPr="00307028">
        <w:rPr>
          <w:rFonts w:eastAsiaTheme="minorHAnsi" w:cstheme="minorBidi"/>
          <w:kern w:val="2"/>
          <w:lang w:eastAsia="en-US"/>
          <w14:ligatures w14:val="standardContextual"/>
        </w:rPr>
        <w:t>.). 2023. gada 1. ceturksnī veiktas jau 126 pārbaudes, liecinot par plāna izpildi jau 3. ceturkšņa laikā. Tāda pati situācija vērojama saistībā ar DRR “Veiktas ārstniecības iestāžu kontroles”. Arī šajā gadījumā plānotā vērtība pēdējos gados tiek samazināta un kopš 2021. gada ir 490 veiktas kontroles. 2022. gada izpilde gan liecina par 782 kontroļu veikšanu (Attēls Nr. 3.1.4</w:t>
      </w:r>
      <w:r w:rsidR="003E42D5">
        <w:rPr>
          <w:rFonts w:eastAsiaTheme="minorHAnsi" w:cstheme="minorBidi"/>
          <w:kern w:val="2"/>
          <w:lang w:eastAsia="en-US"/>
          <w14:ligatures w14:val="standardContextual"/>
        </w:rPr>
        <w:t>1</w:t>
      </w:r>
      <w:r w:rsidRPr="00307028">
        <w:rPr>
          <w:rFonts w:eastAsiaTheme="minorHAnsi" w:cstheme="minorBidi"/>
          <w:kern w:val="2"/>
          <w:lang w:eastAsia="en-US"/>
          <w14:ligatures w14:val="standardContextual"/>
        </w:rPr>
        <w:t>.) un 224 veiktās kontroles 2023. gada 1. ceturksnī liecina, ka 2023. gada kopējā izpilde būs vismaz tādā pašā līmenī.</w:t>
      </w:r>
    </w:p>
    <w:p w14:paraId="726D4947" w14:textId="77D37A3F" w:rsidR="00FD7666" w:rsidRPr="00307028" w:rsidRDefault="00FD7666" w:rsidP="007261A1">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3.1.4</w:t>
      </w:r>
      <w:r w:rsidR="003E42D5">
        <w:rPr>
          <w:rFonts w:eastAsiaTheme="minorHAnsi" w:cstheme="minorBidi"/>
          <w:b/>
          <w:bCs/>
          <w:i/>
          <w:iCs/>
          <w:kern w:val="2"/>
          <w:sz w:val="22"/>
          <w:szCs w:val="22"/>
          <w:lang w:eastAsia="en-US"/>
          <w14:ligatures w14:val="standardContextual"/>
        </w:rPr>
        <w:t>0</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“Veikta farmaceitiskās darbības uzņēmumu kontrole atbilstoši uzraudzības programmā attiecīgam gadam apstiprinātajam biežumam un apjomam” plāna un izpildes dinamika (skaits)</w:t>
      </w:r>
    </w:p>
    <w:p w14:paraId="65A124CC" w14:textId="77777777" w:rsidR="00FD7666" w:rsidRPr="00307028" w:rsidRDefault="00FD7666" w:rsidP="00FD7666">
      <w:pPr>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6B812889" wp14:editId="384DCC4E">
            <wp:extent cx="5505450" cy="2049780"/>
            <wp:effectExtent l="0" t="0" r="0" b="7620"/>
            <wp:docPr id="866206075" name="Picture 6"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06075" name="Picture 6" descr="A graph with numbers and a line&#10;&#10;Description automatically generated"/>
                    <pic:cNvPicPr>
                      <a:picLocks noChangeAspect="1" noChangeArrowheads="1"/>
                    </pic:cNvPicPr>
                  </pic:nvPicPr>
                  <pic:blipFill rotWithShape="1">
                    <a:blip r:embed="rId105">
                      <a:extLst>
                        <a:ext uri="{28A0092B-C50C-407E-A947-70E740481C1C}">
                          <a14:useLocalDpi xmlns:a14="http://schemas.microsoft.com/office/drawing/2010/main" val="0"/>
                        </a:ext>
                      </a:extLst>
                    </a:blip>
                    <a:srcRect t="15810" b="3952"/>
                    <a:stretch/>
                  </pic:blipFill>
                  <pic:spPr bwMode="auto">
                    <a:xfrm>
                      <a:off x="0" y="0"/>
                      <a:ext cx="5505450" cy="2049780"/>
                    </a:xfrm>
                    <a:prstGeom prst="rect">
                      <a:avLst/>
                    </a:prstGeom>
                    <a:noFill/>
                    <a:ln>
                      <a:noFill/>
                    </a:ln>
                    <a:extLst>
                      <a:ext uri="{53640926-AAD7-44D8-BBD7-CCE9431645EC}">
                        <a14:shadowObscured xmlns:a14="http://schemas.microsoft.com/office/drawing/2010/main"/>
                      </a:ext>
                    </a:extLst>
                  </pic:spPr>
                </pic:pic>
              </a:graphicData>
            </a:graphic>
          </wp:inline>
        </w:drawing>
      </w:r>
    </w:p>
    <w:p w14:paraId="6D2B608C" w14:textId="77777777" w:rsidR="007261A1" w:rsidRPr="00307028" w:rsidRDefault="007261A1" w:rsidP="00FD7666">
      <w:pPr>
        <w:spacing w:after="120" w:line="259" w:lineRule="auto"/>
        <w:jc w:val="center"/>
        <w:rPr>
          <w:rFonts w:eastAsiaTheme="minorHAnsi" w:cstheme="minorBidi"/>
          <w:b/>
          <w:bCs/>
          <w:i/>
          <w:iCs/>
          <w:kern w:val="2"/>
          <w:sz w:val="22"/>
          <w:szCs w:val="22"/>
          <w:lang w:eastAsia="en-US"/>
          <w14:ligatures w14:val="standardContextual"/>
        </w:rPr>
      </w:pPr>
    </w:p>
    <w:p w14:paraId="5CB1FC7D" w14:textId="77777777" w:rsidR="007261A1" w:rsidRPr="00307028" w:rsidRDefault="007261A1" w:rsidP="00FD7666">
      <w:pPr>
        <w:spacing w:after="120" w:line="259" w:lineRule="auto"/>
        <w:jc w:val="center"/>
        <w:rPr>
          <w:rFonts w:eastAsiaTheme="minorHAnsi" w:cstheme="minorBidi"/>
          <w:b/>
          <w:bCs/>
          <w:i/>
          <w:iCs/>
          <w:kern w:val="2"/>
          <w:sz w:val="22"/>
          <w:szCs w:val="22"/>
          <w:lang w:eastAsia="en-US"/>
          <w14:ligatures w14:val="standardContextual"/>
        </w:rPr>
      </w:pPr>
    </w:p>
    <w:p w14:paraId="5B60E46D" w14:textId="77777777" w:rsidR="007261A1" w:rsidRPr="00307028" w:rsidRDefault="007261A1" w:rsidP="00FD7666">
      <w:pPr>
        <w:spacing w:after="120" w:line="259" w:lineRule="auto"/>
        <w:jc w:val="center"/>
        <w:rPr>
          <w:rFonts w:eastAsiaTheme="minorHAnsi" w:cstheme="minorBidi"/>
          <w:b/>
          <w:bCs/>
          <w:i/>
          <w:iCs/>
          <w:kern w:val="2"/>
          <w:sz w:val="22"/>
          <w:szCs w:val="22"/>
          <w:lang w:eastAsia="en-US"/>
          <w14:ligatures w14:val="standardContextual"/>
        </w:rPr>
      </w:pPr>
    </w:p>
    <w:p w14:paraId="720D979F" w14:textId="0293011C" w:rsidR="00FD7666" w:rsidRPr="00307028" w:rsidRDefault="00FD7666" w:rsidP="007261A1">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3.1.4</w:t>
      </w:r>
      <w:r w:rsidR="003E42D5">
        <w:rPr>
          <w:rFonts w:eastAsiaTheme="minorHAnsi" w:cstheme="minorBidi"/>
          <w:b/>
          <w:bCs/>
          <w:i/>
          <w:iCs/>
          <w:kern w:val="2"/>
          <w:sz w:val="22"/>
          <w:szCs w:val="22"/>
          <w:lang w:eastAsia="en-US"/>
          <w14:ligatures w14:val="standardContextual"/>
        </w:rPr>
        <w:t>1</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“Veiktas ārstniecības iestāžu kontroles” plāna un izpildes dinamika (skaits)</w:t>
      </w:r>
    </w:p>
    <w:p w14:paraId="0E7EB616" w14:textId="77777777" w:rsidR="00FD7666" w:rsidRPr="00307028" w:rsidRDefault="00FD7666" w:rsidP="007261A1">
      <w:pPr>
        <w:spacing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0B9F921A" wp14:editId="369C6546">
            <wp:extent cx="5499100" cy="2453640"/>
            <wp:effectExtent l="0" t="0" r="6350" b="3810"/>
            <wp:docPr id="1350331967" name="Picture 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31967" name="Picture 7" descr="A graph with numbers and a line&#10;&#10;Description automatically generated"/>
                    <pic:cNvPicPr>
                      <a:picLocks noChangeAspect="1" noChangeArrowheads="1"/>
                    </pic:cNvPicPr>
                  </pic:nvPicPr>
                  <pic:blipFill rotWithShape="1">
                    <a:blip r:embed="rId106">
                      <a:extLst>
                        <a:ext uri="{28A0092B-C50C-407E-A947-70E740481C1C}">
                          <a14:useLocalDpi xmlns:a14="http://schemas.microsoft.com/office/drawing/2010/main" val="0"/>
                        </a:ext>
                      </a:extLst>
                    </a:blip>
                    <a:srcRect t="10556"/>
                    <a:stretch/>
                  </pic:blipFill>
                  <pic:spPr bwMode="auto">
                    <a:xfrm>
                      <a:off x="0" y="0"/>
                      <a:ext cx="5499100" cy="2453640"/>
                    </a:xfrm>
                    <a:prstGeom prst="rect">
                      <a:avLst/>
                    </a:prstGeom>
                    <a:noFill/>
                    <a:ln>
                      <a:noFill/>
                    </a:ln>
                    <a:extLst>
                      <a:ext uri="{53640926-AAD7-44D8-BBD7-CCE9431645EC}">
                        <a14:shadowObscured xmlns:a14="http://schemas.microsoft.com/office/drawing/2010/main"/>
                      </a:ext>
                    </a:extLst>
                  </pic:spPr>
                </pic:pic>
              </a:graphicData>
            </a:graphic>
          </wp:inline>
        </w:drawing>
      </w:r>
    </w:p>
    <w:p w14:paraId="7DD04C8A" w14:textId="3EA64986" w:rsidR="00FD7666" w:rsidRPr="00307028" w:rsidRDefault="00FD7666" w:rsidP="007261A1">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Savukārt šīs pašas budžeta apakšprogrammas DRR “Iedzīvotāju īpatsvars, kuri saņem drošu un kvalitatīvu dzeramo ūdeni” plānotā vērtība pēdējos gados nav mainīta, bet visos šajos gados izpildes rādītājs ir bijis augstāks (atšķiras vien tas, cik ļoti izpilde pārsniedz plānu) (Attēls Nr. 3.1.4</w:t>
      </w:r>
      <w:r w:rsidR="003E42D5">
        <w:rPr>
          <w:rFonts w:eastAsiaTheme="minorHAnsi" w:cstheme="minorBidi"/>
          <w:kern w:val="2"/>
          <w:lang w:eastAsia="en-US"/>
          <w14:ligatures w14:val="standardContextual"/>
        </w:rPr>
        <w:t>2</w:t>
      </w:r>
      <w:r w:rsidRPr="00307028">
        <w:rPr>
          <w:rFonts w:eastAsiaTheme="minorHAnsi" w:cstheme="minorBidi"/>
          <w:kern w:val="2"/>
          <w:lang w:eastAsia="en-US"/>
          <w14:ligatures w14:val="standardContextual"/>
        </w:rPr>
        <w:t>.). Arī 2023. gada 1. ceturksnī VM norādītā izpildes vērtība ir 83%, kas pārsniedz plānotos 80%.</w:t>
      </w:r>
    </w:p>
    <w:p w14:paraId="3B154072" w14:textId="4244A4FE" w:rsidR="00FD7666" w:rsidRPr="00307028" w:rsidRDefault="00FD7666" w:rsidP="007261A1">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3.1.4</w:t>
      </w:r>
      <w:r w:rsidR="003E42D5">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“Iedzīvotāju īpatsvars, kuri saņem drošu un kvalitatīvu dzeramo ūdeni” plāna un izpildes dinamika (procentos)</w:t>
      </w:r>
    </w:p>
    <w:p w14:paraId="39562810" w14:textId="77777777" w:rsidR="00FD7666" w:rsidRPr="00307028" w:rsidRDefault="00FD7666" w:rsidP="00FD7666">
      <w:pPr>
        <w:spacing w:after="160"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47420238" wp14:editId="4A5C090B">
            <wp:extent cx="5517515" cy="2743200"/>
            <wp:effectExtent l="0" t="0" r="6985" b="0"/>
            <wp:docPr id="1938747826" name="Picture 8"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47826" name="Picture 8" descr="A graph with numbers and a line&#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17515" cy="2743200"/>
                    </a:xfrm>
                    <a:prstGeom prst="rect">
                      <a:avLst/>
                    </a:prstGeom>
                    <a:noFill/>
                  </pic:spPr>
                </pic:pic>
              </a:graphicData>
            </a:graphic>
          </wp:inline>
        </w:drawing>
      </w:r>
    </w:p>
    <w:p w14:paraId="394BAEB3" w14:textId="1BC0B629"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Visbeidzot, apskatot budžeta apakšprogrammu 46.04.00 “Veselības veicināšana”, izceļams DRR “Skolu īpatsvars, kuras ir iesaistītas Veselību veicinošo skolu kustībā”. Arī šim rādītājam pēdējo sešu gadu izpilde ir lielāka par plānoto vērtību. Lai arī plānotā vērtība ne retāk kā reizi divos gados ir palielināta, tās noteikšana nekorelē ar faktisko izpildi, proti, plānotā vērtība tāpat tiek noteikta daudz zemāka nekā iepriekšējā gada izpilde, tādā veidā pirmšķietami nodrošinoties ar to, ka attiecīgais DRR pārliecinoši tiks izpildīts (Attēls Nr. 3.1.4</w:t>
      </w:r>
      <w:r w:rsidR="003E42D5">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 2023. gada 1. ceturksnī izpilde, saglabājoties plānā noteiktajiem 12%, ir 15%.</w:t>
      </w:r>
    </w:p>
    <w:p w14:paraId="34E68A94" w14:textId="77777777" w:rsidR="007261A1" w:rsidRPr="00307028" w:rsidRDefault="007261A1" w:rsidP="00FD7666">
      <w:pPr>
        <w:spacing w:after="120" w:line="259" w:lineRule="auto"/>
        <w:ind w:firstLine="709"/>
        <w:jc w:val="both"/>
        <w:rPr>
          <w:rFonts w:eastAsiaTheme="minorHAnsi" w:cstheme="minorBidi"/>
          <w:kern w:val="2"/>
          <w:lang w:eastAsia="en-US"/>
          <w14:ligatures w14:val="standardContextual"/>
        </w:rPr>
      </w:pPr>
    </w:p>
    <w:p w14:paraId="5B1FA440" w14:textId="77777777" w:rsidR="007261A1" w:rsidRPr="00307028" w:rsidRDefault="007261A1" w:rsidP="00FD7666">
      <w:pPr>
        <w:spacing w:after="120" w:line="259" w:lineRule="auto"/>
        <w:ind w:firstLine="709"/>
        <w:jc w:val="both"/>
        <w:rPr>
          <w:rFonts w:eastAsiaTheme="minorHAnsi" w:cstheme="minorBidi"/>
          <w:kern w:val="2"/>
          <w:lang w:eastAsia="en-US"/>
          <w14:ligatures w14:val="standardContextual"/>
        </w:rPr>
      </w:pPr>
    </w:p>
    <w:p w14:paraId="0AE0756B" w14:textId="77777777" w:rsidR="007261A1" w:rsidRPr="00307028" w:rsidRDefault="007261A1" w:rsidP="00FD7666">
      <w:pPr>
        <w:spacing w:after="120" w:line="259" w:lineRule="auto"/>
        <w:ind w:firstLine="709"/>
        <w:jc w:val="both"/>
        <w:rPr>
          <w:rFonts w:eastAsiaTheme="minorHAnsi" w:cstheme="minorBidi"/>
          <w:kern w:val="2"/>
          <w:lang w:eastAsia="en-US"/>
          <w14:ligatures w14:val="standardContextual"/>
        </w:rPr>
      </w:pPr>
    </w:p>
    <w:p w14:paraId="2779EE68" w14:textId="1748F0D8" w:rsidR="00FD7666" w:rsidRPr="00307028" w:rsidRDefault="00FD7666" w:rsidP="007261A1">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3.1.4</w:t>
      </w:r>
      <w:r w:rsidR="003E42D5">
        <w:rPr>
          <w:rFonts w:eastAsiaTheme="minorHAnsi" w:cstheme="minorBidi"/>
          <w:b/>
          <w:bCs/>
          <w:i/>
          <w:iCs/>
          <w:kern w:val="2"/>
          <w:sz w:val="22"/>
          <w:szCs w:val="22"/>
          <w:lang w:eastAsia="en-US"/>
          <w14:ligatures w14:val="standardContextual"/>
        </w:rPr>
        <w:t>3</w:t>
      </w:r>
      <w:r w:rsidRPr="00307028">
        <w:rPr>
          <w:rFonts w:eastAsiaTheme="minorHAnsi" w:cstheme="minorBidi"/>
          <w:b/>
          <w:bCs/>
          <w:i/>
          <w:iCs/>
          <w:kern w:val="2"/>
          <w:sz w:val="22"/>
          <w:szCs w:val="22"/>
          <w:lang w:eastAsia="en-US"/>
          <w14:ligatures w14:val="standardContextual"/>
        </w:rPr>
        <w:t>. attēls</w:t>
      </w:r>
      <w:r w:rsidRPr="00307028">
        <w:rPr>
          <w:rFonts w:eastAsiaTheme="minorHAnsi" w:cstheme="minorBidi"/>
          <w:b/>
          <w:bCs/>
          <w:kern w:val="2"/>
          <w:sz w:val="22"/>
          <w:szCs w:val="22"/>
          <w:lang w:eastAsia="en-US"/>
          <w14:ligatures w14:val="standardContextual"/>
        </w:rPr>
        <w:t xml:space="preserve"> DRR “Skolu īpatsvars, kuras ir iesaistītas Veselību veicinošo skolu kustībā” plāna un izpildes dinamika (procentos)</w:t>
      </w:r>
    </w:p>
    <w:p w14:paraId="0BBBDC68" w14:textId="77777777" w:rsidR="00FD7666" w:rsidRPr="00307028" w:rsidRDefault="00FD7666" w:rsidP="007261A1">
      <w:pPr>
        <w:spacing w:line="259" w:lineRule="auto"/>
        <w:jc w:val="center"/>
        <w:rPr>
          <w:rFonts w:eastAsiaTheme="minorHAnsi" w:cstheme="minorBidi"/>
          <w:kern w:val="2"/>
          <w:lang w:eastAsia="en-US"/>
          <w14:ligatures w14:val="standardContextual"/>
        </w:rPr>
      </w:pPr>
      <w:r w:rsidRPr="00307028">
        <w:rPr>
          <w:rFonts w:eastAsiaTheme="minorHAnsi" w:cstheme="minorBidi"/>
          <w:noProof/>
          <w:kern w:val="2"/>
          <w:lang w:eastAsia="en-US"/>
          <w14:ligatures w14:val="standardContextual"/>
        </w:rPr>
        <w:drawing>
          <wp:inline distT="0" distB="0" distL="0" distR="0" wp14:anchorId="47D3B7A6" wp14:editId="20392E2D">
            <wp:extent cx="5492750" cy="2554605"/>
            <wp:effectExtent l="0" t="0" r="0" b="0"/>
            <wp:docPr id="105198156" name="Picture 9"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8156" name="Picture 9" descr="A graph with numbers and a line&#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92750" cy="2554605"/>
                    </a:xfrm>
                    <a:prstGeom prst="rect">
                      <a:avLst/>
                    </a:prstGeom>
                    <a:noFill/>
                  </pic:spPr>
                </pic:pic>
              </a:graphicData>
            </a:graphic>
          </wp:inline>
        </w:drawing>
      </w:r>
    </w:p>
    <w:p w14:paraId="41034657" w14:textId="77777777" w:rsidR="00FD7666" w:rsidRPr="00307028" w:rsidRDefault="00FD7666" w:rsidP="00FD7666">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Jāatzīmē, ka šajā sadaļā tika atspoguļoti tikai daži piemēri, kas izkristalizējas, aplūkojot VM DRR un budžeta apakšprogrammu finansiālos rādītājus. VM DRR kopējā tendence ir tāda, ka ne visi rādītāji spēj atspoguļot sasniedzamos mērķus un piešķirtā finansējuma efektīvu un pamatotu izlietojumu. Vairumam DRR plānotās vērtības nav mainītas vairākus gadus, lai arī šo DRR faktiskā izpilde norāda uz nepieciešamību pārdomāt plānoto vērtību pamatotību. Tāpat, ņemot vērā to, ka VM budžets kopš 2018. gada ir gandrīz dubultojies, un finansējuma pieaugums atsevišķās budžeta apakšprogrammās ir īpaši straujš, DRR plānošana saglabājas nemainīga, līdz ar to nav skaidrs ieguldītā papildus finansējuma mērķis un nav skaidru mērījumu, kas ļautu pārliecināties par to, ka papildus finansējums ir uzlabojis sabiedrības veselības situāciju un ir ticis virzīts uz veselības nozares attīstību kopumā.</w:t>
      </w:r>
    </w:p>
    <w:p w14:paraId="35AE592A" w14:textId="77777777" w:rsidR="00FD7666" w:rsidRPr="00307028" w:rsidRDefault="00FD7666" w:rsidP="00FD7666">
      <w:pPr>
        <w:spacing w:after="120" w:line="259" w:lineRule="auto"/>
        <w:ind w:firstLine="709"/>
        <w:jc w:val="both"/>
        <w:rPr>
          <w:rFonts w:eastAsiaTheme="minorHAnsi" w:cstheme="minorBidi"/>
          <w:b/>
          <w:bCs/>
          <w:i/>
          <w:iCs/>
          <w:kern w:val="2"/>
          <w:szCs w:val="22"/>
          <w:lang w:eastAsia="en-US"/>
          <w14:ligatures w14:val="standardContextual"/>
        </w:rPr>
      </w:pPr>
      <w:r w:rsidRPr="00307028">
        <w:rPr>
          <w:rFonts w:eastAsiaTheme="minorHAnsi" w:cstheme="minorBidi"/>
          <w:b/>
          <w:bCs/>
          <w:i/>
          <w:iCs/>
          <w:kern w:val="2"/>
          <w:szCs w:val="22"/>
          <w:lang w:eastAsia="en-US"/>
          <w14:ligatures w14:val="standardContextual"/>
        </w:rPr>
        <w:t>PVO pētījums par fiskālo telpu veselības nozares finansēšanai Tadžikistānā</w:t>
      </w:r>
    </w:p>
    <w:p w14:paraId="7C9F66C3"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Šogad PVO nākusi klajā ar pētījumu par veselības nozari Tadžikistānā</w:t>
      </w:r>
      <w:r w:rsidRPr="00307028">
        <w:rPr>
          <w:rFonts w:eastAsiaTheme="minorHAnsi" w:cstheme="minorBidi"/>
          <w:kern w:val="2"/>
          <w:szCs w:val="22"/>
          <w:vertAlign w:val="superscript"/>
          <w:lang w:eastAsia="en-US"/>
          <w14:ligatures w14:val="standardContextual"/>
        </w:rPr>
        <w:footnoteReference w:id="64"/>
      </w:r>
      <w:r w:rsidRPr="00307028">
        <w:rPr>
          <w:rFonts w:eastAsiaTheme="minorHAnsi" w:cstheme="minorBidi"/>
          <w:kern w:val="2"/>
          <w:szCs w:val="22"/>
          <w:lang w:eastAsia="en-US"/>
          <w14:ligatures w14:val="standardContextual"/>
        </w:rPr>
        <w:t>. Bez ierastās informācijas par medicīnas finansējumu un pieejamajiem un nepieciešamajiem resursiem veselības aprūpes sistēmas nodrošināšanai un potenciālai uzlabošanai PVO izvirza četras iespējas fiskālās telpas palielināšanai veselības nozarē, kas, lai arī balstītas uz Tadžikistānas pieredzi, varētu tikt izmantotas vai izdiskutētas arī Latvijā.</w:t>
      </w:r>
    </w:p>
    <w:p w14:paraId="0A364420"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Pirmkārt, PVO rosina veselības nozares finansējumu izvirzīt kā galveno prioritāti visos budžeta līmeņos. Vispārējās valdības izdevumu līmenim veselības nozarei būtu jāsasniedz PVO noteikto minimumu – 12% no kopējiem izdevumiem. Tadžikistānas gadījumā īpaši stiprināma ir primārās veselības aprūpe, kas šajā valstī ir līdzatkarīga arī no reģionālajiem un pašvaldību budžetiem (atkarībā no reģiona svārstās no 24 – 71% no kopējā primārās veselības sistēmas finansējuma), līdz ar to nozares finansējuma pieaugumam jābūt solidāram no visām finansēšanas shēmā iesaistītajām pusēm.</w:t>
      </w:r>
    </w:p>
    <w:p w14:paraId="5EE027B6"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Otrkārt, Tadžikistānā pastāv sistēma, kas paredz daļu sociālā nodokļa novirzīt veselības nozares finansēšanai. PVO to norāda kā vienu no metodēm finansējuma palielināšanai, tomēr vērš uzmanību, ka sociālā nodokļa daļas izmantošana veselības aprūpes finansēšanai nodrošina tikai ļoti mazu daļu no nepieciešamā finansējuma. Tadžikistānas gadījumā 5% no sociālā nodokļa ieņēmumiem būtu tikai 3,3% no kopējā veselības budžeta 2020. gadā. Līdz ar to PVO norāda, ka sociālā nodokļa daļas palielināšana, kas tiek novirzīta veselības aprūpei, var rast </w:t>
      </w:r>
      <w:r w:rsidRPr="00307028">
        <w:rPr>
          <w:rFonts w:eastAsiaTheme="minorHAnsi" w:cstheme="minorBidi"/>
          <w:kern w:val="2"/>
          <w:szCs w:val="22"/>
          <w:lang w:eastAsia="en-US"/>
          <w14:ligatures w14:val="standardContextual"/>
        </w:rPr>
        <w:lastRenderedPageBreak/>
        <w:t>papildus līdzekļus, bet tie tik un tā būs tikai maza daļa no kopējām vajadzībām. Tāpat jāņem vērā, ka sociālā nodokļa ieņēmumi ir tiešā veidā atkarīgi no nodarbinātības un darba tirgū esošo indivīdu ienākumu līmeņa, līdz ar to šis ieņēmumu avots var būt ļoti mainīgs, tādējādi neļaujot plānot garantēto finansējuma daļu veselības aprūpei vidējā termiņā un ilgtermiņā.</w:t>
      </w:r>
    </w:p>
    <w:p w14:paraId="586051C6" w14:textId="77777777" w:rsidR="00FD7666" w:rsidRPr="00307028" w:rsidRDefault="00FD7666" w:rsidP="00FD7666">
      <w:pPr>
        <w:spacing w:after="120" w:line="259" w:lineRule="auto"/>
        <w:ind w:firstLine="709"/>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Treškārt, pārskatāms jautājums ir par veselības nodokli. Ar veselības nodokli saprotams nodoklis (Latvijas gadījumā – akcīzes nodoklis), kas ir jāsamaksā, iegādājoties produktus, kas ir kaitīgi patērētāja veselībai (tabaka, alkohols, saldumi u.tml.). Šāda nodokļa esamība panāk efektu divos virzienos – palielina ieņēmumus veselības nozares budžetam, kā arī samazina saslimšanu risku no attiecīgo produktu lietošanas, prezumējot, ka nodokļa dēļ šo produktu patēriņš populācijā samazinās. Izvērtējot kaitīgo produktu patēriņa tendences, iespējams palielināt veselības nodokli šo produktu grupām. Tā rezultātā, piemēram, Tadžikistānā saskaņā ar PVO aprēķiniem varētu finansēt 11,7% no kopējā veselības nozares budžeta. Tajā pašā laikā jāņem vērā, ka budžeta veidošanas principi katrā valstī ir atšķirīgi, jo ne visās valstīs ieņēmumi no veselības nodokļa vai ekvivalentiem nodokļu risinājumiem tiek automātiski pārdalīti veselības nozarei, tā vietā par šī nodokļa ieņēmumu izlietojumu lemjot kontekstā ar kopējiem valsts budžeta ieņēmumiem un izdevumiem.</w:t>
      </w:r>
    </w:p>
    <w:p w14:paraId="3998EC4A" w14:textId="1C0DBA0F" w:rsidR="00FD7666" w:rsidRPr="00307028" w:rsidRDefault="0037172A" w:rsidP="0037172A">
      <w:pPr>
        <w:spacing w:after="120" w:line="259" w:lineRule="auto"/>
        <w:ind w:firstLine="709"/>
        <w:jc w:val="both"/>
        <w:rPr>
          <w:rFonts w:eastAsiaTheme="minorHAnsi" w:cstheme="minorBidi"/>
          <w:kern w:val="2"/>
          <w:szCs w:val="22"/>
          <w:lang w:eastAsia="en-US"/>
          <w14:ligatures w14:val="standardContextual"/>
        </w:rPr>
      </w:pPr>
      <w:r w:rsidRPr="00307028">
        <w:rPr>
          <w:noProof/>
          <w:lang w:eastAsia="en-US"/>
        </w:rPr>
        <mc:AlternateContent>
          <mc:Choice Requires="wps">
            <w:drawing>
              <wp:anchor distT="0" distB="0" distL="114300" distR="114300" simplePos="0" relativeHeight="251755520" behindDoc="0" locked="0" layoutInCell="1" allowOverlap="1" wp14:anchorId="448D49AF" wp14:editId="55A7878C">
                <wp:simplePos x="0" y="0"/>
                <wp:positionH relativeFrom="margin">
                  <wp:align>left</wp:align>
                </wp:positionH>
                <wp:positionV relativeFrom="paragraph">
                  <wp:posOffset>4083685</wp:posOffset>
                </wp:positionV>
                <wp:extent cx="5762625" cy="314325"/>
                <wp:effectExtent l="0" t="0" r="9525" b="9525"/>
                <wp:wrapTopAndBottom/>
                <wp:docPr id="861042273" name="Rectangle 861042273"/>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60E8FB0C" w14:textId="4662AC0A" w:rsidR="0037172A" w:rsidRPr="00307028" w:rsidRDefault="0037172A" w:rsidP="0037172A">
                            <w:pPr>
                              <w:rPr>
                                <w:b/>
                                <w:bCs/>
                                <w:color w:val="000000" w:themeColor="text1"/>
                              </w:rPr>
                            </w:pPr>
                            <w:r w:rsidRPr="00307028">
                              <w:rPr>
                                <w:b/>
                                <w:bCs/>
                              </w:rPr>
                              <w:t>SECINĀJUMI UN PRIEKŠLIKUMI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D49AF" id="Rectangle 861042273" o:spid="_x0000_s1040" style="position:absolute;left:0;text-align:left;margin-left:0;margin-top:321.55pt;width:453.75pt;height:24.7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" fillcolor="#85c2e0" stroked="f" strokeweight="2pt">
                <v:textbox>
                  <w:txbxContent>
                    <w:p w14:paraId="60E8FB0C" w14:textId="4662AC0A" w:rsidR="0037172A" w:rsidRPr="00307028" w:rsidRDefault="0037172A" w:rsidP="0037172A">
                      <w:pPr>
                        <w:rPr>
                          <w:b/>
                          <w:bCs/>
                          <w:color w:val="000000" w:themeColor="text1"/>
                        </w:rPr>
                      </w:pPr>
                      <w:r w:rsidRPr="00307028">
                        <w:rPr>
                          <w:b/>
                          <w:bCs/>
                        </w:rPr>
                        <w:t>SECINĀJUMI UN PRIEKŠLIKUMI</w:t>
                      </w:r>
                    </w:p>
                  </w:txbxContent>
                </v:textbox>
                <w10:wrap type="topAndBottom" anchorx="margin"/>
              </v:rect>
            </w:pict>
          </mc:Fallback>
        </mc:AlternateContent>
      </w:r>
      <w:r w:rsidR="00FD7666" w:rsidRPr="00307028">
        <w:rPr>
          <w:rFonts w:eastAsiaTheme="minorHAnsi" w:cstheme="minorBidi"/>
          <w:kern w:val="2"/>
          <w:szCs w:val="22"/>
          <w:lang w:eastAsia="en-US"/>
          <w14:ligatures w14:val="standardContextual"/>
        </w:rPr>
        <w:t xml:space="preserve">Ceturtkārt, PVO uzsver efektīvāku finansējuma izlietojumu stacionārajā veselības aprūpē. PVO norāda, ka visām valstīm nepieciešams izmantot pieejamos resursus pēc iespējas efektīvāk – pēc būtības ievērot šajā sadaļā jau minēto </w:t>
      </w:r>
      <w:r w:rsidR="00FD7666" w:rsidRPr="00307028">
        <w:rPr>
          <w:rFonts w:eastAsiaTheme="minorHAnsi" w:cstheme="minorBidi"/>
          <w:i/>
          <w:iCs/>
          <w:kern w:val="2"/>
          <w:szCs w:val="22"/>
          <w:lang w:eastAsia="en-US"/>
          <w14:ligatures w14:val="standardContextual"/>
        </w:rPr>
        <w:t>value-for-money</w:t>
      </w:r>
      <w:r w:rsidR="00FD7666" w:rsidRPr="00307028">
        <w:rPr>
          <w:rFonts w:eastAsiaTheme="minorHAnsi" w:cstheme="minorBidi"/>
          <w:kern w:val="2"/>
          <w:szCs w:val="22"/>
          <w:lang w:eastAsia="en-US"/>
          <w14:ligatures w14:val="standardContextual"/>
        </w:rPr>
        <w:t xml:space="preserve"> principu. Tadžikistānas gadījumā tiek uzsvērta pārlieku liela hospitalizācijas prioritizācija. Finansiālu ieguvumu iespējams iegūt efektīvāk plānojot veselības aprūpes sistēmu kā vienu kopēju veselumu, proti, izstrādājot rīcības mehānismus, kāda veida ārstniecības pasākumi veicami katras diagnozes gadījumā. PVO norāda, ka Eiropa fokusējas uz stacionārās veselības aprūpes resursu ekonomiju, palielinot primārās veselības aprūpes nozīmi. Citiem vārdiem sakot izstrādājami algoritmi, kuru rezultātā daudzu diagnožu gadījumos pacients saņem kvalitatīvu un atbilstošu veselības aprūpi jau primārajā veselības aprūpes līmenī, izvairoties no nevajadzīgas hospitalizācijas (kā piemēru ar aptuveni 20% novēršamu hospitalizāciju PVO min arī Latviju). Samazinot hospitalizācijas apmērus, racionālāk būtu izmantojams medicīnas personāla resurss, novirzot to ambulatoro pakalpojumu sniegšanai. Arī zema slimnīcas gultu noslodze tiek uzskatīta par neefektīvu resursu izmantošanu. To pašu var attiecināt arī uz statistiku par gultasdienu skaitu, proti, to, cik ilgi pacients tiek paturēts slimnīcā. PVO norāda, ka tā ir starptautiska tendence, kad pacients slimnīcā uzturas ilgāk nekā nepieciešams, kaut arī medicīnas nozares attīstības rezultātā jaunas diagnosticēšanas un ārstēšanas metodes ļautu samazināt gultasdienu skaitu. Tadžikistānas gadījumā tiek uzsvērta arī lielā atšķirība starp slimnīcām reģionu griezumā, proti, slimnīcas ārpus apdzīvotākajiem valsts reģioniem ir ar daudz mazāku noslodzi, līdz ar to lieki un neefektīvi tiek izmantoti gan finanšu, gan materiāli, gan personāla resursi.</w:t>
      </w:r>
    </w:p>
    <w:p w14:paraId="3AAD9CD7" w14:textId="1313A1C6" w:rsidR="00FD7666" w:rsidRPr="00307028" w:rsidRDefault="00FD7666" w:rsidP="00070D5F">
      <w:pPr>
        <w:numPr>
          <w:ilvl w:val="0"/>
          <w:numId w:val="28"/>
        </w:numPr>
        <w:spacing w:after="120" w:line="259" w:lineRule="auto"/>
        <w:ind w:left="709" w:hanging="425"/>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Veselības nozares finansējums no valsts budžeta līdzekļiem Latvijā salīdzinājumā ar citām ES dalībvalstīm joprojām ir uzskatāms par zemu. Tajā pašā laikā lielais</w:t>
      </w:r>
      <w:r w:rsidR="007261A1" w:rsidRPr="00307028">
        <w:rPr>
          <w:rFonts w:eastAsiaTheme="minorHAnsi" w:cstheme="minorBidi"/>
          <w:kern w:val="2"/>
          <w:szCs w:val="22"/>
          <w:lang w:eastAsia="en-US"/>
          <w14:ligatures w14:val="standardContextual"/>
        </w:rPr>
        <w:t xml:space="preserve"> </w:t>
      </w:r>
      <w:r w:rsidRPr="00307028">
        <w:rPr>
          <w:rFonts w:eastAsiaTheme="minorHAnsi" w:cstheme="minorBidi"/>
          <w:i/>
          <w:iCs/>
          <w:kern w:val="2"/>
          <w:szCs w:val="22"/>
          <w:lang w:eastAsia="en-US"/>
          <w14:ligatures w14:val="standardContextual"/>
        </w:rPr>
        <w:t>“out of pocket”</w:t>
      </w:r>
      <w:r w:rsidRPr="00307028">
        <w:rPr>
          <w:rFonts w:eastAsiaTheme="minorHAnsi" w:cstheme="minorBidi"/>
          <w:kern w:val="2"/>
          <w:szCs w:val="22"/>
          <w:lang w:eastAsia="en-US"/>
          <w14:ligatures w14:val="standardContextual"/>
        </w:rPr>
        <w:t xml:space="preserve"> finansējuma avota īpatsvars nodrošina to, ka naudas apjoms veselības nozarē kopumā (gan publiskajā, gan privātajā) ir vienā līmenī ar pārējām Baltijas valstīm un piedzīvo lielāko pieaugumu starp OECD dalībvalstīm. Tajā pašā laikā publiskajā telpā daudzkārt izskanējis, ka VM nav informācijas par privātajā sektorā veiktajiem medicīnas pakalpojumiem. Līdz ar to ir turpināms darbs pie medicīnas datu kvalitātes jautājuma, lai nozares politikas veidotājiem būtu pilnvērtīga informācija par sabiedrības </w:t>
      </w:r>
      <w:r w:rsidRPr="00307028">
        <w:rPr>
          <w:rFonts w:eastAsiaTheme="minorHAnsi" w:cstheme="minorBidi"/>
          <w:kern w:val="2"/>
          <w:szCs w:val="22"/>
          <w:lang w:eastAsia="en-US"/>
          <w14:ligatures w14:val="standardContextual"/>
        </w:rPr>
        <w:lastRenderedPageBreak/>
        <w:t>veselības rādītājiem un veiktajām medicīniskajām manipulācijām un, balstoties uz šo informāciju, būtu iespējams mērķtiecīgāk un efektīvāk administrēt valsts budžeta finansējuma izlietojumu.</w:t>
      </w:r>
    </w:p>
    <w:p w14:paraId="3166B94D" w14:textId="77777777" w:rsidR="00FD7666" w:rsidRPr="00307028" w:rsidRDefault="00FD7666" w:rsidP="00070D5F">
      <w:pPr>
        <w:numPr>
          <w:ilvl w:val="0"/>
          <w:numId w:val="28"/>
        </w:numPr>
        <w:spacing w:after="120" w:line="259" w:lineRule="auto"/>
        <w:ind w:left="709" w:hanging="425"/>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 xml:space="preserve">Statistikā par nāves gadījumiem 15 līdz 49 gadu vecumā, kuras var klasificēt kā priekšlaicīgas nāves, Latvija ir pēdējā vietā ES. Nepieciešams vērtēt šādas statistikas iemeslus, kā arī definēt veicamās darbības, lai mazinātu priekšlaicīgas nāves biežumu. Tāpat izvērtējams ir jautājums par </w:t>
      </w:r>
      <w:r w:rsidRPr="00307028">
        <w:rPr>
          <w:rFonts w:eastAsiaTheme="minorHAnsi" w:cstheme="minorBidi"/>
          <w:kern w:val="2"/>
          <w:lang w:eastAsia="en-US"/>
          <w14:ligatures w14:val="standardContextual"/>
        </w:rPr>
        <w:t>kardiomiopātijas jeb miokarda infarkta diagnozes kā nāves cēloņa lielo īpatsvaru Latvijā, kur tas ir lielāks nekā jebkurā citā ES dalībvalstī, proti, jāvērtē cēloņi (nepietiekams preventīvo izmeklējumu skaits, nepareiza medikamentu lietošana u.tml.) un jāveido rīcības plāns priekšlaicīgu nāvju novēršanai tajās diagnožu grupās, kurās ar mērķtiecīgu, laicīgu un profesionālu rīcību tās ir iespējams novērst.</w:t>
      </w:r>
    </w:p>
    <w:p w14:paraId="4CDF869B" w14:textId="7B64C270" w:rsidR="00FD7666" w:rsidRPr="00307028" w:rsidRDefault="00FD7666" w:rsidP="00070D5F">
      <w:pPr>
        <w:numPr>
          <w:ilvl w:val="0"/>
          <w:numId w:val="28"/>
        </w:numPr>
        <w:spacing w:after="120" w:line="259" w:lineRule="auto"/>
        <w:ind w:left="709" w:hanging="425"/>
        <w:jc w:val="both"/>
        <w:rPr>
          <w:rFonts w:eastAsiaTheme="minorHAnsi" w:cstheme="minorBidi"/>
          <w:kern w:val="2"/>
          <w:szCs w:val="22"/>
          <w:lang w:eastAsia="en-US"/>
          <w14:ligatures w14:val="standardContextual"/>
        </w:rPr>
      </w:pPr>
      <w:r w:rsidRPr="00307028">
        <w:rPr>
          <w:rFonts w:eastAsiaTheme="minorHAnsi" w:cstheme="minorBidi"/>
          <w:kern w:val="2"/>
          <w:lang w:eastAsia="en-US"/>
          <w14:ligatures w14:val="standardContextual"/>
        </w:rPr>
        <w:t>Ārstu un jo sevišķi māsu trūkums Latvijā ir statistiski acīmredzams. Ārstu vidējais vecums Latvijā ir augsts, līdz ar to situācija ar ārstniecības personālu var pasliktināties. Absolventu skaits ar iegūtu māsas specialitāti ir aptuveni vidējā ES līmenī, taču, ņemot vērā kritiski zemo māsu skaitu, kas strādā veselības nozarē, absolventu skaitu nepieciešams kāpināt. Savukārt absolventu skaits ar iegūtu ārsta specialitāti Latvijā 2021. gadā ir bijis lielākais starp visām ES dalībvalstīm, kas nekorelē ar ārstu skaitu, kas faktiski tiek nodarbināti Latvijas medicīnas sistēmā. Var izteikt pieņēmumu, ka liels specialitāti ieguvušo īpatsvars ir uz ārzemju studentu rēķina, kā arī tā iemesla dēļ, ka vietējie speciālisti pēc studiju beigšanas dodas darbā uz ārzemēm. Ņemot vērā, ka medicīnas izglītībā ieguldītais valsts budžeta finansējums ir pietiekami augsts, veselības nozares politikas veidotājiem sadarbībā ar izglītības politikas ekspertiem jārod risinājums par apmācīto medicīnas speciālistu noturēšanu Latvijas darba tirgū.</w:t>
      </w:r>
    </w:p>
    <w:p w14:paraId="776FF1DE" w14:textId="4C075D78" w:rsidR="00907E00" w:rsidRPr="007760F6" w:rsidRDefault="00FD7666" w:rsidP="00907E00">
      <w:pPr>
        <w:numPr>
          <w:ilvl w:val="0"/>
          <w:numId w:val="28"/>
        </w:numPr>
        <w:spacing w:after="120" w:line="259" w:lineRule="auto"/>
        <w:ind w:left="709" w:hanging="425"/>
        <w:jc w:val="both"/>
        <w:rPr>
          <w:rFonts w:eastAsiaTheme="minorHAnsi" w:cstheme="minorBidi"/>
          <w:kern w:val="2"/>
          <w:szCs w:val="22"/>
          <w:lang w:eastAsia="en-US"/>
          <w14:ligatures w14:val="standardContextual"/>
        </w:rPr>
      </w:pPr>
      <w:r w:rsidRPr="00307028">
        <w:rPr>
          <w:rFonts w:eastAsiaTheme="minorHAnsi" w:cstheme="minorBidi"/>
          <w:kern w:val="2"/>
          <w:lang w:eastAsia="en-US"/>
          <w14:ligatures w14:val="standardContextual"/>
        </w:rPr>
        <w:t>VM budžeta programmās un apakšprogrammās ietvertie DRR ļoti daudzos gadījumos nesniedz priekšstatu par piešķirtā finansējuma izlietojumu. Plānotās vērtības vairākos gadījumos ir pieticīgas un regulāri ir mazāki nekā faktiskā izpilde. Tāpat plānotās vērtības netiek pārskatītas vairāku gadu garumā, proti, netiek pielāgotas izmaiņām nozarē un piešķirtā finansējuma pieaugumam (piemēram, pie piecu gadu laikā dubultota finansējuma plānotās vērtības un faktiskā izpilde nemainās). Finansējuma izlietošanas efektivitāte īpaši neskaidra ir attiecībā uz stacionāro veselības aprūpi, kas saņem vismaz trešdaļu no kopējā VM budžeta, tajā pašā laikā izvirzītie DRR (to pašu var attiecināt arī uz politikas rezultatīvajiem rādītājiem) neļauj analizēt VM īstenotās politikas rezultātus un ietekmi uz sabiedrības veselību. Līdz ar to VM rūpīgi jāizvērtē iespēja ieviest jaunus rezultatīvos rādītājus, kā arī mērķtiecīgāk plānot jau esošos DRR.</w:t>
      </w:r>
    </w:p>
    <w:p w14:paraId="7BEBF782" w14:textId="77777777" w:rsidR="001717A1" w:rsidRPr="00307028" w:rsidRDefault="001717A1" w:rsidP="00907E00"/>
    <w:p w14:paraId="464B09EB" w14:textId="7B4A213F" w:rsidR="00C74069" w:rsidRPr="00307028" w:rsidRDefault="00DF3A12" w:rsidP="0037172A">
      <w:pPr>
        <w:pStyle w:val="Heading3"/>
        <w:ind w:left="0"/>
      </w:pPr>
      <w:bookmarkStart w:id="154" w:name="_Toc142492931"/>
      <w:r w:rsidRPr="00307028">
        <w:t xml:space="preserve">3.2. </w:t>
      </w:r>
      <w:r w:rsidR="00C74069" w:rsidRPr="00307028">
        <w:t>Izglītības nozares atsevišķu finansēšanas politiku analīze</w:t>
      </w:r>
      <w:bookmarkStart w:id="155" w:name="_Hlk139553360"/>
      <w:bookmarkEnd w:id="154"/>
    </w:p>
    <w:p w14:paraId="6903EDE7" w14:textId="5CABB708" w:rsidR="00DF3A12" w:rsidRPr="00307028" w:rsidRDefault="00DF3A12" w:rsidP="00070F9C">
      <w:pPr>
        <w:pStyle w:val="Heading5"/>
      </w:pPr>
      <w:r w:rsidRPr="00307028">
        <w:t xml:space="preserve">3.2.1. </w:t>
      </w:r>
      <w:r w:rsidR="00735085" w:rsidRPr="00307028">
        <w:t>Augstākās izglītības izvērtējums</w:t>
      </w:r>
    </w:p>
    <w:p w14:paraId="1AD44A28" w14:textId="5B957AFC"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bookmarkStart w:id="156" w:name="_Hlk141262758"/>
      <w:r w:rsidRPr="00307028">
        <w:rPr>
          <w:rFonts w:eastAsiaTheme="minorHAnsi" w:cstheme="minorBidi"/>
          <w:kern w:val="2"/>
          <w:szCs w:val="22"/>
          <w:lang w:eastAsia="en-US"/>
          <w14:ligatures w14:val="standardContextual"/>
        </w:rPr>
        <w:t>2019. gada izdevumu pārskatīšanas ietvaros</w:t>
      </w:r>
      <w:r w:rsidR="00A673DB" w:rsidRPr="00307028">
        <w:rPr>
          <w:rStyle w:val="FootnoteReference"/>
          <w:rFonts w:eastAsiaTheme="minorHAnsi" w:cstheme="minorBidi"/>
          <w:kern w:val="2"/>
          <w:szCs w:val="22"/>
          <w:lang w:eastAsia="en-US"/>
          <w14:ligatures w14:val="standardContextual"/>
        </w:rPr>
        <w:footnoteReference w:id="65"/>
      </w:r>
      <w:r w:rsidRPr="00307028">
        <w:rPr>
          <w:rFonts w:eastAsiaTheme="minorHAnsi" w:cstheme="minorBidi"/>
          <w:kern w:val="2"/>
          <w:szCs w:val="22"/>
          <w:lang w:eastAsia="en-US"/>
          <w14:ligatures w14:val="standardContextual"/>
        </w:rPr>
        <w:t xml:space="preserve"> tika veikts augstākās izglītības nozares izvērtējums. Visaptverošas analīzes ietvaros tika vērtēts studiju vietu skaits un to izmaksas, valsts budžeta finansēto studiju vietu skaits un piepildījums studiju programmās, kā arī šo programmu izmaksas un dublēšanās. Tāpat tika analizēti dati par valsts dibinātajās augstskolās un koledžās studējošajiem (imatrikulētie, studējošie, atskaitītie un absolvējušie studenti).</w:t>
      </w:r>
    </w:p>
    <w:p w14:paraId="5D2D8DB6"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lastRenderedPageBreak/>
        <w:t>Minētā izvērtējuma rezultātā 2019. gada 20. augusta MK sēdes protokola Nr. 35 26. </w:t>
      </w:r>
      <w:r w:rsidRPr="00307028">
        <w:rPr>
          <w:rFonts w:eastAsiaTheme="minorHAnsi"/>
          <w:kern w:val="2"/>
          <w:szCs w:val="22"/>
          <w:lang w:eastAsia="en-US"/>
          <w14:ligatures w14:val="standardContextual"/>
        </w:rPr>
        <w:t>§</w:t>
      </w:r>
      <w:r w:rsidRPr="00307028">
        <w:rPr>
          <w:rFonts w:eastAsiaTheme="minorHAnsi" w:cstheme="minorBidi"/>
          <w:kern w:val="2"/>
          <w:szCs w:val="22"/>
          <w:lang w:eastAsia="en-US"/>
          <w14:ligatures w14:val="standardContextual"/>
        </w:rPr>
        <w:t xml:space="preserve"> IZM tika dota virkne uzdevumu ar mērķi ieviest uzlabojumus augstākās izglītības pārvaldībā un procesu organizēšanā. Atsevišķi no uzdevumiem uzskatāmi par izpildītiem, kamēr pie dažu uzdevumu izpildes darbs vēl turpinās, jo nepieciešamas izmaiņas gan Augstskolu likumā gan citos jomu regulējošajos normatīvajos aktos.</w:t>
      </w:r>
    </w:p>
    <w:bookmarkEnd w:id="156"/>
    <w:p w14:paraId="37A26D43"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Lai valsts budžeta studiju vietās tiktu uzņemti motivēti un studēt griboši audzēkņi, tādējādi mazinot iespējamo no studijām atskaitīto skaitu, IZM tika uzdots pārskatīt nosacījumus studentu uzņemšanai augstākās izglītības studiju programmās</w:t>
      </w:r>
      <w:r w:rsidRPr="00307028">
        <w:rPr>
          <w:rFonts w:eastAsiaTheme="minorHAnsi" w:cstheme="minorBidi"/>
          <w:kern w:val="2"/>
          <w:szCs w:val="22"/>
          <w:vertAlign w:val="superscript"/>
          <w:lang w:eastAsia="en-US"/>
          <w14:ligatures w14:val="standardContextual"/>
        </w:rPr>
        <w:footnoteReference w:id="66"/>
      </w:r>
      <w:r w:rsidRPr="00307028">
        <w:rPr>
          <w:rFonts w:eastAsiaTheme="minorHAnsi" w:cstheme="minorBidi"/>
          <w:kern w:val="2"/>
          <w:szCs w:val="22"/>
          <w:lang w:eastAsia="en-US"/>
          <w14:ligatures w14:val="standardContextual"/>
        </w:rPr>
        <w:t>. IZM redzējums paredz pakāpenisku minimālā sasniedzamā procentu sliekšņa paaugstināšanu centralizētajos eksāmenos, lai iegūtu vidējās izglītības atestātu.</w:t>
      </w:r>
    </w:p>
    <w:p w14:paraId="6D467DA0"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Attiecībā uz uzdevumu par izmaiņām studiju finansēšanas principos</w:t>
      </w:r>
      <w:r w:rsidRPr="00307028">
        <w:rPr>
          <w:rFonts w:eastAsiaTheme="minorHAnsi" w:cstheme="minorBidi"/>
          <w:kern w:val="2"/>
          <w:szCs w:val="22"/>
          <w:vertAlign w:val="superscript"/>
          <w:lang w:eastAsia="en-US"/>
          <w14:ligatures w14:val="standardContextual"/>
        </w:rPr>
        <w:footnoteReference w:id="67"/>
      </w:r>
      <w:r w:rsidRPr="00307028">
        <w:rPr>
          <w:rFonts w:eastAsiaTheme="minorHAnsi" w:cstheme="minorBidi"/>
          <w:kern w:val="2"/>
          <w:szCs w:val="22"/>
          <w:lang w:eastAsia="en-US"/>
          <w14:ligatures w14:val="standardContextual"/>
        </w:rPr>
        <w:t>, IZM turpina darbu un šobrīd piedāvā ieviest augstskolu institucionālā finansējuma modeli, par ko plašāk minēts šī informatīvā ziņojuma 1. nodaļā.</w:t>
      </w:r>
    </w:p>
    <w:p w14:paraId="444E5E9B"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Doktorantūras finansēšanas jomā</w:t>
      </w:r>
      <w:r w:rsidRPr="00307028">
        <w:rPr>
          <w:rFonts w:eastAsiaTheme="minorHAnsi" w:cstheme="minorBidi"/>
          <w:kern w:val="2"/>
          <w:szCs w:val="22"/>
          <w:vertAlign w:val="superscript"/>
          <w:lang w:eastAsia="en-US"/>
          <w14:ligatures w14:val="standardContextual"/>
        </w:rPr>
        <w:footnoteReference w:id="68"/>
      </w:r>
      <w:r w:rsidRPr="00307028">
        <w:rPr>
          <w:rFonts w:eastAsiaTheme="minorHAnsi" w:cstheme="minorBidi"/>
          <w:kern w:val="2"/>
          <w:szCs w:val="22"/>
          <w:lang w:eastAsia="en-US"/>
          <w14:ligatures w14:val="standardContextual"/>
        </w:rPr>
        <w:t xml:space="preserve"> IZM plāno, ka no 2023. gada 1. septembra augstākās izglītības iestādes būs tiesīgas uzsākt doktorantūras skolu izveidi un doktorantūras īstenošanu saskaņā ar jauno doktorantūras modeli. Jaunā modeļa ieviešana saskaņā ar 2020. gada 25. jūnijā ar MK rīkojumu Nr. 345 apstiprināto konceptuālo ziņojumu “Par jauna doktorantūras modeļa ieviešanu Latvijā” noritēs līdz 2026. gadam.</w:t>
      </w:r>
    </w:p>
    <w:p w14:paraId="0D904757"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Darbs pie studiju programmu skaita samazinājuma</w:t>
      </w:r>
      <w:r w:rsidRPr="00307028">
        <w:rPr>
          <w:rFonts w:eastAsiaTheme="minorHAnsi" w:cstheme="minorBidi"/>
          <w:kern w:val="2"/>
          <w:szCs w:val="22"/>
          <w:vertAlign w:val="superscript"/>
          <w:lang w:eastAsia="en-US"/>
          <w14:ligatures w14:val="standardContextual"/>
        </w:rPr>
        <w:footnoteReference w:id="69"/>
      </w:r>
      <w:r w:rsidRPr="00307028">
        <w:rPr>
          <w:rFonts w:eastAsiaTheme="minorHAnsi" w:cstheme="minorBidi"/>
          <w:kern w:val="2"/>
          <w:szCs w:val="22"/>
          <w:lang w:eastAsia="en-US"/>
          <w14:ligatures w14:val="standardContextual"/>
        </w:rPr>
        <w:t xml:space="preserve"> turpinās. Īstenoto projektu mērķi paredz 217 slēgtas studiju programmas līdz 2023. gada beigām. Vairākās studiju programmās vairs netiek uzņemti jauni studējošie, bet doktorantūras līmenī tiek veidotas studiju programmas, ko kopīgi īsteno vismaz divas augstākās izglītības iespējas, tādējādi konsolidējot katras iestādes intelektuālos un materiālos resursus.</w:t>
      </w:r>
    </w:p>
    <w:p w14:paraId="730D7EB6" w14:textId="77777777"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bookmarkStart w:id="157" w:name="_Hlk141263160"/>
      <w:r w:rsidRPr="00307028">
        <w:rPr>
          <w:rFonts w:eastAsiaTheme="minorHAnsi" w:cstheme="minorBidi"/>
          <w:kern w:val="2"/>
          <w:szCs w:val="22"/>
          <w:lang w:eastAsia="en-US"/>
          <w14:ligatures w14:val="standardContextual"/>
        </w:rPr>
        <w:t>Lai izvērtētu izdevumu pārskatīšanas ietvaros sniegto uzdevumu izpildi un izdarīto secinājumu atspoguļojumu statistiskā griezumā, IZM tika lūgts sagatavot augstākās izglītības statistikas izvērtējumu, kā pamatu izmantojot 2019. gada izdevumu pārskatīšanas informatīvajā ziņojumā FM pielietoto metodiku</w:t>
      </w:r>
      <w:bookmarkEnd w:id="157"/>
      <w:r w:rsidRPr="00307028">
        <w:rPr>
          <w:rFonts w:eastAsiaTheme="minorHAnsi" w:cstheme="minorBidi"/>
          <w:kern w:val="2"/>
          <w:szCs w:val="22"/>
          <w:lang w:eastAsia="en-US"/>
          <w14:ligatures w14:val="standardContextual"/>
        </w:rPr>
        <w:t>. IZM iesniedza pieprasīto informāciju, kas atspoguļota šīs nodaļas turpinājumā.</w:t>
      </w:r>
    </w:p>
    <w:p w14:paraId="67C30F77" w14:textId="58C345F5" w:rsidR="00C27709" w:rsidRPr="00307028" w:rsidRDefault="00C27709" w:rsidP="00C27709">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Vērtējot studentu skaita tendences, novērojams, ka tās turpina samazināties. Par valsts budžeta finansējumu studējošo skaits saglabājas samērā konstantā līmenī (32 282 studējošie 2020./2021. mācību gada sākumā pret 34 203 studējošajiem 2009./2010. mācību gada sākumā), savukārt par personīgo finansējumu studējošo skaits 12 mācību gad</w:t>
      </w:r>
      <w:r w:rsidR="00A2335C" w:rsidRPr="00307028">
        <w:rPr>
          <w:rFonts w:eastAsiaTheme="minorHAnsi" w:cstheme="minorBidi"/>
          <w:kern w:val="2"/>
          <w:szCs w:val="22"/>
          <w:lang w:eastAsia="en-US"/>
          <w14:ligatures w14:val="standardContextual"/>
        </w:rPr>
        <w:t>u</w:t>
      </w:r>
      <w:r w:rsidRPr="00307028">
        <w:rPr>
          <w:rFonts w:eastAsiaTheme="minorHAnsi" w:cstheme="minorBidi"/>
          <w:kern w:val="2"/>
          <w:szCs w:val="22"/>
          <w:lang w:eastAsia="en-US"/>
          <w14:ligatures w14:val="standardContextual"/>
        </w:rPr>
        <w:t xml:space="preserve"> periodā samazinājies par aptuveni 40% (46 266 maksas studiju vietās studējošie 2020./2021. mācību gada sākumā pret 78 352 studējošajiem 2009./2010. mācību gada sākumā) (Attēls Nr. </w:t>
      </w:r>
      <w:r w:rsidR="00A673DB" w:rsidRPr="00307028">
        <w:rPr>
          <w:rFonts w:eastAsiaTheme="minorHAnsi" w:cstheme="minorBidi"/>
          <w:kern w:val="2"/>
          <w:szCs w:val="22"/>
          <w:lang w:eastAsia="en-US"/>
          <w14:ligatures w14:val="standardContextual"/>
        </w:rPr>
        <w:t>3.</w:t>
      </w:r>
      <w:r w:rsidRPr="00307028">
        <w:rPr>
          <w:rFonts w:eastAsiaTheme="minorHAnsi" w:cstheme="minorBidi"/>
          <w:kern w:val="2"/>
          <w:szCs w:val="22"/>
          <w:lang w:eastAsia="en-US"/>
          <w14:ligatures w14:val="standardContextual"/>
        </w:rPr>
        <w:t>2.</w:t>
      </w:r>
      <w:r w:rsidR="00A673DB" w:rsidRPr="00307028">
        <w:rPr>
          <w:rFonts w:eastAsiaTheme="minorHAnsi" w:cstheme="minorBidi"/>
          <w:kern w:val="2"/>
          <w:szCs w:val="22"/>
          <w:lang w:eastAsia="en-US"/>
          <w14:ligatures w14:val="standardContextual"/>
        </w:rPr>
        <w:t>1</w:t>
      </w:r>
      <w:r w:rsidRPr="00307028">
        <w:rPr>
          <w:rFonts w:eastAsiaTheme="minorHAnsi" w:cstheme="minorBidi"/>
          <w:kern w:val="2"/>
          <w:szCs w:val="22"/>
          <w:lang w:eastAsia="en-US"/>
          <w14:ligatures w14:val="standardContextual"/>
        </w:rPr>
        <w:t>.1.).</w:t>
      </w:r>
    </w:p>
    <w:p w14:paraId="4B4A7A8D" w14:textId="77777777" w:rsidR="00E0325B" w:rsidRDefault="00E0325B" w:rsidP="00C27709">
      <w:pPr>
        <w:spacing w:after="120" w:line="259" w:lineRule="auto"/>
        <w:jc w:val="center"/>
        <w:rPr>
          <w:rFonts w:eastAsiaTheme="minorHAnsi" w:cstheme="minorBidi"/>
          <w:b/>
          <w:bCs/>
          <w:i/>
          <w:iCs/>
          <w:kern w:val="2"/>
          <w:sz w:val="22"/>
          <w:szCs w:val="22"/>
          <w:lang w:eastAsia="en-US"/>
          <w14:ligatures w14:val="standardContextual"/>
        </w:rPr>
      </w:pPr>
    </w:p>
    <w:p w14:paraId="2329679F" w14:textId="77777777" w:rsidR="00E0325B" w:rsidRDefault="00E0325B" w:rsidP="00C27709">
      <w:pPr>
        <w:spacing w:after="120" w:line="259" w:lineRule="auto"/>
        <w:jc w:val="center"/>
        <w:rPr>
          <w:rFonts w:eastAsiaTheme="minorHAnsi" w:cstheme="minorBidi"/>
          <w:b/>
          <w:bCs/>
          <w:i/>
          <w:iCs/>
          <w:kern w:val="2"/>
          <w:sz w:val="22"/>
          <w:szCs w:val="22"/>
          <w:lang w:eastAsia="en-US"/>
          <w14:ligatures w14:val="standardContextual"/>
        </w:rPr>
      </w:pPr>
    </w:p>
    <w:p w14:paraId="6AFD1F4C" w14:textId="77777777" w:rsidR="00E0325B" w:rsidRDefault="00E0325B" w:rsidP="00C27709">
      <w:pPr>
        <w:spacing w:after="120" w:line="259" w:lineRule="auto"/>
        <w:jc w:val="center"/>
        <w:rPr>
          <w:rFonts w:eastAsiaTheme="minorHAnsi" w:cstheme="minorBidi"/>
          <w:b/>
          <w:bCs/>
          <w:i/>
          <w:iCs/>
          <w:kern w:val="2"/>
          <w:sz w:val="22"/>
          <w:szCs w:val="22"/>
          <w:lang w:eastAsia="en-US"/>
          <w14:ligatures w14:val="standardContextual"/>
        </w:rPr>
      </w:pPr>
    </w:p>
    <w:p w14:paraId="10343969" w14:textId="77777777" w:rsidR="007760F6" w:rsidRDefault="007760F6" w:rsidP="00C27709">
      <w:pPr>
        <w:spacing w:after="120" w:line="259" w:lineRule="auto"/>
        <w:jc w:val="center"/>
        <w:rPr>
          <w:rFonts w:eastAsiaTheme="minorHAnsi" w:cstheme="minorBidi"/>
          <w:b/>
          <w:bCs/>
          <w:i/>
          <w:iCs/>
          <w:kern w:val="2"/>
          <w:sz w:val="22"/>
          <w:szCs w:val="22"/>
          <w:lang w:eastAsia="en-US"/>
          <w14:ligatures w14:val="standardContextual"/>
        </w:rPr>
      </w:pPr>
    </w:p>
    <w:p w14:paraId="7A8FFEDD" w14:textId="77777777" w:rsidR="007760F6" w:rsidRDefault="007760F6" w:rsidP="00C27709">
      <w:pPr>
        <w:spacing w:after="120" w:line="259" w:lineRule="auto"/>
        <w:jc w:val="center"/>
        <w:rPr>
          <w:rFonts w:eastAsiaTheme="minorHAnsi" w:cstheme="minorBidi"/>
          <w:b/>
          <w:bCs/>
          <w:i/>
          <w:iCs/>
          <w:kern w:val="2"/>
          <w:sz w:val="22"/>
          <w:szCs w:val="22"/>
          <w:lang w:eastAsia="en-US"/>
          <w14:ligatures w14:val="standardContextual"/>
        </w:rPr>
      </w:pPr>
    </w:p>
    <w:p w14:paraId="4135321B" w14:textId="0678FFE1" w:rsidR="00C27709" w:rsidRPr="00307028" w:rsidRDefault="00A673DB" w:rsidP="00C27709">
      <w:pPr>
        <w:spacing w:after="120"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w:t>
      </w:r>
      <w:r w:rsidR="00C27709" w:rsidRPr="00307028">
        <w:rPr>
          <w:rFonts w:eastAsiaTheme="minorHAnsi" w:cstheme="minorBidi"/>
          <w:b/>
          <w:bCs/>
          <w:i/>
          <w:iCs/>
          <w:kern w:val="2"/>
          <w:sz w:val="22"/>
          <w:szCs w:val="22"/>
          <w:lang w:eastAsia="en-US"/>
          <w14:ligatures w14:val="standardContextual"/>
        </w:rPr>
        <w:t>.2.1.</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 attēls</w:t>
      </w:r>
      <w:r w:rsidR="00C27709" w:rsidRPr="00307028">
        <w:rPr>
          <w:rFonts w:eastAsiaTheme="minorHAnsi" w:cstheme="minorBidi"/>
          <w:b/>
          <w:bCs/>
          <w:kern w:val="2"/>
          <w:sz w:val="22"/>
          <w:szCs w:val="22"/>
          <w:lang w:eastAsia="en-US"/>
          <w14:ligatures w14:val="standardContextual"/>
        </w:rPr>
        <w:t xml:space="preserve"> Studējošo skaits augstskolās un koledžās sadalījumā pa mācību maksas finansējuma veidiem</w:t>
      </w:r>
    </w:p>
    <w:p w14:paraId="30D00289" w14:textId="79548F6E" w:rsidR="00C27709" w:rsidRPr="00307028" w:rsidRDefault="00F31553" w:rsidP="00C27709">
      <w:pPr>
        <w:spacing w:after="120" w:line="259" w:lineRule="auto"/>
        <w:jc w:val="center"/>
        <w:rPr>
          <w:rFonts w:eastAsiaTheme="minorHAnsi" w:cstheme="minorBidi"/>
          <w:b/>
          <w:bCs/>
          <w:kern w:val="2"/>
          <w:lang w:eastAsia="en-US"/>
          <w14:ligatures w14:val="standardContextual"/>
        </w:rPr>
      </w:pPr>
      <w:r w:rsidRPr="00307028">
        <w:rPr>
          <w:rFonts w:eastAsiaTheme="minorHAnsi" w:cstheme="minorBidi"/>
          <w:b/>
          <w:bCs/>
          <w:noProof/>
          <w:kern w:val="2"/>
          <w:lang w:eastAsia="en-US"/>
          <w14:ligatures w14:val="standardContextual"/>
        </w:rPr>
        <w:drawing>
          <wp:inline distT="0" distB="0" distL="0" distR="0" wp14:anchorId="4A90DF0E" wp14:editId="332DA660">
            <wp:extent cx="5273675" cy="2621280"/>
            <wp:effectExtent l="0" t="0" r="3175" b="7620"/>
            <wp:docPr id="1969744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3675" cy="2621280"/>
                    </a:xfrm>
                    <a:prstGeom prst="rect">
                      <a:avLst/>
                    </a:prstGeom>
                    <a:noFill/>
                  </pic:spPr>
                </pic:pic>
              </a:graphicData>
            </a:graphic>
          </wp:inline>
        </w:drawing>
      </w:r>
    </w:p>
    <w:p w14:paraId="6ED38F0E" w14:textId="62317B44" w:rsidR="00D7002C" w:rsidRPr="00307028" w:rsidRDefault="00C27709" w:rsidP="000835D1">
      <w:pPr>
        <w:spacing w:after="120" w:line="259" w:lineRule="auto"/>
        <w:ind w:firstLine="720"/>
        <w:jc w:val="both"/>
        <w:rPr>
          <w:rFonts w:eastAsiaTheme="minorHAnsi" w:cstheme="minorBidi"/>
          <w:kern w:val="2"/>
          <w:szCs w:val="22"/>
          <w:lang w:eastAsia="en-US"/>
          <w14:ligatures w14:val="standardContextual"/>
        </w:rPr>
      </w:pPr>
      <w:r w:rsidRPr="00307028">
        <w:rPr>
          <w:rFonts w:eastAsiaTheme="minorHAnsi" w:cstheme="minorBidi"/>
          <w:kern w:val="2"/>
          <w:szCs w:val="22"/>
          <w:lang w:eastAsia="en-US"/>
          <w14:ligatures w14:val="standardContextual"/>
        </w:rPr>
        <w:t>Skatoties augstākās izglītības iestāžu studiju programmu piedāvājumu sadalījumā pa izglītības tematiskajām grupām, nav vērojamas būtiskas izmaiņas. Ja studiju programmu skaits saskaņā ar IZM sniegto informāciju samazinās, tad jāsecina, ka tas nav uz tā rēķina, ka kāda no augstākās izglītības iestādēm būtu pilnībā atteikusies no studiju programmām kādā konkrētā tematiskajā grupā. Piemēram, sociālo zinātņu jomas studiju programmas valsts finansētajās budžeta vietās joprojām apgūstamas visās no valsts budžeta finansētajās augstākās izglītības iestādēs, izņemot tās, kuras uzskatāmas par specializētajām augstskolām (akadēmijām) (Attēls Nr. </w:t>
      </w:r>
      <w:r w:rsidR="00D7002C" w:rsidRPr="00307028">
        <w:rPr>
          <w:rFonts w:eastAsiaTheme="minorHAnsi" w:cstheme="minorBidi"/>
          <w:kern w:val="2"/>
          <w:szCs w:val="22"/>
          <w:lang w:eastAsia="en-US"/>
          <w14:ligatures w14:val="standardContextual"/>
        </w:rPr>
        <w:t>3.</w:t>
      </w:r>
      <w:r w:rsidRPr="00307028">
        <w:rPr>
          <w:rFonts w:eastAsiaTheme="minorHAnsi" w:cstheme="minorBidi"/>
          <w:kern w:val="2"/>
          <w:szCs w:val="22"/>
          <w:lang w:eastAsia="en-US"/>
          <w14:ligatures w14:val="standardContextual"/>
        </w:rPr>
        <w:t>2.</w:t>
      </w:r>
      <w:r w:rsidR="00D7002C" w:rsidRPr="00307028">
        <w:rPr>
          <w:rFonts w:eastAsiaTheme="minorHAnsi" w:cstheme="minorBidi"/>
          <w:kern w:val="2"/>
          <w:szCs w:val="22"/>
          <w:lang w:eastAsia="en-US"/>
          <w14:ligatures w14:val="standardContextual"/>
        </w:rPr>
        <w:t>1</w:t>
      </w:r>
      <w:r w:rsidRPr="00307028">
        <w:rPr>
          <w:rFonts w:eastAsiaTheme="minorHAnsi" w:cstheme="minorBidi"/>
          <w:kern w:val="2"/>
          <w:szCs w:val="22"/>
          <w:lang w:eastAsia="en-US"/>
          <w14:ligatures w14:val="standardContextual"/>
        </w:rPr>
        <w:t xml:space="preserve">.2.). Attēlā atsevišķi iekrāsotas arī tās augstākās izglītības iestādes, kuras tuvākajā laikā paredzēts apvienot (Banku </w:t>
      </w:r>
      <w:r w:rsidR="00E25617" w:rsidRPr="00307028">
        <w:rPr>
          <w:rFonts w:eastAsiaTheme="minorHAnsi" w:cstheme="minorBidi"/>
          <w:kern w:val="2"/>
          <w:szCs w:val="22"/>
          <w:lang w:eastAsia="en-US"/>
          <w14:ligatures w14:val="standardContextual"/>
        </w:rPr>
        <w:t>Augstskola</w:t>
      </w:r>
      <w:r w:rsidRPr="00307028">
        <w:rPr>
          <w:rFonts w:eastAsiaTheme="minorHAnsi" w:cstheme="minorBidi"/>
          <w:kern w:val="2"/>
          <w:szCs w:val="22"/>
          <w:lang w:eastAsia="en-US"/>
          <w14:ligatures w14:val="standardContextual"/>
        </w:rPr>
        <w:t xml:space="preserve"> tiks pievienota Latvijas Universitātei, Liepājas Universitāte un Rēzeknes Tehnoloģiju akadēmija būs Rīgas Tehniskās Universitātes sastāvā, bet Latvijas Sporta pedagoģijas akadēmija tiks konsolidēta </w:t>
      </w:r>
      <w:r w:rsidR="00497067" w:rsidRPr="00307028">
        <w:rPr>
          <w:rFonts w:eastAsiaTheme="minorHAnsi" w:cstheme="minorBidi"/>
          <w:kern w:val="2"/>
          <w:szCs w:val="22"/>
          <w:lang w:eastAsia="en-US"/>
          <w14:ligatures w14:val="standardContextual"/>
        </w:rPr>
        <w:t>RSU</w:t>
      </w:r>
      <w:r w:rsidRPr="00307028">
        <w:rPr>
          <w:rFonts w:eastAsiaTheme="minorHAnsi" w:cstheme="minorBidi"/>
          <w:kern w:val="2"/>
          <w:szCs w:val="22"/>
          <w:lang w:eastAsia="en-US"/>
          <w14:ligatures w14:val="standardContextual"/>
        </w:rPr>
        <w:t xml:space="preserve"> sastāvā).</w:t>
      </w:r>
    </w:p>
    <w:p w14:paraId="4D760158" w14:textId="02122BE6" w:rsidR="00C27709" w:rsidRPr="00307028" w:rsidRDefault="00D7002C" w:rsidP="00C27709">
      <w:pPr>
        <w:spacing w:after="120"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w:t>
      </w:r>
      <w:r w:rsidR="00C27709" w:rsidRPr="00307028">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.2. attēls</w:t>
      </w:r>
      <w:r w:rsidR="00C27709" w:rsidRPr="00307028">
        <w:rPr>
          <w:rFonts w:eastAsiaTheme="minorHAnsi" w:cstheme="minorBidi"/>
          <w:b/>
          <w:bCs/>
          <w:kern w:val="2"/>
          <w:sz w:val="22"/>
          <w:szCs w:val="22"/>
          <w:lang w:eastAsia="en-US"/>
          <w14:ligatures w14:val="standardContextual"/>
        </w:rPr>
        <w:t xml:space="preserve"> Studiju programmu dublēšanās valsts dibinātajās augstskolās 2023. gadā</w:t>
      </w:r>
    </w:p>
    <w:p w14:paraId="431E665C" w14:textId="77777777" w:rsidR="00C27709" w:rsidRPr="00307028" w:rsidRDefault="00C27709" w:rsidP="00C27709">
      <w:pPr>
        <w:spacing w:line="259" w:lineRule="auto"/>
        <w:jc w:val="both"/>
        <w:rPr>
          <w:rFonts w:eastAsiaTheme="minorHAnsi" w:cstheme="minorBidi"/>
          <w:b/>
          <w:bCs/>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07DD68F5" wp14:editId="5410231E">
            <wp:extent cx="5760085" cy="2396568"/>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085" cy="2396568"/>
                    </a:xfrm>
                    <a:prstGeom prst="rect">
                      <a:avLst/>
                    </a:prstGeom>
                    <a:noFill/>
                    <a:ln>
                      <a:noFill/>
                    </a:ln>
                  </pic:spPr>
                </pic:pic>
              </a:graphicData>
            </a:graphic>
          </wp:inline>
        </w:drawing>
      </w:r>
    </w:p>
    <w:p w14:paraId="0049A5A7" w14:textId="77777777" w:rsidR="00C27709" w:rsidRPr="00307028" w:rsidRDefault="00C27709" w:rsidP="00C27709">
      <w:pPr>
        <w:spacing w:after="120" w:line="259" w:lineRule="auto"/>
        <w:jc w:val="both"/>
        <w:rPr>
          <w:rFonts w:eastAsiaTheme="minorHAnsi" w:cstheme="minorBidi"/>
          <w:kern w:val="2"/>
          <w:sz w:val="20"/>
          <w:szCs w:val="20"/>
          <w:lang w:eastAsia="en-US"/>
          <w14:ligatures w14:val="standardContextual"/>
        </w:rPr>
      </w:pPr>
      <w:r w:rsidRPr="00307028">
        <w:rPr>
          <w:rFonts w:eastAsiaTheme="minorHAnsi" w:cstheme="minorBidi"/>
          <w:kern w:val="2"/>
          <w:sz w:val="20"/>
          <w:szCs w:val="20"/>
          <w:lang w:eastAsia="en-US"/>
          <w14:ligatures w14:val="standardContextual"/>
        </w:rPr>
        <w:t>* B – valsts budžeta finansētās studiju vietas, M – maksas studiju vietas</w:t>
      </w:r>
    </w:p>
    <w:p w14:paraId="24649D0F" w14:textId="636BCB3B" w:rsidR="00C27709" w:rsidRPr="00307028" w:rsidRDefault="00C27709" w:rsidP="00C27709">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Analizējot valsts budžeta vietās studējošo skaitu, vērojama neliela lejupslīde gan imatrikulēto gan absolvējušo studentu skaitā (7 835 absolventi 2014./2015. mācību gadā pret 6 167 absolventiem 2022./2023. mācību gadā) (Attēls Nr.</w:t>
      </w:r>
      <w:r w:rsidR="00D7002C" w:rsidRPr="00307028">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2.</w:t>
      </w:r>
      <w:r w:rsidR="00D7002C" w:rsidRPr="00307028">
        <w:rPr>
          <w:rFonts w:eastAsiaTheme="minorHAnsi" w:cstheme="minorBidi"/>
          <w:kern w:val="2"/>
          <w:lang w:eastAsia="en-US"/>
          <w14:ligatures w14:val="standardContextual"/>
        </w:rPr>
        <w:t>1</w:t>
      </w:r>
      <w:r w:rsidRPr="00307028">
        <w:rPr>
          <w:rFonts w:eastAsiaTheme="minorHAnsi" w:cstheme="minorBidi"/>
          <w:kern w:val="2"/>
          <w:lang w:eastAsia="en-US"/>
          <w14:ligatures w14:val="standardContextual"/>
        </w:rPr>
        <w:t>.3.).</w:t>
      </w:r>
    </w:p>
    <w:p w14:paraId="42EA146E" w14:textId="7EBD6AC0" w:rsidR="00C27709" w:rsidRPr="00307028" w:rsidRDefault="00D7002C" w:rsidP="00C27709">
      <w:pPr>
        <w:spacing w:after="120" w:line="259" w:lineRule="auto"/>
        <w:jc w:val="center"/>
        <w:rPr>
          <w:rFonts w:eastAsiaTheme="minorHAnsi" w:cstheme="minorBidi"/>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w:t>
      </w:r>
      <w:r w:rsidR="00C27709" w:rsidRPr="00307028">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.3. attēls</w:t>
      </w:r>
      <w:r w:rsidR="00C27709" w:rsidRPr="00307028">
        <w:rPr>
          <w:rFonts w:eastAsiaTheme="minorHAnsi" w:cstheme="minorBidi"/>
          <w:b/>
          <w:bCs/>
          <w:kern w:val="2"/>
          <w:sz w:val="22"/>
          <w:szCs w:val="22"/>
          <w:lang w:eastAsia="en-US"/>
          <w14:ligatures w14:val="standardContextual"/>
        </w:rPr>
        <w:t xml:space="preserve"> Imatrikulēto, studējošo un absolventu kopskaits par valsts budžeta finansējumu valsts dibinātajās augstskolās un koledžās</w:t>
      </w:r>
    </w:p>
    <w:p w14:paraId="291E88DE" w14:textId="39E72079" w:rsidR="00C27709" w:rsidRPr="00307028" w:rsidRDefault="00C049D3" w:rsidP="00C049D3">
      <w:pPr>
        <w:spacing w:after="12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4CAAB5FE" wp14:editId="6710EEDD">
            <wp:extent cx="5621591" cy="2339340"/>
            <wp:effectExtent l="0" t="0" r="0" b="3810"/>
            <wp:docPr id="2052718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22452" cy="2339698"/>
                    </a:xfrm>
                    <a:prstGeom prst="rect">
                      <a:avLst/>
                    </a:prstGeom>
                    <a:noFill/>
                  </pic:spPr>
                </pic:pic>
              </a:graphicData>
            </a:graphic>
          </wp:inline>
        </w:drawing>
      </w:r>
    </w:p>
    <w:p w14:paraId="79A48E9D" w14:textId="7331D2A9" w:rsidR="006257A4" w:rsidRPr="00307028" w:rsidRDefault="00C27709" w:rsidP="007261A1">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Statistiski vērtējot augstākās izglītības studiju līmeņu datus, novērojams, ka bakalaura līmeņu studiju statistika korelē ar augstākās izglītības kopējo statistiku, proti, uzrādot, nelielu lejupslīdi visos aplūkojamajos datos (Attēls Nr. </w:t>
      </w:r>
      <w:r w:rsidR="00D7002C" w:rsidRPr="00307028">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2.</w:t>
      </w:r>
      <w:r w:rsidR="00D7002C" w:rsidRPr="00307028">
        <w:rPr>
          <w:rFonts w:eastAsiaTheme="minorHAnsi" w:cstheme="minorBidi"/>
          <w:kern w:val="2"/>
          <w:lang w:eastAsia="en-US"/>
          <w14:ligatures w14:val="standardContextual"/>
        </w:rPr>
        <w:t>1</w:t>
      </w:r>
      <w:r w:rsidRPr="00307028">
        <w:rPr>
          <w:rFonts w:eastAsiaTheme="minorHAnsi" w:cstheme="minorBidi"/>
          <w:kern w:val="2"/>
          <w:lang w:eastAsia="en-US"/>
          <w14:ligatures w14:val="standardContextual"/>
        </w:rPr>
        <w:t>.4.). Maģistra līmeņa studijās ir bijis vērojams studējošo skaita pieaugums, bet absolventu skaits saglabājas faktiski nemainīgā līmenī (Attēls Nr. </w:t>
      </w:r>
      <w:r w:rsidR="00D7002C" w:rsidRPr="00307028">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2.</w:t>
      </w:r>
      <w:r w:rsidR="00D7002C" w:rsidRPr="00307028">
        <w:rPr>
          <w:rFonts w:eastAsiaTheme="minorHAnsi" w:cstheme="minorBidi"/>
          <w:kern w:val="2"/>
          <w:lang w:eastAsia="en-US"/>
          <w14:ligatures w14:val="standardContextual"/>
        </w:rPr>
        <w:t>1</w:t>
      </w:r>
      <w:r w:rsidRPr="00307028">
        <w:rPr>
          <w:rFonts w:eastAsiaTheme="minorHAnsi" w:cstheme="minorBidi"/>
          <w:kern w:val="2"/>
          <w:lang w:eastAsia="en-US"/>
          <w14:ligatures w14:val="standardContextual"/>
        </w:rPr>
        <w:t>.5.). Savukārt doktora līmeņa studijās imatrikulēto un studējošo skaits saglabājas teju nemainīgs, bet absolventu skaits 2022./2023. mācību gadā uzrāda pat pieaugošu tendenci salīdzinājumā ar 2020./2021. mācību gadu (Attēls Nr. </w:t>
      </w:r>
      <w:r w:rsidR="00D7002C" w:rsidRPr="00307028">
        <w:rPr>
          <w:rFonts w:eastAsiaTheme="minorHAnsi" w:cstheme="minorBidi"/>
          <w:kern w:val="2"/>
          <w:lang w:eastAsia="en-US"/>
          <w14:ligatures w14:val="standardContextual"/>
        </w:rPr>
        <w:t>3.</w:t>
      </w:r>
      <w:r w:rsidRPr="00307028">
        <w:rPr>
          <w:rFonts w:eastAsiaTheme="minorHAnsi" w:cstheme="minorBidi"/>
          <w:kern w:val="2"/>
          <w:lang w:eastAsia="en-US"/>
          <w14:ligatures w14:val="standardContextual"/>
        </w:rPr>
        <w:t>2.</w:t>
      </w:r>
      <w:r w:rsidR="00D7002C" w:rsidRPr="00307028">
        <w:rPr>
          <w:rFonts w:eastAsiaTheme="minorHAnsi" w:cstheme="minorBidi"/>
          <w:kern w:val="2"/>
          <w:lang w:eastAsia="en-US"/>
          <w14:ligatures w14:val="standardContextual"/>
        </w:rPr>
        <w:t>1</w:t>
      </w:r>
      <w:r w:rsidRPr="00307028">
        <w:rPr>
          <w:rFonts w:eastAsiaTheme="minorHAnsi" w:cstheme="minorBidi"/>
          <w:kern w:val="2"/>
          <w:lang w:eastAsia="en-US"/>
          <w14:ligatures w14:val="standardContextual"/>
        </w:rPr>
        <w:t>.6.).</w:t>
      </w:r>
    </w:p>
    <w:p w14:paraId="1D312C8B" w14:textId="31C3FA6B" w:rsidR="00C27709" w:rsidRPr="00307028" w:rsidRDefault="00D7002C" w:rsidP="00D7002C">
      <w:pPr>
        <w:spacing w:line="259" w:lineRule="auto"/>
        <w:jc w:val="center"/>
        <w:rPr>
          <w:rFonts w:eastAsiaTheme="minorHAnsi" w:cstheme="minorBidi"/>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w:t>
      </w:r>
      <w:r w:rsidR="00C27709" w:rsidRPr="00307028">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.4. attēls</w:t>
      </w:r>
      <w:r w:rsidR="00C27709" w:rsidRPr="00307028">
        <w:rPr>
          <w:rFonts w:eastAsiaTheme="minorHAnsi" w:cstheme="minorBidi"/>
          <w:b/>
          <w:bCs/>
          <w:kern w:val="2"/>
          <w:sz w:val="22"/>
          <w:szCs w:val="22"/>
          <w:lang w:eastAsia="en-US"/>
          <w14:ligatures w14:val="standardContextual"/>
        </w:rPr>
        <w:t xml:space="preserve"> Imatrikulēto, studējošo un absolventu kopskaits par valsts budžeta finansējumu valsts dibinātajās augstskolās un koledžās bakalaura studiju līmenī</w:t>
      </w:r>
    </w:p>
    <w:p w14:paraId="005338AC" w14:textId="17AC3EE6" w:rsidR="00C27709" w:rsidRPr="00307028" w:rsidRDefault="00C049D3" w:rsidP="00D7002C">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3CF18904" wp14:editId="4C2485B7">
            <wp:extent cx="5273675" cy="2091055"/>
            <wp:effectExtent l="0" t="0" r="3175" b="4445"/>
            <wp:docPr id="8529132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3675" cy="2091055"/>
                    </a:xfrm>
                    <a:prstGeom prst="rect">
                      <a:avLst/>
                    </a:prstGeom>
                    <a:noFill/>
                  </pic:spPr>
                </pic:pic>
              </a:graphicData>
            </a:graphic>
          </wp:inline>
        </w:drawing>
      </w:r>
    </w:p>
    <w:p w14:paraId="11899CBF"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5F09B9A2"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50447A52"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4B59701D"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3DFD1691"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05973AE8"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587DD3AE"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0CD87E0D"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0B5617D2" w14:textId="77777777" w:rsidR="007261A1" w:rsidRPr="00307028" w:rsidRDefault="007261A1" w:rsidP="00D7002C">
      <w:pPr>
        <w:spacing w:line="259" w:lineRule="auto"/>
        <w:jc w:val="center"/>
        <w:rPr>
          <w:rFonts w:eastAsiaTheme="minorHAnsi" w:cstheme="minorBidi"/>
          <w:b/>
          <w:bCs/>
          <w:i/>
          <w:iCs/>
          <w:kern w:val="2"/>
          <w:sz w:val="22"/>
          <w:szCs w:val="22"/>
          <w:lang w:eastAsia="en-US"/>
          <w14:ligatures w14:val="standardContextual"/>
        </w:rPr>
      </w:pPr>
    </w:p>
    <w:p w14:paraId="0EC2A048" w14:textId="77777777" w:rsidR="00E0325B" w:rsidRDefault="00E0325B" w:rsidP="00D7002C">
      <w:pPr>
        <w:spacing w:line="259" w:lineRule="auto"/>
        <w:jc w:val="center"/>
        <w:rPr>
          <w:rFonts w:eastAsiaTheme="minorHAnsi" w:cstheme="minorBidi"/>
          <w:b/>
          <w:bCs/>
          <w:i/>
          <w:iCs/>
          <w:kern w:val="2"/>
          <w:sz w:val="22"/>
          <w:szCs w:val="22"/>
          <w:lang w:eastAsia="en-US"/>
          <w14:ligatures w14:val="standardContextual"/>
        </w:rPr>
      </w:pPr>
    </w:p>
    <w:p w14:paraId="17D1AE84" w14:textId="77777777" w:rsidR="00E0325B" w:rsidRDefault="00E0325B" w:rsidP="00D7002C">
      <w:pPr>
        <w:spacing w:line="259" w:lineRule="auto"/>
        <w:jc w:val="center"/>
        <w:rPr>
          <w:rFonts w:eastAsiaTheme="minorHAnsi" w:cstheme="minorBidi"/>
          <w:b/>
          <w:bCs/>
          <w:i/>
          <w:iCs/>
          <w:kern w:val="2"/>
          <w:sz w:val="22"/>
          <w:szCs w:val="22"/>
          <w:lang w:eastAsia="en-US"/>
          <w14:ligatures w14:val="standardContextual"/>
        </w:rPr>
      </w:pPr>
    </w:p>
    <w:p w14:paraId="1C65ED93" w14:textId="77777777" w:rsidR="00E0325B" w:rsidRDefault="00E0325B" w:rsidP="00D7002C">
      <w:pPr>
        <w:spacing w:line="259" w:lineRule="auto"/>
        <w:jc w:val="center"/>
        <w:rPr>
          <w:rFonts w:eastAsiaTheme="minorHAnsi" w:cstheme="minorBidi"/>
          <w:b/>
          <w:bCs/>
          <w:i/>
          <w:iCs/>
          <w:kern w:val="2"/>
          <w:sz w:val="22"/>
          <w:szCs w:val="22"/>
          <w:lang w:eastAsia="en-US"/>
          <w14:ligatures w14:val="standardContextual"/>
        </w:rPr>
      </w:pPr>
    </w:p>
    <w:p w14:paraId="13B1D2F1" w14:textId="6220B8FF" w:rsidR="00C27709" w:rsidRPr="00307028" w:rsidRDefault="00D7002C" w:rsidP="00D7002C">
      <w:pPr>
        <w:spacing w:line="259" w:lineRule="auto"/>
        <w:jc w:val="center"/>
        <w:rPr>
          <w:rFonts w:eastAsiaTheme="minorHAnsi" w:cstheme="minorBidi"/>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3.</w:t>
      </w:r>
      <w:r w:rsidR="00C27709" w:rsidRPr="00307028">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.5. attēls</w:t>
      </w:r>
      <w:r w:rsidR="00C27709" w:rsidRPr="00307028">
        <w:rPr>
          <w:rFonts w:eastAsiaTheme="minorHAnsi" w:cstheme="minorBidi"/>
          <w:b/>
          <w:bCs/>
          <w:kern w:val="2"/>
          <w:sz w:val="22"/>
          <w:szCs w:val="22"/>
          <w:lang w:eastAsia="en-US"/>
          <w14:ligatures w14:val="standardContextual"/>
        </w:rPr>
        <w:t xml:space="preserve"> Imatrikulēto, studējošo un absolventu kopskaits par valsts budžeta finansējumu valsts dibinātajās augstskolās un koledžās maģistra studiju līmenī</w:t>
      </w:r>
    </w:p>
    <w:p w14:paraId="27F6115B" w14:textId="6013A794" w:rsidR="00C27709" w:rsidRPr="00307028" w:rsidRDefault="00C049D3" w:rsidP="00C27709">
      <w:pPr>
        <w:spacing w:after="160" w:line="259" w:lineRule="auto"/>
        <w:jc w:val="center"/>
        <w:rPr>
          <w:rFonts w:eastAsiaTheme="minorHAnsi" w:cstheme="minorBidi"/>
          <w:kern w:val="2"/>
          <w:szCs w:val="22"/>
          <w:lang w:eastAsia="en-US"/>
          <w14:ligatures w14:val="standardContextual"/>
        </w:rPr>
      </w:pPr>
      <w:r w:rsidRPr="00307028">
        <w:rPr>
          <w:rFonts w:eastAsiaTheme="minorHAnsi" w:cstheme="minorBidi"/>
          <w:noProof/>
          <w:kern w:val="2"/>
          <w:szCs w:val="22"/>
          <w:lang w:eastAsia="en-US"/>
          <w14:ligatures w14:val="standardContextual"/>
        </w:rPr>
        <w:drawing>
          <wp:inline distT="0" distB="0" distL="0" distR="0" wp14:anchorId="6E3D1543" wp14:editId="12A1B118">
            <wp:extent cx="5273675" cy="2188845"/>
            <wp:effectExtent l="0" t="0" r="3175" b="1905"/>
            <wp:docPr id="1595793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3675" cy="2188845"/>
                    </a:xfrm>
                    <a:prstGeom prst="rect">
                      <a:avLst/>
                    </a:prstGeom>
                    <a:noFill/>
                  </pic:spPr>
                </pic:pic>
              </a:graphicData>
            </a:graphic>
          </wp:inline>
        </w:drawing>
      </w:r>
    </w:p>
    <w:p w14:paraId="2604A747" w14:textId="18AD2CE6" w:rsidR="00C27709" w:rsidRPr="00307028" w:rsidRDefault="00D7002C" w:rsidP="00D7002C">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t>3.</w:t>
      </w:r>
      <w:r w:rsidR="00C27709" w:rsidRPr="00307028">
        <w:rPr>
          <w:rFonts w:eastAsiaTheme="minorHAnsi" w:cstheme="minorBidi"/>
          <w:b/>
          <w:bCs/>
          <w:i/>
          <w:iCs/>
          <w:kern w:val="2"/>
          <w:sz w:val="22"/>
          <w:szCs w:val="22"/>
          <w:lang w:eastAsia="en-US"/>
          <w14:ligatures w14:val="standardContextual"/>
        </w:rPr>
        <w:t>2.</w:t>
      </w:r>
      <w:r w:rsidRPr="00307028">
        <w:rPr>
          <w:rFonts w:eastAsiaTheme="minorHAnsi" w:cstheme="minorBidi"/>
          <w:b/>
          <w:bCs/>
          <w:i/>
          <w:iCs/>
          <w:kern w:val="2"/>
          <w:sz w:val="22"/>
          <w:szCs w:val="22"/>
          <w:lang w:eastAsia="en-US"/>
          <w14:ligatures w14:val="standardContextual"/>
        </w:rPr>
        <w:t>1</w:t>
      </w:r>
      <w:r w:rsidR="00C27709" w:rsidRPr="00307028">
        <w:rPr>
          <w:rFonts w:eastAsiaTheme="minorHAnsi" w:cstheme="minorBidi"/>
          <w:b/>
          <w:bCs/>
          <w:i/>
          <w:iCs/>
          <w:kern w:val="2"/>
          <w:sz w:val="22"/>
          <w:szCs w:val="22"/>
          <w:lang w:eastAsia="en-US"/>
          <w14:ligatures w14:val="standardContextual"/>
        </w:rPr>
        <w:t>.6. attēls</w:t>
      </w:r>
      <w:r w:rsidR="00C27709" w:rsidRPr="00307028">
        <w:rPr>
          <w:rFonts w:eastAsiaTheme="minorHAnsi" w:cstheme="minorBidi"/>
          <w:b/>
          <w:bCs/>
          <w:kern w:val="2"/>
          <w:sz w:val="22"/>
          <w:szCs w:val="22"/>
          <w:lang w:eastAsia="en-US"/>
          <w14:ligatures w14:val="standardContextual"/>
        </w:rPr>
        <w:t xml:space="preserve"> Imatrikulēto, studējošo un absolventu kopskaits par valsts budžeta finansējumu valsts dibinātajās augstskolās un koledžās doktora studiju līmenī</w:t>
      </w:r>
    </w:p>
    <w:p w14:paraId="1B9212C1" w14:textId="52EDDB2E" w:rsidR="00C27709" w:rsidRPr="00307028" w:rsidRDefault="00C049D3" w:rsidP="00C27709">
      <w:pPr>
        <w:spacing w:after="160" w:line="259" w:lineRule="auto"/>
        <w:jc w:val="center"/>
        <w:rPr>
          <w:rFonts w:eastAsiaTheme="minorHAnsi" w:cstheme="minorBidi"/>
          <w:kern w:val="2"/>
          <w:sz w:val="22"/>
          <w:szCs w:val="22"/>
          <w:lang w:eastAsia="en-US"/>
          <w14:ligatures w14:val="standardContextual"/>
        </w:rPr>
      </w:pPr>
      <w:r w:rsidRPr="00307028">
        <w:rPr>
          <w:rFonts w:eastAsiaTheme="minorHAnsi" w:cstheme="minorBidi"/>
          <w:noProof/>
          <w:kern w:val="2"/>
          <w:sz w:val="22"/>
          <w:szCs w:val="22"/>
          <w:lang w:eastAsia="en-US"/>
          <w14:ligatures w14:val="standardContextual"/>
        </w:rPr>
        <w:drawing>
          <wp:inline distT="0" distB="0" distL="0" distR="0" wp14:anchorId="4DCF7539" wp14:editId="7A6A167E">
            <wp:extent cx="5273675" cy="2005965"/>
            <wp:effectExtent l="0" t="0" r="3175" b="0"/>
            <wp:docPr id="640069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3675" cy="2005965"/>
                    </a:xfrm>
                    <a:prstGeom prst="rect">
                      <a:avLst/>
                    </a:prstGeom>
                    <a:noFill/>
                  </pic:spPr>
                </pic:pic>
              </a:graphicData>
            </a:graphic>
          </wp:inline>
        </w:drawing>
      </w:r>
    </w:p>
    <w:p w14:paraId="4DE64649" w14:textId="1F1EB92B" w:rsidR="00C27709" w:rsidRPr="00307028" w:rsidRDefault="00C27709" w:rsidP="00C27709">
      <w:pPr>
        <w:spacing w:after="120"/>
        <w:ind w:firstLine="567"/>
        <w:jc w:val="both"/>
        <w:rPr>
          <w:rFonts w:eastAsiaTheme="minorHAnsi"/>
          <w:bCs/>
          <w:lang w:eastAsia="en-US"/>
        </w:rPr>
      </w:pPr>
      <w:r w:rsidRPr="00307028">
        <w:rPr>
          <w:rFonts w:eastAsiaTheme="minorHAnsi" w:cstheme="minorBidi"/>
          <w:kern w:val="2"/>
          <w:lang w:eastAsia="en-US"/>
          <w14:ligatures w14:val="standardContextual"/>
        </w:rPr>
        <w:t>Tajā pašā laikā</w:t>
      </w:r>
      <w:r w:rsidR="008D6A22" w:rsidRPr="00307028">
        <w:rPr>
          <w:rFonts w:eastAsiaTheme="minorHAnsi" w:cstheme="minorBidi"/>
          <w:kern w:val="2"/>
          <w:lang w:eastAsia="en-US"/>
          <w14:ligatures w14:val="standardContextual"/>
        </w:rPr>
        <w:t>,</w:t>
      </w:r>
      <w:r w:rsidRPr="00307028">
        <w:rPr>
          <w:rFonts w:eastAsiaTheme="minorHAnsi" w:cstheme="minorBidi"/>
          <w:kern w:val="2"/>
          <w:lang w:eastAsia="en-US"/>
          <w14:ligatures w14:val="standardContextual"/>
        </w:rPr>
        <w:t xml:space="preserve"> vērtējot absolventu skaitu pret imatrikulēto skaitu, nav pamata uzskatīt, ka situācija būtu uzlabojusies. Atbilstoši 2019. gadā FM pielietotajai metodikai arī IZM izveidoja grafiku, attēlojot procentuālo absolventu skaitu pretstatā imatrikulēto skaitam tajā mācību gadā, kad minētajiem absolventiem bija jāuzsāk studijas. </w:t>
      </w:r>
      <w:r w:rsidRPr="00307028">
        <w:rPr>
          <w:rFonts w:eastAsiaTheme="minorHAnsi"/>
          <w:bCs/>
          <w:lang w:eastAsia="en-US"/>
        </w:rPr>
        <w:t>Tā kā bakalaura un doktora studijas pārsvarā ilgst trīs gadus, tad tika izvēlēts vidējais imatrikulēto skaits 2018./2019. akadēmiskajā gadā. Maģistrantūras studijas ilgst divus gadus, līdz ar to imatrikulēto studentu statistika ir no 2019./2020. mācību gada. Statistiski redzams, ka bakalaura studijas nepabeidz gandrīz katrs otrais students, kurš studijas uzsācis valsts budžeta finansētā studiju vietā (līdz absolvēšanai tikuši 46% studentu no imatrikulēto skaita). Maģistrantūrā situācija ir vislabākā, jo studijas absolvējuši 63% no tās uzsākušo skaita. Savukārt doktora grādu ieguvuši tikai 25% no tiem, kas pirms trīs līdz četriem gadiem studijas tika uzsākuši (Attēls Nr. </w:t>
      </w:r>
      <w:r w:rsidR="00D7002C" w:rsidRPr="00307028">
        <w:rPr>
          <w:rFonts w:eastAsiaTheme="minorHAnsi"/>
          <w:bCs/>
          <w:lang w:eastAsia="en-US"/>
        </w:rPr>
        <w:t>3.</w:t>
      </w:r>
      <w:r w:rsidRPr="00307028">
        <w:rPr>
          <w:rFonts w:eastAsiaTheme="minorHAnsi"/>
          <w:bCs/>
          <w:lang w:eastAsia="en-US"/>
        </w:rPr>
        <w:t>2.</w:t>
      </w:r>
      <w:r w:rsidR="00D7002C" w:rsidRPr="00307028">
        <w:rPr>
          <w:rFonts w:eastAsiaTheme="minorHAnsi"/>
          <w:bCs/>
          <w:lang w:eastAsia="en-US"/>
        </w:rPr>
        <w:t>1</w:t>
      </w:r>
      <w:r w:rsidRPr="00307028">
        <w:rPr>
          <w:rFonts w:eastAsiaTheme="minorHAnsi"/>
          <w:bCs/>
          <w:lang w:eastAsia="en-US"/>
        </w:rPr>
        <w:t>.7.).</w:t>
      </w:r>
    </w:p>
    <w:p w14:paraId="279819F6" w14:textId="77777777" w:rsidR="007261A1" w:rsidRPr="00307028" w:rsidRDefault="007261A1" w:rsidP="000028A5">
      <w:pPr>
        <w:jc w:val="center"/>
        <w:rPr>
          <w:rFonts w:eastAsiaTheme="minorHAnsi"/>
          <w:b/>
          <w:i/>
          <w:iCs/>
          <w:sz w:val="22"/>
          <w:szCs w:val="22"/>
          <w:lang w:eastAsia="en-US"/>
        </w:rPr>
      </w:pPr>
    </w:p>
    <w:p w14:paraId="64A4F0A2" w14:textId="77777777" w:rsidR="007261A1" w:rsidRPr="00307028" w:rsidRDefault="007261A1" w:rsidP="000028A5">
      <w:pPr>
        <w:jc w:val="center"/>
        <w:rPr>
          <w:rFonts w:eastAsiaTheme="minorHAnsi"/>
          <w:b/>
          <w:i/>
          <w:iCs/>
          <w:sz w:val="22"/>
          <w:szCs w:val="22"/>
          <w:lang w:eastAsia="en-US"/>
        </w:rPr>
      </w:pPr>
    </w:p>
    <w:p w14:paraId="581B1528" w14:textId="77777777" w:rsidR="007261A1" w:rsidRPr="00307028" w:rsidRDefault="007261A1" w:rsidP="000028A5">
      <w:pPr>
        <w:jc w:val="center"/>
        <w:rPr>
          <w:rFonts w:eastAsiaTheme="minorHAnsi"/>
          <w:b/>
          <w:i/>
          <w:iCs/>
          <w:sz w:val="22"/>
          <w:szCs w:val="22"/>
          <w:lang w:eastAsia="en-US"/>
        </w:rPr>
      </w:pPr>
    </w:p>
    <w:p w14:paraId="1485BAA7" w14:textId="77777777" w:rsidR="007261A1" w:rsidRPr="00307028" w:rsidRDefault="007261A1" w:rsidP="000028A5">
      <w:pPr>
        <w:jc w:val="center"/>
        <w:rPr>
          <w:rFonts w:eastAsiaTheme="minorHAnsi"/>
          <w:b/>
          <w:i/>
          <w:iCs/>
          <w:sz w:val="22"/>
          <w:szCs w:val="22"/>
          <w:lang w:eastAsia="en-US"/>
        </w:rPr>
      </w:pPr>
    </w:p>
    <w:p w14:paraId="2E1E7FD7" w14:textId="77777777" w:rsidR="007261A1" w:rsidRPr="00307028" w:rsidRDefault="007261A1" w:rsidP="000028A5">
      <w:pPr>
        <w:jc w:val="center"/>
        <w:rPr>
          <w:rFonts w:eastAsiaTheme="minorHAnsi"/>
          <w:b/>
          <w:i/>
          <w:iCs/>
          <w:sz w:val="22"/>
          <w:szCs w:val="22"/>
          <w:lang w:eastAsia="en-US"/>
        </w:rPr>
      </w:pPr>
    </w:p>
    <w:p w14:paraId="235855C8" w14:textId="77777777" w:rsidR="007261A1" w:rsidRPr="00307028" w:rsidRDefault="007261A1" w:rsidP="000028A5">
      <w:pPr>
        <w:jc w:val="center"/>
        <w:rPr>
          <w:rFonts w:eastAsiaTheme="minorHAnsi"/>
          <w:b/>
          <w:i/>
          <w:iCs/>
          <w:sz w:val="22"/>
          <w:szCs w:val="22"/>
          <w:lang w:eastAsia="en-US"/>
        </w:rPr>
      </w:pPr>
    </w:p>
    <w:p w14:paraId="338C0820" w14:textId="77777777" w:rsidR="007261A1" w:rsidRPr="00307028" w:rsidRDefault="007261A1" w:rsidP="000028A5">
      <w:pPr>
        <w:jc w:val="center"/>
        <w:rPr>
          <w:rFonts w:eastAsiaTheme="minorHAnsi"/>
          <w:b/>
          <w:i/>
          <w:iCs/>
          <w:sz w:val="22"/>
          <w:szCs w:val="22"/>
          <w:lang w:eastAsia="en-US"/>
        </w:rPr>
      </w:pPr>
    </w:p>
    <w:p w14:paraId="5FD4B770" w14:textId="77777777" w:rsidR="007261A1" w:rsidRPr="00307028" w:rsidRDefault="007261A1" w:rsidP="000028A5">
      <w:pPr>
        <w:jc w:val="center"/>
        <w:rPr>
          <w:rFonts w:eastAsiaTheme="minorHAnsi"/>
          <w:b/>
          <w:i/>
          <w:iCs/>
          <w:sz w:val="22"/>
          <w:szCs w:val="22"/>
          <w:lang w:eastAsia="en-US"/>
        </w:rPr>
      </w:pPr>
    </w:p>
    <w:p w14:paraId="3028F206" w14:textId="77777777" w:rsidR="007261A1" w:rsidRPr="00307028" w:rsidRDefault="007261A1" w:rsidP="000028A5">
      <w:pPr>
        <w:jc w:val="center"/>
        <w:rPr>
          <w:rFonts w:eastAsiaTheme="minorHAnsi"/>
          <w:b/>
          <w:i/>
          <w:iCs/>
          <w:sz w:val="22"/>
          <w:szCs w:val="22"/>
          <w:lang w:eastAsia="en-US"/>
        </w:rPr>
      </w:pPr>
    </w:p>
    <w:p w14:paraId="0E967EF2" w14:textId="77777777" w:rsidR="007261A1" w:rsidRPr="00307028" w:rsidRDefault="007261A1" w:rsidP="000028A5">
      <w:pPr>
        <w:jc w:val="center"/>
        <w:rPr>
          <w:rFonts w:eastAsiaTheme="minorHAnsi"/>
          <w:b/>
          <w:i/>
          <w:iCs/>
          <w:sz w:val="22"/>
          <w:szCs w:val="22"/>
          <w:lang w:eastAsia="en-US"/>
        </w:rPr>
      </w:pPr>
    </w:p>
    <w:p w14:paraId="16234600" w14:textId="2DD990D8" w:rsidR="00C27709" w:rsidRPr="00307028" w:rsidRDefault="00D7002C" w:rsidP="000028A5">
      <w:pPr>
        <w:jc w:val="center"/>
        <w:rPr>
          <w:rFonts w:eastAsiaTheme="minorHAnsi"/>
          <w:b/>
          <w:sz w:val="22"/>
          <w:szCs w:val="22"/>
          <w:lang w:eastAsia="en-US"/>
        </w:rPr>
      </w:pPr>
      <w:r w:rsidRPr="00307028">
        <w:rPr>
          <w:rFonts w:eastAsiaTheme="minorHAnsi"/>
          <w:b/>
          <w:i/>
          <w:iCs/>
          <w:sz w:val="22"/>
          <w:szCs w:val="22"/>
          <w:lang w:eastAsia="en-US"/>
        </w:rPr>
        <w:lastRenderedPageBreak/>
        <w:t>3.</w:t>
      </w:r>
      <w:r w:rsidR="00C27709" w:rsidRPr="00307028">
        <w:rPr>
          <w:rFonts w:eastAsiaTheme="minorHAnsi"/>
          <w:b/>
          <w:i/>
          <w:iCs/>
          <w:sz w:val="22"/>
          <w:szCs w:val="22"/>
          <w:lang w:eastAsia="en-US"/>
        </w:rPr>
        <w:t>2.</w:t>
      </w:r>
      <w:r w:rsidRPr="00307028">
        <w:rPr>
          <w:rFonts w:eastAsiaTheme="minorHAnsi"/>
          <w:b/>
          <w:i/>
          <w:iCs/>
          <w:sz w:val="22"/>
          <w:szCs w:val="22"/>
          <w:lang w:eastAsia="en-US"/>
        </w:rPr>
        <w:t>1</w:t>
      </w:r>
      <w:r w:rsidR="00C27709" w:rsidRPr="00307028">
        <w:rPr>
          <w:rFonts w:eastAsiaTheme="minorHAnsi"/>
          <w:b/>
          <w:i/>
          <w:iCs/>
          <w:sz w:val="22"/>
          <w:szCs w:val="22"/>
          <w:lang w:eastAsia="en-US"/>
        </w:rPr>
        <w:t>.7. attēls</w:t>
      </w:r>
      <w:r w:rsidR="00C27709" w:rsidRPr="00307028">
        <w:rPr>
          <w:rFonts w:eastAsiaTheme="minorHAnsi"/>
          <w:b/>
          <w:sz w:val="22"/>
          <w:szCs w:val="22"/>
          <w:lang w:eastAsia="en-US"/>
        </w:rPr>
        <w:t> Absolventu skaita salīdzinājums 2020./2021. akadēmiskajā mācību gadā attiecībā pret imatrikulēto skaitu studiju uzsākšanas gadā</w:t>
      </w:r>
    </w:p>
    <w:p w14:paraId="62411B8E" w14:textId="1FC9B537" w:rsidR="00C27709" w:rsidRPr="00307028" w:rsidRDefault="00C049D3" w:rsidP="007261A1">
      <w:pPr>
        <w:jc w:val="center"/>
        <w:rPr>
          <w:rFonts w:eastAsiaTheme="minorHAnsi"/>
          <w:bCs/>
          <w:lang w:eastAsia="en-US"/>
        </w:rPr>
      </w:pPr>
      <w:r w:rsidRPr="00307028">
        <w:rPr>
          <w:rFonts w:eastAsiaTheme="minorHAnsi"/>
          <w:bCs/>
          <w:noProof/>
          <w:lang w:eastAsia="en-US"/>
        </w:rPr>
        <w:drawing>
          <wp:inline distT="0" distB="0" distL="0" distR="0" wp14:anchorId="47B94AE9" wp14:editId="57A63EF2">
            <wp:extent cx="4413885" cy="2390140"/>
            <wp:effectExtent l="0" t="0" r="5715" b="0"/>
            <wp:docPr id="589537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13885" cy="2390140"/>
                    </a:xfrm>
                    <a:prstGeom prst="rect">
                      <a:avLst/>
                    </a:prstGeom>
                    <a:noFill/>
                  </pic:spPr>
                </pic:pic>
              </a:graphicData>
            </a:graphic>
          </wp:inline>
        </w:drawing>
      </w:r>
    </w:p>
    <w:p w14:paraId="76CB0135" w14:textId="13A9A82E" w:rsidR="00C27709" w:rsidRPr="00307028" w:rsidRDefault="00C27709" w:rsidP="000028A5">
      <w:pPr>
        <w:spacing w:after="120" w:line="259" w:lineRule="auto"/>
        <w:ind w:firstLine="709"/>
        <w:jc w:val="both"/>
        <w:rPr>
          <w:rFonts w:eastAsiaTheme="minorHAnsi"/>
          <w:kern w:val="2"/>
          <w:lang w:eastAsia="en-US"/>
          <w14:ligatures w14:val="standardContextual"/>
        </w:rPr>
      </w:pPr>
      <w:r w:rsidRPr="00307028">
        <w:rPr>
          <w:rFonts w:eastAsiaTheme="minorHAnsi"/>
          <w:kern w:val="2"/>
          <w:lang w:eastAsia="en-US"/>
          <w14:ligatures w14:val="standardContextual"/>
        </w:rPr>
        <w:t>Salīdzinājumam 2019. gada izdevumu pārskatīšanas ietvaros tika vērtēti dati par 2017./2018. mācību gada absolventiem salīdzinājumā ar imatrikulētajiem studentiem divus līdz trīs gadus pirms absolvēšanas (atbilstoši studiju līmenim). Trīs gadus iepriekš tika aprēķināts, ka bakalaura līmeni absolvējuši 51,3%, maģistra studijas beiguši 66,6%, bet doktorantūru 30% no imatrikulētajiem. Līdz ar to secināms, ka situācija 2020./2021. mācību gadā salīdzinājumā ar 2017./2018. mācību gadu ir pasliktinājusies visos studiju līmeņos. Attēlā Nr. </w:t>
      </w:r>
      <w:r w:rsidR="000028A5" w:rsidRPr="00307028">
        <w:rPr>
          <w:rFonts w:eastAsiaTheme="minorHAnsi"/>
          <w:kern w:val="2"/>
          <w:lang w:eastAsia="en-US"/>
          <w14:ligatures w14:val="standardContextual"/>
        </w:rPr>
        <w:t>3.</w:t>
      </w:r>
      <w:r w:rsidRPr="00307028">
        <w:rPr>
          <w:rFonts w:eastAsiaTheme="minorHAnsi"/>
          <w:kern w:val="2"/>
          <w:lang w:eastAsia="en-US"/>
          <w14:ligatures w14:val="standardContextual"/>
        </w:rPr>
        <w:t>2.</w:t>
      </w:r>
      <w:r w:rsidR="000028A5" w:rsidRPr="00307028">
        <w:rPr>
          <w:rFonts w:eastAsiaTheme="minorHAnsi"/>
          <w:kern w:val="2"/>
          <w:lang w:eastAsia="en-US"/>
          <w14:ligatures w14:val="standardContextual"/>
        </w:rPr>
        <w:t>1</w:t>
      </w:r>
      <w:r w:rsidRPr="00307028">
        <w:rPr>
          <w:rFonts w:eastAsiaTheme="minorHAnsi"/>
          <w:kern w:val="2"/>
          <w:lang w:eastAsia="en-US"/>
          <w14:ligatures w14:val="standardContextual"/>
        </w:rPr>
        <w:t xml:space="preserve">.6. vērojamā doktorantūras absolventu pieaugumu tendence liek domāt, ka šajā </w:t>
      </w:r>
      <w:r w:rsidR="008D6A22" w:rsidRPr="00307028">
        <w:rPr>
          <w:rFonts w:eastAsiaTheme="minorHAnsi"/>
          <w:kern w:val="2"/>
          <w:lang w:eastAsia="en-US"/>
          <w14:ligatures w14:val="standardContextual"/>
        </w:rPr>
        <w:t>studiju līmenī</w:t>
      </w:r>
      <w:r w:rsidRPr="00307028">
        <w:rPr>
          <w:rFonts w:eastAsiaTheme="minorHAnsi"/>
          <w:kern w:val="2"/>
          <w:lang w:eastAsia="en-US"/>
          <w14:ligatures w14:val="standardContextual"/>
        </w:rPr>
        <w:t xml:space="preserve"> absolventu skaita procentuālais skaits pret imatrikulētajiem tuvākajos gados mazliet pieaugs.</w:t>
      </w:r>
    </w:p>
    <w:p w14:paraId="554EB4D2" w14:textId="0131514F" w:rsidR="006257A4" w:rsidRPr="00307028" w:rsidRDefault="00C27709" w:rsidP="007261A1">
      <w:pPr>
        <w:spacing w:after="120" w:line="259" w:lineRule="auto"/>
        <w:ind w:firstLine="709"/>
        <w:jc w:val="both"/>
        <w:rPr>
          <w:rFonts w:eastAsiaTheme="minorHAnsi"/>
          <w:kern w:val="2"/>
          <w:lang w:eastAsia="en-US"/>
          <w14:ligatures w14:val="standardContextual"/>
        </w:rPr>
      </w:pPr>
      <w:r w:rsidRPr="00307028">
        <w:rPr>
          <w:rFonts w:eastAsiaTheme="minorHAnsi"/>
          <w:kern w:val="2"/>
          <w:lang w:eastAsia="en-US"/>
          <w14:ligatures w14:val="standardContextual"/>
        </w:rPr>
        <w:t>Doktorantūras studiju absolventus 2020./2021. mācību gadā, vērtējot sadalījumā pa augstākās izglītības iestādēm, secināms, ka lielāko daļu doktora grādu ieguvušo veido trīs lielo universitāšu absolventi, kamēr daudzās augstākās izglītības iestādēs doktorantūru nav absolvējis neviens vai ļoti neliels studējošo skaits, piemēram, Latvijas Mākslas akadēmiju absolvēja viens doktorants, neraugoties uz to, ka tajā bija 33 doktorantūrā studējošie par valsts budžeta līdzekļiem (Attēls Nr.</w:t>
      </w:r>
      <w:r w:rsidR="007760F6">
        <w:rPr>
          <w:rFonts w:eastAsiaTheme="minorHAnsi"/>
          <w:kern w:val="2"/>
          <w:lang w:eastAsia="en-US"/>
          <w14:ligatures w14:val="standardContextual"/>
        </w:rPr>
        <w:t> </w:t>
      </w:r>
      <w:r w:rsidR="000028A5" w:rsidRPr="00307028">
        <w:rPr>
          <w:rFonts w:eastAsiaTheme="minorHAnsi"/>
          <w:kern w:val="2"/>
          <w:lang w:eastAsia="en-US"/>
          <w14:ligatures w14:val="standardContextual"/>
        </w:rPr>
        <w:t>3.</w:t>
      </w:r>
      <w:r w:rsidRPr="00307028">
        <w:rPr>
          <w:rFonts w:eastAsiaTheme="minorHAnsi"/>
          <w:kern w:val="2"/>
          <w:lang w:eastAsia="en-US"/>
          <w14:ligatures w14:val="standardContextual"/>
        </w:rPr>
        <w:t>2.</w:t>
      </w:r>
      <w:r w:rsidR="000028A5" w:rsidRPr="00307028">
        <w:rPr>
          <w:rFonts w:eastAsiaTheme="minorHAnsi"/>
          <w:kern w:val="2"/>
          <w:lang w:eastAsia="en-US"/>
          <w14:ligatures w14:val="standardContextual"/>
        </w:rPr>
        <w:t>1</w:t>
      </w:r>
      <w:r w:rsidRPr="00307028">
        <w:rPr>
          <w:rFonts w:eastAsiaTheme="minorHAnsi"/>
          <w:kern w:val="2"/>
          <w:lang w:eastAsia="en-US"/>
          <w14:ligatures w14:val="standardContextual"/>
        </w:rPr>
        <w:t>.8.).</w:t>
      </w:r>
    </w:p>
    <w:p w14:paraId="4526B3B6" w14:textId="449EBDEC" w:rsidR="00C27709" w:rsidRPr="00307028" w:rsidRDefault="000028A5" w:rsidP="000028A5">
      <w:pPr>
        <w:spacing w:line="259" w:lineRule="auto"/>
        <w:jc w:val="center"/>
        <w:rPr>
          <w:rFonts w:eastAsiaTheme="minorHAnsi"/>
          <w:b/>
          <w:bCs/>
          <w:kern w:val="2"/>
          <w:sz w:val="22"/>
          <w:szCs w:val="22"/>
          <w:lang w:eastAsia="en-US"/>
          <w14:ligatures w14:val="standardContextual"/>
        </w:rPr>
      </w:pPr>
      <w:r w:rsidRPr="00307028">
        <w:rPr>
          <w:rFonts w:eastAsiaTheme="minorHAnsi"/>
          <w:b/>
          <w:bCs/>
          <w:i/>
          <w:iCs/>
          <w:kern w:val="2"/>
          <w:sz w:val="22"/>
          <w:szCs w:val="22"/>
          <w:lang w:eastAsia="en-US"/>
          <w14:ligatures w14:val="standardContextual"/>
        </w:rPr>
        <w:t>3.</w:t>
      </w:r>
      <w:r w:rsidR="00C27709" w:rsidRPr="00307028">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1</w:t>
      </w:r>
      <w:r w:rsidR="00C27709" w:rsidRPr="00307028">
        <w:rPr>
          <w:rFonts w:eastAsiaTheme="minorHAnsi"/>
          <w:b/>
          <w:bCs/>
          <w:i/>
          <w:iCs/>
          <w:kern w:val="2"/>
          <w:sz w:val="22"/>
          <w:szCs w:val="22"/>
          <w:lang w:eastAsia="en-US"/>
          <w14:ligatures w14:val="standardContextual"/>
        </w:rPr>
        <w:t>.8. attēls</w:t>
      </w:r>
      <w:r w:rsidR="00C27709" w:rsidRPr="00307028">
        <w:rPr>
          <w:rFonts w:eastAsiaTheme="minorHAnsi"/>
          <w:b/>
          <w:bCs/>
          <w:kern w:val="2"/>
          <w:sz w:val="22"/>
          <w:szCs w:val="22"/>
          <w:lang w:eastAsia="en-US"/>
          <w14:ligatures w14:val="standardContextual"/>
        </w:rPr>
        <w:t xml:space="preserve"> Imatrikulēto, studējošo un absolvējošo skaits doktorantūras studijās par valsts budžeta finansējumu sadalījumā pa augstākās izglītības iestādēm 2020./2021. akadēmiskajā mācību gadā</w:t>
      </w:r>
      <w:r w:rsidR="007261A1" w:rsidRPr="00307028">
        <w:rPr>
          <w:rStyle w:val="FootnoteReference"/>
          <w:rFonts w:eastAsiaTheme="minorHAnsi"/>
          <w:b/>
          <w:bCs/>
          <w:kern w:val="2"/>
          <w:sz w:val="22"/>
          <w:szCs w:val="22"/>
          <w:lang w:eastAsia="en-US"/>
          <w14:ligatures w14:val="standardContextual"/>
        </w:rPr>
        <w:footnoteReference w:id="70"/>
      </w:r>
    </w:p>
    <w:p w14:paraId="78C9284D" w14:textId="07116EE0" w:rsidR="00C27709" w:rsidRPr="00307028" w:rsidRDefault="00C049D3" w:rsidP="00C049D3">
      <w:pPr>
        <w:spacing w:line="259" w:lineRule="auto"/>
        <w:jc w:val="both"/>
        <w:rPr>
          <w:rFonts w:eastAsiaTheme="minorHAnsi" w:cstheme="minorBidi"/>
          <w:b/>
          <w:kern w:val="2"/>
          <w:szCs w:val="22"/>
          <w:lang w:eastAsia="en-US"/>
          <w14:ligatures w14:val="standardContextual"/>
        </w:rPr>
      </w:pPr>
      <w:r w:rsidRPr="00307028">
        <w:rPr>
          <w:rFonts w:eastAsiaTheme="minorHAnsi" w:cstheme="minorBidi"/>
          <w:b/>
          <w:noProof/>
          <w:kern w:val="2"/>
          <w:szCs w:val="22"/>
          <w:lang w:eastAsia="en-US"/>
          <w14:ligatures w14:val="standardContextual"/>
        </w:rPr>
        <w:drawing>
          <wp:inline distT="0" distB="0" distL="0" distR="0" wp14:anchorId="268B499D" wp14:editId="3F0B2BA7">
            <wp:extent cx="5761355" cy="2773680"/>
            <wp:effectExtent l="0" t="0" r="0" b="7620"/>
            <wp:docPr id="8640620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6">
                      <a:extLst>
                        <a:ext uri="{28A0092B-C50C-407E-A947-70E740481C1C}">
                          <a14:useLocalDpi xmlns:a14="http://schemas.microsoft.com/office/drawing/2010/main" val="0"/>
                        </a:ext>
                      </a:extLst>
                    </a:blip>
                    <a:srcRect t="1822" b="3386"/>
                    <a:stretch/>
                  </pic:blipFill>
                  <pic:spPr bwMode="auto">
                    <a:xfrm>
                      <a:off x="0" y="0"/>
                      <a:ext cx="5761355" cy="2773680"/>
                    </a:xfrm>
                    <a:prstGeom prst="rect">
                      <a:avLst/>
                    </a:prstGeom>
                    <a:noFill/>
                    <a:ln>
                      <a:noFill/>
                    </a:ln>
                    <a:extLst>
                      <a:ext uri="{53640926-AAD7-44D8-BBD7-CCE9431645EC}">
                        <a14:shadowObscured xmlns:a14="http://schemas.microsoft.com/office/drawing/2010/main"/>
                      </a:ext>
                    </a:extLst>
                  </pic:spPr>
                </pic:pic>
              </a:graphicData>
            </a:graphic>
          </wp:inline>
        </w:drawing>
      </w:r>
    </w:p>
    <w:p w14:paraId="48457645" w14:textId="5218FE0B" w:rsidR="00C27709" w:rsidRPr="00307028" w:rsidRDefault="000028A5" w:rsidP="00AC6DC0">
      <w:pPr>
        <w:spacing w:after="120" w:line="259" w:lineRule="auto"/>
        <w:ind w:firstLine="720"/>
        <w:jc w:val="both"/>
        <w:rPr>
          <w:rFonts w:eastAsiaTheme="minorHAnsi"/>
          <w:kern w:val="2"/>
          <w:lang w:eastAsia="en-US"/>
          <w14:ligatures w14:val="standardContextual"/>
        </w:rPr>
      </w:pPr>
      <w:r w:rsidRPr="00307028">
        <w:rPr>
          <w:noProof/>
          <w:lang w:eastAsia="en-US"/>
        </w:rPr>
        <w:lastRenderedPageBreak/>
        <mc:AlternateContent>
          <mc:Choice Requires="wps">
            <w:drawing>
              <wp:anchor distT="0" distB="0" distL="114300" distR="114300" simplePos="0" relativeHeight="251731968" behindDoc="0" locked="0" layoutInCell="1" allowOverlap="1" wp14:anchorId="40B8F79E" wp14:editId="053C08B5">
                <wp:simplePos x="0" y="0"/>
                <wp:positionH relativeFrom="margin">
                  <wp:align>left</wp:align>
                </wp:positionH>
                <wp:positionV relativeFrom="paragraph">
                  <wp:posOffset>0</wp:posOffset>
                </wp:positionV>
                <wp:extent cx="5762625" cy="314325"/>
                <wp:effectExtent l="0" t="0" r="9525" b="9525"/>
                <wp:wrapTopAndBottom/>
                <wp:docPr id="933880808" name="Rectangle 933880808"/>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10F92324" w14:textId="31AB6E51" w:rsidR="000028A5" w:rsidRPr="00307028" w:rsidRDefault="000028A5" w:rsidP="000028A5">
                            <w:pPr>
                              <w:rPr>
                                <w:b/>
                                <w:bCs/>
                                <w:color w:val="000000" w:themeColor="text1"/>
                              </w:rPr>
                            </w:pPr>
                            <w:r w:rsidRPr="00307028">
                              <w:rPr>
                                <w:b/>
                                <w:bCs/>
                              </w:rPr>
                              <w:t>SECINĀJUMS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8F79E" id="Rectangle 933880808" o:spid="_x0000_s1041" style="position:absolute;left:0;text-align:left;margin-left:0;margin-top:0;width:453.75pt;height:24.7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" fillcolor="#85c2e0" stroked="f" strokeweight="2pt">
                <v:textbox>
                  <w:txbxContent>
                    <w:p w14:paraId="10F92324" w14:textId="31AB6E51" w:rsidR="000028A5" w:rsidRPr="00307028" w:rsidRDefault="000028A5" w:rsidP="000028A5">
                      <w:pPr>
                        <w:rPr>
                          <w:b/>
                          <w:bCs/>
                          <w:color w:val="000000" w:themeColor="text1"/>
                        </w:rPr>
                      </w:pPr>
                      <w:r w:rsidRPr="00307028">
                        <w:rPr>
                          <w:b/>
                          <w:bCs/>
                        </w:rPr>
                        <w:t>SECINĀJUMS</w:t>
                      </w:r>
                    </w:p>
                  </w:txbxContent>
                </v:textbox>
                <w10:wrap type="topAndBottom" anchorx="margin"/>
              </v:rect>
            </w:pict>
          </mc:Fallback>
        </mc:AlternateContent>
      </w:r>
      <w:bookmarkStart w:id="158" w:name="_Hlk141263444"/>
      <w:r w:rsidR="00C27709" w:rsidRPr="00307028">
        <w:rPr>
          <w:rFonts w:eastAsiaTheme="minorHAnsi"/>
          <w:kern w:val="2"/>
          <w:lang w:eastAsia="en-US"/>
          <w14:ligatures w14:val="standardContextual"/>
        </w:rPr>
        <w:t>Ņemot vērā IZM iesniegto statistiku, izdarāms secinājums, ka statistiskā griezumā augstākās izglītības nozarē uzlabojumi nav novērojami. Absolventu skaita ziņā turpinās lejupejoša tendence, kas nozīmē, ka arvien lielāks studējošo skaits, kas studē no valsts budžeta finansētajās studiju vietās, studijas nepabeidz. Studējošo kopskaita kritumu lielā mērā var izskaidrot ar vispārēju demogrāfijas lejupslīdes tendenci valsts mērogā. Studiju programmu skaits tiek samazināts, tomēr tas neietekmē augstākās izglītības iestāžu sniegto piedāvājumu, ja to vērtē pēc studiju tematisko jomu piedāvājuma.</w:t>
      </w:r>
    </w:p>
    <w:p w14:paraId="2BD70A09" w14:textId="23267CAC" w:rsidR="00C27709" w:rsidRPr="00307028" w:rsidRDefault="00C27709" w:rsidP="000028A5">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Tajā pašā laikā jāakcentē, ka vairums 2019. gada izdevumu pārskatīšanas ietvaros IZM sniegto uzdevumu vēl ir izpildes procesā, līdz ar to reformu rezultāti arī statistiski būs vērtējami vien pēc zināma laika perioda.</w:t>
      </w:r>
    </w:p>
    <w:bookmarkEnd w:id="158"/>
    <w:p w14:paraId="2ACB8B3C" w14:textId="3CB0F601" w:rsidR="000028A5" w:rsidRPr="00307028" w:rsidRDefault="000028A5" w:rsidP="005219B9">
      <w:pPr>
        <w:spacing w:before="120" w:after="120"/>
        <w:jc w:val="center"/>
        <w:rPr>
          <w:b/>
          <w:bCs/>
          <w:sz w:val="28"/>
          <w:szCs w:val="28"/>
        </w:rPr>
      </w:pPr>
    </w:p>
    <w:p w14:paraId="25B27852" w14:textId="473D3B2D" w:rsidR="00735085" w:rsidRPr="00307028" w:rsidRDefault="00735085" w:rsidP="00F7258A">
      <w:pPr>
        <w:pStyle w:val="Heading5"/>
      </w:pPr>
      <w:r w:rsidRPr="00307028">
        <w:t>3.2.2. Valsts pētījumu programmām un to projektiem piešķirtā finansējuma un sasniegto rezultātu analīze</w:t>
      </w:r>
    </w:p>
    <w:p w14:paraId="51F69628" w14:textId="23C585F7" w:rsidR="00A26EAE" w:rsidRPr="00307028" w:rsidRDefault="00A26EAE" w:rsidP="00A26EAE">
      <w:pPr>
        <w:spacing w:after="120" w:line="259" w:lineRule="auto"/>
        <w:ind w:firstLine="720"/>
        <w:jc w:val="both"/>
        <w:rPr>
          <w:rFonts w:eastAsiaTheme="minorHAnsi"/>
          <w:shd w:val="clear" w:color="auto" w:fill="FFFFFF"/>
          <w:lang w:eastAsia="en-US"/>
        </w:rPr>
      </w:pPr>
      <w:r w:rsidRPr="00307028">
        <w:rPr>
          <w:rFonts w:eastAsiaTheme="minorHAnsi"/>
          <w:shd w:val="clear" w:color="auto" w:fill="FFFFFF"/>
          <w:lang w:eastAsia="en-US"/>
        </w:rPr>
        <w:t>Valsts budžeta finansējums zinātniskās darbības nodrošināšanai laika periodā no 201</w:t>
      </w:r>
      <w:r w:rsidR="00031C67">
        <w:rPr>
          <w:rFonts w:eastAsiaTheme="minorHAnsi"/>
          <w:shd w:val="clear" w:color="auto" w:fill="FFFFFF"/>
          <w:lang w:eastAsia="en-US"/>
        </w:rPr>
        <w:t>6</w:t>
      </w:r>
      <w:r w:rsidRPr="00307028">
        <w:rPr>
          <w:rFonts w:eastAsiaTheme="minorHAnsi"/>
          <w:shd w:val="clear" w:color="auto" w:fill="FFFFFF"/>
          <w:lang w:eastAsia="en-US"/>
        </w:rPr>
        <w:t>. gada līdz 202</w:t>
      </w:r>
      <w:r w:rsidR="00031C67">
        <w:rPr>
          <w:rFonts w:eastAsiaTheme="minorHAnsi"/>
          <w:shd w:val="clear" w:color="auto" w:fill="FFFFFF"/>
          <w:lang w:eastAsia="en-US"/>
        </w:rPr>
        <w:t>4</w:t>
      </w:r>
      <w:r w:rsidRPr="00307028">
        <w:rPr>
          <w:rFonts w:eastAsiaTheme="minorHAnsi"/>
          <w:shd w:val="clear" w:color="auto" w:fill="FFFFFF"/>
          <w:lang w:eastAsia="en-US"/>
        </w:rPr>
        <w:t xml:space="preserve">. gadam kopā veido </w:t>
      </w:r>
      <w:r w:rsidR="00031C67">
        <w:rPr>
          <w:rFonts w:eastAsiaTheme="minorHAnsi"/>
          <w:shd w:val="clear" w:color="auto" w:fill="FFFFFF"/>
          <w:lang w:eastAsia="en-US"/>
        </w:rPr>
        <w:t>581,8</w:t>
      </w:r>
      <w:r w:rsidRPr="00307028">
        <w:rPr>
          <w:rFonts w:eastAsiaTheme="minorHAnsi"/>
          <w:shd w:val="clear" w:color="auto" w:fill="FFFFFF"/>
          <w:lang w:eastAsia="en-US"/>
        </w:rPr>
        <w:t> milj. </w:t>
      </w:r>
      <w:r w:rsidRPr="00307028">
        <w:rPr>
          <w:rFonts w:eastAsiaTheme="minorHAnsi"/>
          <w:i/>
          <w:iCs/>
          <w:shd w:val="clear" w:color="auto" w:fill="FFFFFF"/>
          <w:lang w:eastAsia="en-US"/>
        </w:rPr>
        <w:t>euro</w:t>
      </w:r>
      <w:r w:rsidRPr="00307028">
        <w:rPr>
          <w:rFonts w:eastAsiaTheme="minorHAnsi"/>
          <w:shd w:val="clear" w:color="auto" w:fill="FFFFFF"/>
          <w:lang w:eastAsia="en-US"/>
        </w:rPr>
        <w:t xml:space="preserve">, savukārt </w:t>
      </w:r>
      <w:r w:rsidR="00031C67" w:rsidRPr="00031C67">
        <w:rPr>
          <w:rFonts w:eastAsiaTheme="minorHAnsi"/>
          <w:shd w:val="clear" w:color="auto" w:fill="FFFFFF"/>
          <w:lang w:eastAsia="en-US"/>
        </w:rPr>
        <w:t xml:space="preserve">ES struktūrfondu un citas ārvalstu finanšu palīdzības projektu un pasākumu ietvaros plānotais finansējums </w:t>
      </w:r>
      <w:r w:rsidR="008D6A22" w:rsidRPr="00307028">
        <w:rPr>
          <w:rFonts w:eastAsiaTheme="minorHAnsi"/>
          <w:shd w:val="clear" w:color="auto" w:fill="FFFFFF"/>
          <w:lang w:eastAsia="en-US"/>
        </w:rPr>
        <w:t xml:space="preserve">tajā pašā </w:t>
      </w:r>
      <w:r w:rsidRPr="00307028">
        <w:rPr>
          <w:rFonts w:eastAsiaTheme="minorHAnsi"/>
          <w:shd w:val="clear" w:color="auto" w:fill="FFFFFF"/>
          <w:lang w:eastAsia="en-US"/>
        </w:rPr>
        <w:t xml:space="preserve">laika periodā kopā veido </w:t>
      </w:r>
      <w:r w:rsidR="00031C67">
        <w:rPr>
          <w:rFonts w:eastAsiaTheme="minorHAnsi"/>
          <w:shd w:val="clear" w:color="auto" w:fill="FFFFFF"/>
          <w:lang w:eastAsia="en-US"/>
        </w:rPr>
        <w:t>804,0</w:t>
      </w:r>
      <w:r w:rsidRPr="00307028">
        <w:rPr>
          <w:rFonts w:eastAsiaTheme="minorHAnsi"/>
          <w:shd w:val="clear" w:color="auto" w:fill="FFFFFF"/>
          <w:lang w:eastAsia="en-US"/>
        </w:rPr>
        <w:t> milj. </w:t>
      </w:r>
      <w:r w:rsidRPr="00307028">
        <w:rPr>
          <w:rFonts w:eastAsiaTheme="minorHAnsi"/>
          <w:i/>
          <w:iCs/>
          <w:shd w:val="clear" w:color="auto" w:fill="FFFFFF"/>
          <w:lang w:eastAsia="en-US"/>
        </w:rPr>
        <w:t>euro</w:t>
      </w:r>
      <w:r w:rsidRPr="00307028">
        <w:rPr>
          <w:rFonts w:eastAsiaTheme="minorHAnsi"/>
          <w:shd w:val="clear" w:color="auto" w:fill="FFFFFF"/>
          <w:vertAlign w:val="superscript"/>
          <w:lang w:eastAsia="en-US"/>
        </w:rPr>
        <w:footnoteReference w:id="71"/>
      </w:r>
      <w:r w:rsidRPr="00307028">
        <w:rPr>
          <w:rFonts w:eastAsiaTheme="minorHAnsi"/>
          <w:shd w:val="clear" w:color="auto" w:fill="FFFFFF"/>
          <w:lang w:eastAsia="en-US"/>
        </w:rPr>
        <w:t xml:space="preserve"> (Attēls Nr. 3.2.2.1.).</w:t>
      </w:r>
    </w:p>
    <w:p w14:paraId="1485512A" w14:textId="2BDF43CD" w:rsidR="00F2230B" w:rsidRPr="00F2230B" w:rsidRDefault="00F2230B" w:rsidP="00F2230B">
      <w:pPr>
        <w:spacing w:before="120" w:after="120"/>
        <w:jc w:val="center"/>
        <w:rPr>
          <w:b/>
          <w:bCs/>
          <w:sz w:val="22"/>
          <w:szCs w:val="22"/>
        </w:rPr>
      </w:pPr>
      <w:r>
        <w:rPr>
          <w:b/>
          <w:bCs/>
          <w:i/>
          <w:iCs/>
          <w:noProof/>
          <w:sz w:val="22"/>
          <w:szCs w:val="22"/>
        </w:rPr>
        <w:drawing>
          <wp:anchor distT="0" distB="0" distL="114300" distR="114300" simplePos="0" relativeHeight="251770880" behindDoc="0" locked="0" layoutInCell="1" allowOverlap="1" wp14:anchorId="0186C05F" wp14:editId="4DCF7C45">
            <wp:simplePos x="0" y="0"/>
            <wp:positionH relativeFrom="column">
              <wp:posOffset>81915</wp:posOffset>
            </wp:positionH>
            <wp:positionV relativeFrom="paragraph">
              <wp:posOffset>381635</wp:posOffset>
            </wp:positionV>
            <wp:extent cx="5661025" cy="3086100"/>
            <wp:effectExtent l="0" t="0" r="0" b="0"/>
            <wp:wrapThrough wrapText="bothSides">
              <wp:wrapPolygon edited="0">
                <wp:start x="0" y="0"/>
                <wp:lineTo x="0" y="21467"/>
                <wp:lineTo x="21515" y="21467"/>
                <wp:lineTo x="21515" y="0"/>
                <wp:lineTo x="0" y="0"/>
              </wp:wrapPolygon>
            </wp:wrapThrough>
            <wp:docPr id="6468463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61025" cy="3086100"/>
                    </a:xfrm>
                    <a:prstGeom prst="rect">
                      <a:avLst/>
                    </a:prstGeom>
                    <a:noFill/>
                  </pic:spPr>
                </pic:pic>
              </a:graphicData>
            </a:graphic>
            <wp14:sizeRelH relativeFrom="margin">
              <wp14:pctWidth>0</wp14:pctWidth>
            </wp14:sizeRelH>
            <wp14:sizeRelV relativeFrom="margin">
              <wp14:pctHeight>0</wp14:pctHeight>
            </wp14:sizeRelV>
          </wp:anchor>
        </w:drawing>
      </w:r>
      <w:r w:rsidR="000711FD" w:rsidRPr="00307028">
        <w:rPr>
          <w:b/>
          <w:bCs/>
          <w:i/>
          <w:iCs/>
          <w:sz w:val="22"/>
          <w:szCs w:val="22"/>
        </w:rPr>
        <w:t>3.2.2.1. attēls</w:t>
      </w:r>
      <w:r w:rsidR="000711FD" w:rsidRPr="00307028">
        <w:rPr>
          <w:b/>
          <w:bCs/>
          <w:sz w:val="22"/>
          <w:szCs w:val="22"/>
        </w:rPr>
        <w:t xml:space="preserve"> Valsts budžeta un ES fondu finansējums zinātnei no 2015. līdz 2022. gadam, milj. </w:t>
      </w:r>
      <w:r w:rsidR="000711FD" w:rsidRPr="00307028">
        <w:rPr>
          <w:b/>
          <w:bCs/>
          <w:i/>
          <w:iCs/>
          <w:sz w:val="22"/>
          <w:szCs w:val="22"/>
        </w:rPr>
        <w:t>euro</w:t>
      </w:r>
    </w:p>
    <w:p w14:paraId="07A36E71" w14:textId="56945B74" w:rsidR="00B42A37" w:rsidRPr="00307028" w:rsidRDefault="00B42A37" w:rsidP="00B42A37">
      <w:pPr>
        <w:spacing w:before="120" w:after="120" w:line="259" w:lineRule="auto"/>
        <w:ind w:firstLine="720"/>
        <w:jc w:val="both"/>
        <w:rPr>
          <w:rFonts w:eastAsiaTheme="minorHAnsi"/>
          <w:b/>
          <w:bCs/>
          <w:lang w:eastAsia="en-US"/>
        </w:rPr>
      </w:pPr>
      <w:r w:rsidRPr="00307028">
        <w:rPr>
          <w:rFonts w:eastAsiaTheme="minorHAnsi"/>
          <w:shd w:val="clear" w:color="auto" w:fill="FFFFFF"/>
          <w:lang w:eastAsia="en-US"/>
        </w:rPr>
        <w:t>VPP kā valsts pasūtījums zinātnē ir instruments, ar kura palīdzību tiek identificēti un pētīti Latvijas ilgtspējai un attīstībai nozīmīgākie jautājumi, kuru risināšanai nepieciešams fokusēt Latvijas zinātnisko institūciju darbu. Tāpēc ir svarīgi nodrošināt, ka valsts stratēģiski investē budžeta līdzekļus zinātniskajā darbībā, lai radītu labvēlīgus apstākļus Latvijas ilgtspējīgas attīstības mērķu sasniegšanai, tajā skaitā valsts drošībai un ekonomiskās izaugsmes stimulēšanai, sabiedrības attīstībai un kultūras mantojuma saglabāšanai.</w:t>
      </w:r>
      <w:r w:rsidRPr="00307028">
        <w:rPr>
          <w:rFonts w:eastAsiaTheme="minorHAnsi"/>
          <w:shd w:val="clear" w:color="auto" w:fill="FFFFFF"/>
          <w:vertAlign w:val="superscript"/>
          <w:lang w:eastAsia="en-US"/>
        </w:rPr>
        <w:footnoteReference w:id="72"/>
      </w:r>
    </w:p>
    <w:p w14:paraId="23D09D8C" w14:textId="69DEB15D" w:rsidR="00B42A37" w:rsidRPr="00307028" w:rsidRDefault="00B42A37" w:rsidP="00B42A37">
      <w:pPr>
        <w:shd w:val="clear" w:color="auto" w:fill="FFFFFF"/>
        <w:spacing w:after="120" w:line="259" w:lineRule="auto"/>
        <w:ind w:firstLine="709"/>
        <w:jc w:val="both"/>
        <w:rPr>
          <w:rFonts w:eastAsia="Times New Roman"/>
          <w:shd w:val="clear" w:color="auto" w:fill="FFFFFF"/>
          <w:lang w:eastAsia="lv-LV"/>
        </w:rPr>
      </w:pPr>
      <w:r w:rsidRPr="00307028">
        <w:rPr>
          <w:rFonts w:eastAsia="Times New Roman"/>
          <w:shd w:val="clear" w:color="auto" w:fill="FFFFFF"/>
          <w:lang w:eastAsia="lv-LV"/>
        </w:rPr>
        <w:lastRenderedPageBreak/>
        <w:t>Saskaņā ar Zinātniskās darbības likumā</w:t>
      </w:r>
      <w:r w:rsidRPr="00307028">
        <w:rPr>
          <w:rFonts w:eastAsia="Times New Roman"/>
          <w:vertAlign w:val="superscript"/>
          <w:lang w:eastAsia="lv-LV"/>
        </w:rPr>
        <w:footnoteReference w:id="73"/>
      </w:r>
      <w:r w:rsidRPr="00307028">
        <w:rPr>
          <w:rFonts w:eastAsia="Times New Roman"/>
          <w:shd w:val="clear" w:color="auto" w:fill="FFFFFF"/>
          <w:lang w:eastAsia="lv-LV"/>
        </w:rPr>
        <w:t xml:space="preserve"> noteikto VPP mērķus un uzdevumus nosaka attiecīgās nozaru ministrijas, konsultējoties ar Latvijas Zinātņu akadēmiju un LZP. IZM vai citas nozaru ministrijas VPP projektu konkursa kārtībā var piešķirt VPP projektiem finansējumu no zinātnes finansēšanai piešķirtajiem valsts budžeta līdzekļiem. VPP projektu konkursu organizē un īsteno LZP, savukārt VPP projektu pieteikšanas, ekspertīzes, īstenošanas un finansēšanas kārtību, kā arī VPP projektu īstenošanai piešķirto finanšu līdzekļu izlietojuma kontroles kārtību nosaka MK.</w:t>
      </w:r>
    </w:p>
    <w:p w14:paraId="61366ECF" w14:textId="3C1785B9" w:rsidR="003D7C30" w:rsidRPr="00307028" w:rsidRDefault="003D7C30" w:rsidP="003D7C30">
      <w:pPr>
        <w:spacing w:after="120" w:line="259" w:lineRule="auto"/>
        <w:ind w:firstLine="720"/>
        <w:jc w:val="both"/>
        <w:rPr>
          <w:rFonts w:eastAsia="Times New Roman"/>
          <w:shd w:val="clear" w:color="auto" w:fill="FFFFFF"/>
          <w:lang w:eastAsia="lv-LV"/>
        </w:rPr>
      </w:pPr>
      <w:r w:rsidRPr="00307028">
        <w:rPr>
          <w:rFonts w:eastAsia="Times New Roman"/>
          <w:shd w:val="clear" w:color="auto" w:fill="FFFFFF"/>
          <w:lang w:eastAsia="lv-LV"/>
        </w:rPr>
        <w:t>2018. gada 4. septembra MK noteikumu Nr. 560 “Valsts pētījumu programmu projektu īstenošanas kārtība”</w:t>
      </w:r>
      <w:r w:rsidRPr="00307028">
        <w:rPr>
          <w:rFonts w:eastAsia="Times New Roman"/>
          <w:shd w:val="clear" w:color="auto" w:fill="FFFFFF"/>
          <w:vertAlign w:val="superscript"/>
          <w:lang w:eastAsia="lv-LV"/>
        </w:rPr>
        <w:footnoteReference w:id="74"/>
      </w:r>
      <w:r w:rsidRPr="00307028">
        <w:rPr>
          <w:rFonts w:eastAsia="Times New Roman"/>
          <w:shd w:val="clear" w:color="auto" w:fill="FFFFFF"/>
          <w:lang w:eastAsia="lv-LV"/>
        </w:rPr>
        <w:t xml:space="preserve"> (turpmāk – MK noteikumi Nr.560) 12. punkts nosaka, ka VPP projektu īstenošanas laikā sagaidāms viens vai vairāki šādi </w:t>
      </w:r>
      <w:r w:rsidRPr="00307028">
        <w:rPr>
          <w:rFonts w:eastAsia="Times New Roman"/>
          <w:b/>
          <w:bCs/>
          <w:shd w:val="clear" w:color="auto" w:fill="FFFFFF"/>
          <w:lang w:eastAsia="lv-LV"/>
        </w:rPr>
        <w:t>projekta rezultāti:</w:t>
      </w:r>
    </w:p>
    <w:p w14:paraId="0045E65A"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pētniecības rezultātu publiskas pieejamības nodrošināšana, tai skaitā:</w:t>
      </w:r>
    </w:p>
    <w:p w14:paraId="14A2B46F" w14:textId="1C7848B3" w:rsidR="003D7C30" w:rsidRPr="00307028" w:rsidRDefault="003D7C30" w:rsidP="003D7C30">
      <w:pPr>
        <w:shd w:val="clear" w:color="auto" w:fill="FFFFFF"/>
        <w:spacing w:after="120" w:line="259" w:lineRule="auto"/>
        <w:ind w:left="1560" w:hanging="425"/>
        <w:jc w:val="both"/>
        <w:rPr>
          <w:rFonts w:eastAsia="Times New Roman"/>
          <w:shd w:val="clear" w:color="auto" w:fill="FFFFFF"/>
          <w:lang w:eastAsia="lv-LV"/>
        </w:rPr>
      </w:pPr>
      <w:r w:rsidRPr="00307028">
        <w:rPr>
          <w:rFonts w:eastAsia="Times New Roman"/>
          <w:shd w:val="clear" w:color="auto" w:fill="FFFFFF"/>
          <w:lang w:eastAsia="lv-LV"/>
        </w:rPr>
        <w:t>1.1. oriģināli zinātniskie raksti, kas publicēti žurnālos vai konferenču rakstu krājumos, kuru citēšanas indekss sasniedz vismaz 50 procentus no nozares vidējā citēšanas indeksa;</w:t>
      </w:r>
    </w:p>
    <w:p w14:paraId="40F0C078" w14:textId="77777777" w:rsidR="003D7C30" w:rsidRPr="00307028" w:rsidRDefault="003D7C30" w:rsidP="003D7C30">
      <w:pPr>
        <w:shd w:val="clear" w:color="auto" w:fill="FFFFFF"/>
        <w:spacing w:after="120" w:line="259" w:lineRule="auto"/>
        <w:ind w:left="1560" w:hanging="425"/>
        <w:jc w:val="both"/>
        <w:rPr>
          <w:rFonts w:eastAsia="Times New Roman"/>
          <w:shd w:val="clear" w:color="auto" w:fill="FFFFFF"/>
          <w:lang w:eastAsia="lv-LV"/>
        </w:rPr>
      </w:pPr>
      <w:r w:rsidRPr="00307028">
        <w:rPr>
          <w:rFonts w:eastAsia="Times New Roman"/>
          <w:shd w:val="clear" w:color="auto" w:fill="FFFFFF"/>
          <w:lang w:eastAsia="lv-LV"/>
        </w:rPr>
        <w:t>1.2. oriģināli zinātniskie raksti, kas publicēti </w:t>
      </w:r>
      <w:r w:rsidRPr="00307028">
        <w:rPr>
          <w:rFonts w:eastAsia="Times New Roman"/>
          <w:i/>
          <w:iCs/>
          <w:shd w:val="clear" w:color="auto" w:fill="FFFFFF"/>
          <w:lang w:eastAsia="lv-LV"/>
        </w:rPr>
        <w:t>Web of Science</w:t>
      </w:r>
      <w:r w:rsidRPr="00307028">
        <w:rPr>
          <w:rFonts w:eastAsia="Times New Roman"/>
          <w:shd w:val="clear" w:color="auto" w:fill="FFFFFF"/>
          <w:lang w:eastAsia="lv-LV"/>
        </w:rPr>
        <w:t> vai </w:t>
      </w:r>
      <w:r w:rsidRPr="00307028">
        <w:rPr>
          <w:rFonts w:eastAsia="Times New Roman"/>
          <w:i/>
          <w:iCs/>
          <w:shd w:val="clear" w:color="auto" w:fill="FFFFFF"/>
          <w:lang w:eastAsia="lv-LV"/>
        </w:rPr>
        <w:t>SCOPUS</w:t>
      </w:r>
      <w:r w:rsidRPr="00307028">
        <w:rPr>
          <w:rFonts w:eastAsia="Times New Roman"/>
          <w:shd w:val="clear" w:color="auto" w:fill="FFFFFF"/>
          <w:lang w:eastAsia="lv-LV"/>
        </w:rPr>
        <w:t> (A vai B) datubāzēs iekļautajos žurnālos vai konferenču rakstu krājumos;</w:t>
      </w:r>
    </w:p>
    <w:p w14:paraId="6F14A200"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tehnoloģiju tiesības;</w:t>
      </w:r>
    </w:p>
    <w:p w14:paraId="0597C753"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intelektuālā īpašuma licences līgumi;</w:t>
      </w:r>
    </w:p>
    <w:p w14:paraId="2AC66F3B"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jauna produkta vai jaunas tehnoloģijas prototips;</w:t>
      </w:r>
    </w:p>
    <w:p w14:paraId="19A5E721" w14:textId="1AAE7628"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jaunas ārstniecības un diagnostikas metodes (tai skaitā nekomercializējama metode), kas papildina 1., 2., 3. vai 4. punktā minētos rezultātus;</w:t>
      </w:r>
    </w:p>
    <w:p w14:paraId="0CA0956A"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ziņojumi par rīcībpolitikas ieteikumiem un rīcībpolitiku ietekmi;</w:t>
      </w:r>
    </w:p>
    <w:p w14:paraId="0790AE5F" w14:textId="77777777"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sekmīgi nokārtots maģistra valsts (gala) pārbaudījums un noteiktā kārtībā aizstāvēts promocijas darbs, ievērojot programmas mērķi un uzdevumus;</w:t>
      </w:r>
    </w:p>
    <w:p w14:paraId="547E2217" w14:textId="4F36D958" w:rsidR="003D7C30" w:rsidRPr="00307028" w:rsidRDefault="003D7C30" w:rsidP="00183D1A">
      <w:pPr>
        <w:numPr>
          <w:ilvl w:val="0"/>
          <w:numId w:val="3"/>
        </w:numPr>
        <w:shd w:val="clear" w:color="auto" w:fill="FFFFFF"/>
        <w:spacing w:after="120" w:line="259" w:lineRule="auto"/>
        <w:ind w:left="1134"/>
        <w:jc w:val="both"/>
        <w:rPr>
          <w:rFonts w:eastAsia="Times New Roman"/>
          <w:shd w:val="clear" w:color="auto" w:fill="FFFFFF"/>
          <w:lang w:eastAsia="lv-LV"/>
        </w:rPr>
      </w:pPr>
      <w:r w:rsidRPr="00307028">
        <w:rPr>
          <w:rFonts w:eastAsia="Times New Roman"/>
          <w:shd w:val="clear" w:color="auto" w:fill="FFFFFF"/>
          <w:lang w:eastAsia="lv-LV"/>
        </w:rPr>
        <w:t>citi pētniecības specifikai atbilstoši projekta rezultāti (tai skaitā dati), kas papildina 1., 2., 3., 4. vai 6. punktā minētos rezultātus.</w:t>
      </w:r>
    </w:p>
    <w:p w14:paraId="1BD25EE2" w14:textId="2F38D60E" w:rsidR="00612E79" w:rsidRPr="00F2230B" w:rsidRDefault="003D7C30" w:rsidP="00F2230B">
      <w:pPr>
        <w:shd w:val="clear" w:color="auto" w:fill="FFFFFF"/>
        <w:spacing w:after="120" w:line="259" w:lineRule="auto"/>
        <w:ind w:firstLine="709"/>
        <w:jc w:val="both"/>
        <w:rPr>
          <w:rFonts w:eastAsia="Times New Roman"/>
          <w:lang w:eastAsia="lv-LV"/>
        </w:rPr>
      </w:pPr>
      <w:r w:rsidRPr="00307028">
        <w:rPr>
          <w:rFonts w:eastAsia="Times New Roman"/>
          <w:lang w:eastAsia="lv-LV"/>
        </w:rPr>
        <w:t>VPP uzraudzības struktūra ir veidota, lai nodrošinātu gan VPP projektu progresu, gan rezultātu sasniegšanu, gan arī finansējuma efektīvu izlietojumu, vienlaikus pozicionējot projektu rezultātus plašākā stratēģiskā kontekstā. Programmas stratēģiskās vadības padome sniedz konsultatīvu atbalstu programmas izstrādes un īstenošanas laikā un viedokli par programmas rezultātiem pēc programmas īstenošanas. Programmas īstenošanas un uzraudzības komisija (turpmāk – komisija) regulāri seko gan projektu izpildes progresam, gan arī papildu projektu rezultātu izpildei. Komisija lēmumus par programmas īstenošanu un uzraudzību pieņem atbilstoši MK noteikumu Nr. 560 8. punktā un komisijas nolikumā noteiktajam, savukārt pieņemtos lēmumus izpilda LZP. Programmas ieviešanu nodrošina LZP, veicot finanšu un rezultātu izpildes uzraudzību, kā arī projektu zinātnisko rezultātu izpildes monitoringu un programmas noslēguma izvērtēšanu (Attēls Nr. 3.2.2.2.).</w:t>
      </w:r>
    </w:p>
    <w:p w14:paraId="60A8B7E1" w14:textId="77777777" w:rsidR="007760F6" w:rsidRDefault="007760F6" w:rsidP="003D7C30">
      <w:pPr>
        <w:shd w:val="clear" w:color="auto" w:fill="FFFFFF"/>
        <w:spacing w:line="293" w:lineRule="atLeast"/>
        <w:jc w:val="center"/>
        <w:rPr>
          <w:rFonts w:eastAsia="Times New Roman"/>
          <w:b/>
          <w:i/>
          <w:iCs/>
          <w:sz w:val="22"/>
          <w:szCs w:val="22"/>
          <w:lang w:eastAsia="lv-LV"/>
        </w:rPr>
      </w:pPr>
    </w:p>
    <w:p w14:paraId="636261B3" w14:textId="77777777" w:rsidR="007760F6" w:rsidRDefault="007760F6" w:rsidP="003D7C30">
      <w:pPr>
        <w:shd w:val="clear" w:color="auto" w:fill="FFFFFF"/>
        <w:spacing w:line="293" w:lineRule="atLeast"/>
        <w:jc w:val="center"/>
        <w:rPr>
          <w:rFonts w:eastAsia="Times New Roman"/>
          <w:b/>
          <w:i/>
          <w:iCs/>
          <w:sz w:val="22"/>
          <w:szCs w:val="22"/>
          <w:lang w:eastAsia="lv-LV"/>
        </w:rPr>
      </w:pPr>
    </w:p>
    <w:p w14:paraId="687E72D7" w14:textId="77777777" w:rsidR="007760F6" w:rsidRDefault="007760F6" w:rsidP="003D7C30">
      <w:pPr>
        <w:shd w:val="clear" w:color="auto" w:fill="FFFFFF"/>
        <w:spacing w:line="293" w:lineRule="atLeast"/>
        <w:jc w:val="center"/>
        <w:rPr>
          <w:rFonts w:eastAsia="Times New Roman"/>
          <w:b/>
          <w:i/>
          <w:iCs/>
          <w:sz w:val="22"/>
          <w:szCs w:val="22"/>
          <w:lang w:eastAsia="lv-LV"/>
        </w:rPr>
      </w:pPr>
    </w:p>
    <w:p w14:paraId="382495AE" w14:textId="504B0151" w:rsidR="003D7C30" w:rsidRPr="00307028" w:rsidRDefault="003D7C30" w:rsidP="003D7C30">
      <w:pPr>
        <w:shd w:val="clear" w:color="auto" w:fill="FFFFFF"/>
        <w:spacing w:line="293" w:lineRule="atLeast"/>
        <w:jc w:val="center"/>
        <w:rPr>
          <w:rFonts w:eastAsia="Times New Roman"/>
          <w:b/>
          <w:bCs/>
          <w:sz w:val="22"/>
          <w:szCs w:val="22"/>
          <w:lang w:eastAsia="lv-LV"/>
        </w:rPr>
      </w:pPr>
      <w:r w:rsidRPr="00307028">
        <w:rPr>
          <w:rFonts w:eastAsia="Times New Roman"/>
          <w:b/>
          <w:i/>
          <w:iCs/>
          <w:sz w:val="22"/>
          <w:szCs w:val="22"/>
          <w:lang w:eastAsia="lv-LV"/>
        </w:rPr>
        <w:lastRenderedPageBreak/>
        <w:t>3.2.2.2. attēls</w:t>
      </w:r>
      <w:r w:rsidRPr="00307028">
        <w:rPr>
          <w:rFonts w:eastAsia="Times New Roman"/>
          <w:b/>
          <w:sz w:val="22"/>
          <w:szCs w:val="22"/>
          <w:lang w:eastAsia="lv-LV"/>
        </w:rPr>
        <w:t xml:space="preserve"> </w:t>
      </w:r>
      <w:r w:rsidRPr="00307028">
        <w:rPr>
          <w:rFonts w:eastAsia="Times New Roman"/>
          <w:b/>
          <w:bCs/>
          <w:sz w:val="22"/>
          <w:szCs w:val="22"/>
          <w:lang w:eastAsia="lv-LV"/>
        </w:rPr>
        <w:t>VPP uzraudzības struktūra</w:t>
      </w:r>
      <w:r w:rsidRPr="00307028">
        <w:rPr>
          <w:rFonts w:eastAsia="Times New Roman"/>
          <w:sz w:val="22"/>
          <w:szCs w:val="22"/>
          <w:vertAlign w:val="superscript"/>
          <w:lang w:eastAsia="lv-LV"/>
        </w:rPr>
        <w:footnoteReference w:id="75"/>
      </w:r>
    </w:p>
    <w:p w14:paraId="6E8F1085"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r w:rsidRPr="00307028">
        <w:rPr>
          <w:rFonts w:eastAsia="Times New Roman"/>
          <w:noProof/>
          <w:sz w:val="22"/>
          <w:szCs w:val="22"/>
          <w:lang w:eastAsia="lv-LV"/>
        </w:rPr>
        <w:drawing>
          <wp:anchor distT="0" distB="0" distL="114300" distR="114300" simplePos="0" relativeHeight="251694080" behindDoc="0" locked="0" layoutInCell="1" allowOverlap="1" wp14:anchorId="65DDBF0D" wp14:editId="4C07CE68">
            <wp:simplePos x="0" y="0"/>
            <wp:positionH relativeFrom="page">
              <wp:posOffset>1597660</wp:posOffset>
            </wp:positionH>
            <wp:positionV relativeFrom="paragraph">
              <wp:posOffset>24130</wp:posOffset>
            </wp:positionV>
            <wp:extent cx="4222115" cy="2541270"/>
            <wp:effectExtent l="0" t="0" r="6985" b="0"/>
            <wp:wrapThrough wrapText="bothSides">
              <wp:wrapPolygon edited="0">
                <wp:start x="0" y="0"/>
                <wp:lineTo x="0" y="21373"/>
                <wp:lineTo x="21538" y="21373"/>
                <wp:lineTo x="21538" y="0"/>
                <wp:lineTo x="0" y="0"/>
              </wp:wrapPolygon>
            </wp:wrapThrough>
            <wp:docPr id="1971827557" name="Picture 1971827557"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funnel chart&#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4222115" cy="2541270"/>
                    </a:xfrm>
                    <a:prstGeom prst="rect">
                      <a:avLst/>
                    </a:prstGeom>
                  </pic:spPr>
                </pic:pic>
              </a:graphicData>
            </a:graphic>
            <wp14:sizeRelH relativeFrom="margin">
              <wp14:pctWidth>0</wp14:pctWidth>
            </wp14:sizeRelH>
            <wp14:sizeRelV relativeFrom="margin">
              <wp14:pctHeight>0</wp14:pctHeight>
            </wp14:sizeRelV>
          </wp:anchor>
        </w:drawing>
      </w:r>
    </w:p>
    <w:p w14:paraId="0179B622"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354CD48C"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5F82E06A"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3AE83AE1"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7A27AF56"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5F7E8222" w14:textId="77777777" w:rsidR="003D7C30" w:rsidRPr="00307028" w:rsidRDefault="003D7C30" w:rsidP="003D7C30">
      <w:pPr>
        <w:shd w:val="clear" w:color="auto" w:fill="FFFFFF"/>
        <w:spacing w:line="293" w:lineRule="atLeast"/>
        <w:jc w:val="center"/>
        <w:rPr>
          <w:rFonts w:eastAsia="Times New Roman"/>
          <w:b/>
          <w:bCs/>
          <w:sz w:val="22"/>
          <w:szCs w:val="22"/>
          <w:lang w:eastAsia="lv-LV"/>
        </w:rPr>
      </w:pPr>
    </w:p>
    <w:p w14:paraId="135330FD" w14:textId="77777777" w:rsidR="003D7C30" w:rsidRPr="00307028" w:rsidRDefault="003D7C30" w:rsidP="003D7C30">
      <w:pPr>
        <w:shd w:val="clear" w:color="auto" w:fill="FFFFFF"/>
        <w:spacing w:line="293" w:lineRule="atLeast"/>
        <w:jc w:val="center"/>
        <w:rPr>
          <w:rFonts w:eastAsia="Times New Roman"/>
          <w:b/>
          <w:bCs/>
          <w:sz w:val="22"/>
          <w:szCs w:val="22"/>
          <w:shd w:val="clear" w:color="auto" w:fill="FFFFFF"/>
          <w:lang w:eastAsia="lv-LV"/>
        </w:rPr>
      </w:pPr>
    </w:p>
    <w:p w14:paraId="798B1D31" w14:textId="77777777" w:rsidR="003D7C30" w:rsidRPr="00307028" w:rsidRDefault="003D7C30" w:rsidP="003D7C30">
      <w:pPr>
        <w:shd w:val="clear" w:color="auto" w:fill="FFFFFF"/>
        <w:spacing w:line="293" w:lineRule="atLeast"/>
        <w:jc w:val="center"/>
        <w:rPr>
          <w:rFonts w:eastAsia="Times New Roman"/>
          <w:b/>
          <w:bCs/>
          <w:sz w:val="22"/>
          <w:szCs w:val="22"/>
          <w:shd w:val="clear" w:color="auto" w:fill="FFFFFF"/>
          <w:lang w:eastAsia="lv-LV"/>
        </w:rPr>
      </w:pPr>
    </w:p>
    <w:p w14:paraId="68EBE559" w14:textId="77777777" w:rsidR="003D7C30" w:rsidRPr="00307028" w:rsidRDefault="003D7C30" w:rsidP="003D7C30">
      <w:pPr>
        <w:shd w:val="clear" w:color="auto" w:fill="FFFFFF"/>
        <w:spacing w:line="293" w:lineRule="atLeast"/>
        <w:jc w:val="center"/>
        <w:rPr>
          <w:rFonts w:eastAsia="Times New Roman"/>
          <w:b/>
          <w:bCs/>
          <w:sz w:val="22"/>
          <w:szCs w:val="22"/>
          <w:shd w:val="clear" w:color="auto" w:fill="FFFFFF"/>
          <w:lang w:eastAsia="lv-LV"/>
        </w:rPr>
      </w:pPr>
    </w:p>
    <w:p w14:paraId="3CCA6D9C" w14:textId="77777777" w:rsidR="003D7C30" w:rsidRPr="00307028" w:rsidRDefault="003D7C30" w:rsidP="003D7C30">
      <w:pPr>
        <w:shd w:val="clear" w:color="auto" w:fill="FFFFFF"/>
        <w:spacing w:line="293" w:lineRule="atLeast"/>
        <w:jc w:val="center"/>
        <w:rPr>
          <w:rFonts w:eastAsia="Times New Roman"/>
          <w:b/>
          <w:bCs/>
          <w:sz w:val="22"/>
          <w:szCs w:val="22"/>
          <w:shd w:val="clear" w:color="auto" w:fill="FFFFFF"/>
          <w:lang w:eastAsia="lv-LV"/>
        </w:rPr>
      </w:pPr>
    </w:p>
    <w:p w14:paraId="6CCB831E" w14:textId="51F64FC8" w:rsidR="003D7C30" w:rsidRPr="00307028" w:rsidRDefault="003D7C30" w:rsidP="0044796B">
      <w:pPr>
        <w:shd w:val="clear" w:color="auto" w:fill="FFFFFF"/>
        <w:spacing w:line="259" w:lineRule="auto"/>
        <w:ind w:firstLine="709"/>
        <w:jc w:val="both"/>
        <w:rPr>
          <w:rFonts w:eastAsia="Times New Roman"/>
          <w:shd w:val="clear" w:color="auto" w:fill="FFFFFF"/>
          <w:lang w:eastAsia="lv-LV"/>
        </w:rPr>
      </w:pPr>
      <w:r w:rsidRPr="00307028">
        <w:rPr>
          <w:rFonts w:eastAsia="Times New Roman"/>
          <w:shd w:val="clear" w:color="auto" w:fill="FFFFFF"/>
          <w:lang w:eastAsia="lv-LV"/>
        </w:rPr>
        <w:t>Atbilstoši MK noteikumu Nr.</w:t>
      </w:r>
      <w:r w:rsidR="0044796B" w:rsidRPr="00307028">
        <w:rPr>
          <w:rFonts w:eastAsia="Times New Roman"/>
          <w:shd w:val="clear" w:color="auto" w:fill="FFFFFF"/>
          <w:lang w:eastAsia="lv-LV"/>
        </w:rPr>
        <w:t xml:space="preserve"> </w:t>
      </w:r>
      <w:r w:rsidRPr="00307028">
        <w:rPr>
          <w:rFonts w:eastAsia="Times New Roman"/>
          <w:shd w:val="clear" w:color="auto" w:fill="FFFFFF"/>
          <w:lang w:eastAsia="lv-LV"/>
        </w:rPr>
        <w:t>560 68. un 69. punktam LZP sagatavo un tr</w:t>
      </w:r>
      <w:r w:rsidR="00353DB3" w:rsidRPr="00307028">
        <w:rPr>
          <w:rFonts w:eastAsia="Times New Roman"/>
          <w:shd w:val="clear" w:color="auto" w:fill="FFFFFF"/>
          <w:lang w:eastAsia="lv-LV"/>
        </w:rPr>
        <w:t>īs</w:t>
      </w:r>
      <w:r w:rsidRPr="00307028">
        <w:rPr>
          <w:rFonts w:eastAsia="Times New Roman"/>
          <w:shd w:val="clear" w:color="auto" w:fill="FFFFFF"/>
          <w:lang w:eastAsia="lv-LV"/>
        </w:rPr>
        <w:t xml:space="preserve"> mēnešu laikā pēc projekta noslēguma iesniedz komisijā projekta īstenošanas kopsavilkumu. Komisijas sekretariāts mēneša laikā pēc kopsavilkuma iesniegšanas komisijai sagatavo un iesniedz saskaņošanai un nozares ministrijai apstiprināšanai ziņojumu par finansētā projekta īstenošanas gaitā plānoto un sasniegto rezultātu atbilstību programmas mērķim un uzdevumiem. Minēto ziņojumu nozares ministrija un LZP publicē savā tīmekļvietnē tr</w:t>
      </w:r>
      <w:r w:rsidR="00353DB3" w:rsidRPr="00307028">
        <w:rPr>
          <w:rFonts w:eastAsia="Times New Roman"/>
          <w:shd w:val="clear" w:color="auto" w:fill="FFFFFF"/>
          <w:lang w:eastAsia="lv-LV"/>
        </w:rPr>
        <w:t>īs</w:t>
      </w:r>
      <w:r w:rsidRPr="00307028">
        <w:rPr>
          <w:rFonts w:eastAsia="Times New Roman"/>
          <w:shd w:val="clear" w:color="auto" w:fill="FFFFFF"/>
          <w:lang w:eastAsia="lv-LV"/>
        </w:rPr>
        <w:t xml:space="preserve"> darbdienu laikā pēc tā apstiprināšanas.</w:t>
      </w:r>
    </w:p>
    <w:p w14:paraId="5671FEDF" w14:textId="77777777" w:rsidR="003D7C30" w:rsidRPr="00307028" w:rsidRDefault="003D7C30" w:rsidP="003D7C30">
      <w:pPr>
        <w:spacing w:after="120" w:line="259" w:lineRule="auto"/>
        <w:ind w:firstLine="720"/>
        <w:jc w:val="both"/>
        <w:rPr>
          <w:rFonts w:eastAsiaTheme="minorHAnsi"/>
          <w:u w:val="single"/>
          <w:shd w:val="clear" w:color="auto" w:fill="FFFFFF"/>
          <w:lang w:eastAsia="en-US"/>
        </w:rPr>
      </w:pPr>
      <w:r w:rsidRPr="00307028">
        <w:rPr>
          <w:rFonts w:eastAsiaTheme="minorHAnsi"/>
          <w:u w:val="single"/>
          <w:shd w:val="clear" w:color="auto" w:fill="FFFFFF"/>
          <w:lang w:eastAsia="en-US"/>
        </w:rPr>
        <w:t>Valsts pētījumu programmu izvērtējums</w:t>
      </w:r>
    </w:p>
    <w:p w14:paraId="6E4B9D48" w14:textId="18090992" w:rsidR="003D7C30" w:rsidRPr="00307028" w:rsidRDefault="003D7C30" w:rsidP="003D7C30">
      <w:pPr>
        <w:spacing w:after="120" w:line="259" w:lineRule="auto"/>
        <w:ind w:firstLine="720"/>
        <w:jc w:val="both"/>
        <w:rPr>
          <w:rFonts w:eastAsiaTheme="minorHAnsi"/>
          <w:lang w:eastAsia="en-US"/>
        </w:rPr>
      </w:pPr>
      <w:r w:rsidRPr="00307028">
        <w:rPr>
          <w:rFonts w:eastAsiaTheme="minorHAnsi"/>
          <w:lang w:eastAsia="en-US"/>
        </w:rPr>
        <w:t xml:space="preserve">Saskaņā ar LZP </w:t>
      </w:r>
      <w:r w:rsidR="00353DB3" w:rsidRPr="00307028">
        <w:rPr>
          <w:rFonts w:eastAsiaTheme="minorHAnsi"/>
          <w:lang w:eastAsia="en-US"/>
        </w:rPr>
        <w:t>tīmekļvietnē</w:t>
      </w:r>
      <w:r w:rsidRPr="00307028">
        <w:rPr>
          <w:rFonts w:eastAsiaTheme="minorHAnsi"/>
          <w:vertAlign w:val="superscript"/>
          <w:lang w:eastAsia="en-US"/>
        </w:rPr>
        <w:footnoteReference w:id="76"/>
      </w:r>
      <w:r w:rsidRPr="00307028">
        <w:rPr>
          <w:rFonts w:eastAsiaTheme="minorHAnsi"/>
          <w:lang w:eastAsia="en-US"/>
        </w:rPr>
        <w:t xml:space="preserve"> pieejamo informāciju un LZP sniegto informāciju, laika periodā no 2018. gada līdz 2022. gadam ir īstenotas astoņas VPP, bet vienai VPP </w:t>
      </w:r>
      <w:r w:rsidRPr="00307028">
        <w:rPr>
          <w:rFonts w:eastAsia="Times New Roman"/>
          <w:shd w:val="clear" w:color="auto" w:fill="FFFFFF"/>
          <w:lang w:eastAsia="lv-LV"/>
        </w:rPr>
        <w:t>–</w:t>
      </w:r>
      <w:r w:rsidRPr="00307028">
        <w:rPr>
          <w:rFonts w:eastAsiaTheme="minorHAnsi"/>
          <w:lang w:eastAsia="en-US"/>
        </w:rPr>
        <w:t xml:space="preserve"> “Ilgtspējīga teritorijas attīstība un racionāla zemes resursu izmantošana” </w:t>
      </w:r>
      <w:r w:rsidRPr="00307028">
        <w:rPr>
          <w:rFonts w:eastAsia="Times New Roman"/>
          <w:shd w:val="clear" w:color="auto" w:fill="FFFFFF"/>
          <w:lang w:eastAsia="lv-LV"/>
        </w:rPr>
        <w:t xml:space="preserve">– </w:t>
      </w:r>
      <w:r w:rsidRPr="00307028">
        <w:rPr>
          <w:rFonts w:eastAsiaTheme="minorHAnsi"/>
          <w:lang w:eastAsia="en-US"/>
        </w:rPr>
        <w:t>noslēgta vienošanās par līguma termiņa pagarināšanu līdz 2023. gada 1. jūlijam (sākotnēji plānotais termiņš bija 2022. gada 30. novembris). Laika periodā no 2020. gada apstiprinātas un līdz 2026. gadam tiks īstenotas vēl astoņas VPP (Tabula Nr. 3.2.2.1.).</w:t>
      </w:r>
    </w:p>
    <w:p w14:paraId="66205996" w14:textId="445A7E0B" w:rsidR="0080220D" w:rsidRPr="00307028" w:rsidRDefault="0080220D" w:rsidP="00353DB3">
      <w:pPr>
        <w:spacing w:after="120" w:line="259" w:lineRule="auto"/>
        <w:jc w:val="center"/>
        <w:rPr>
          <w:rFonts w:eastAsiaTheme="minorHAnsi"/>
          <w:b/>
          <w:i/>
          <w:iCs/>
          <w:sz w:val="22"/>
          <w:szCs w:val="22"/>
          <w:lang w:eastAsia="en-US"/>
        </w:rPr>
      </w:pPr>
      <w:r w:rsidRPr="00307028">
        <w:rPr>
          <w:rFonts w:eastAsiaTheme="minorHAnsi"/>
          <w:b/>
          <w:i/>
          <w:iCs/>
          <w:sz w:val="22"/>
          <w:szCs w:val="22"/>
          <w:lang w:eastAsia="en-US"/>
        </w:rPr>
        <w:t>3.2.2.1. tabula</w:t>
      </w:r>
      <w:r w:rsidRPr="00307028">
        <w:rPr>
          <w:rFonts w:eastAsiaTheme="minorHAnsi"/>
          <w:b/>
          <w:sz w:val="22"/>
          <w:szCs w:val="22"/>
          <w:lang w:eastAsia="en-US"/>
        </w:rPr>
        <w:t xml:space="preserve"> Īstenotās un apstiprinātās VPP no 2018. gada līdz 2026. gadam</w:t>
      </w:r>
    </w:p>
    <w:tbl>
      <w:tblPr>
        <w:tblStyle w:val="TableGrid"/>
        <w:tblW w:w="9209" w:type="dxa"/>
        <w:tblLayout w:type="fixed"/>
        <w:tblLook w:val="04A0" w:firstRow="1" w:lastRow="0" w:firstColumn="1" w:lastColumn="0" w:noHBand="0" w:noVBand="1"/>
      </w:tblPr>
      <w:tblGrid>
        <w:gridCol w:w="528"/>
        <w:gridCol w:w="1389"/>
        <w:gridCol w:w="5024"/>
        <w:gridCol w:w="992"/>
        <w:gridCol w:w="1276"/>
      </w:tblGrid>
      <w:tr w:rsidR="0080220D" w:rsidRPr="00307028" w14:paraId="55B4DA71" w14:textId="77777777" w:rsidTr="0080220D">
        <w:tc>
          <w:tcPr>
            <w:tcW w:w="528" w:type="dxa"/>
            <w:shd w:val="clear" w:color="auto" w:fill="A1D6E9"/>
            <w:vAlign w:val="center"/>
          </w:tcPr>
          <w:p w14:paraId="0219C1E9"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Nr.</w:t>
            </w:r>
          </w:p>
        </w:tc>
        <w:tc>
          <w:tcPr>
            <w:tcW w:w="1389" w:type="dxa"/>
            <w:shd w:val="clear" w:color="auto" w:fill="A1D6E9"/>
            <w:vAlign w:val="center"/>
          </w:tcPr>
          <w:p w14:paraId="3130C922"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Atbildīgā institūcija</w:t>
            </w:r>
          </w:p>
        </w:tc>
        <w:tc>
          <w:tcPr>
            <w:tcW w:w="5024" w:type="dxa"/>
            <w:shd w:val="clear" w:color="auto" w:fill="A1D6E9"/>
            <w:vAlign w:val="center"/>
          </w:tcPr>
          <w:p w14:paraId="37A0EDC1"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VPP nosaukums</w:t>
            </w:r>
          </w:p>
        </w:tc>
        <w:tc>
          <w:tcPr>
            <w:tcW w:w="992" w:type="dxa"/>
            <w:shd w:val="clear" w:color="auto" w:fill="A1D6E9"/>
            <w:vAlign w:val="center"/>
          </w:tcPr>
          <w:p w14:paraId="33CDCBC6"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Sākums</w:t>
            </w:r>
          </w:p>
        </w:tc>
        <w:tc>
          <w:tcPr>
            <w:tcW w:w="1276" w:type="dxa"/>
            <w:shd w:val="clear" w:color="auto" w:fill="A1D6E9"/>
            <w:vAlign w:val="center"/>
          </w:tcPr>
          <w:p w14:paraId="790F296B"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Noslēgums</w:t>
            </w:r>
          </w:p>
        </w:tc>
      </w:tr>
      <w:tr w:rsidR="0080220D" w:rsidRPr="00307028" w14:paraId="57C7014F" w14:textId="77777777" w:rsidTr="00F7258A">
        <w:trPr>
          <w:trHeight w:val="323"/>
        </w:trPr>
        <w:tc>
          <w:tcPr>
            <w:tcW w:w="9209" w:type="dxa"/>
            <w:gridSpan w:val="5"/>
            <w:shd w:val="clear" w:color="auto" w:fill="57ABD5"/>
            <w:vAlign w:val="center"/>
          </w:tcPr>
          <w:p w14:paraId="162D0289"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Īstenotās VPP</w:t>
            </w:r>
          </w:p>
        </w:tc>
      </w:tr>
      <w:tr w:rsidR="0080220D" w:rsidRPr="00307028" w14:paraId="6B4C0443" w14:textId="77777777" w:rsidTr="00612E79">
        <w:tc>
          <w:tcPr>
            <w:tcW w:w="528" w:type="dxa"/>
            <w:vAlign w:val="center"/>
          </w:tcPr>
          <w:p w14:paraId="088A0EBE"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w:t>
            </w:r>
          </w:p>
        </w:tc>
        <w:tc>
          <w:tcPr>
            <w:tcW w:w="1389" w:type="dxa"/>
            <w:vAlign w:val="center"/>
          </w:tcPr>
          <w:p w14:paraId="336436B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2694AE7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Latviešu valoda</w:t>
            </w:r>
          </w:p>
        </w:tc>
        <w:tc>
          <w:tcPr>
            <w:tcW w:w="992" w:type="dxa"/>
            <w:vAlign w:val="center"/>
          </w:tcPr>
          <w:p w14:paraId="30F6528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2018.</w:t>
            </w:r>
          </w:p>
        </w:tc>
        <w:tc>
          <w:tcPr>
            <w:tcW w:w="1276" w:type="dxa"/>
            <w:vAlign w:val="center"/>
          </w:tcPr>
          <w:p w14:paraId="74C95843"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r>
      <w:tr w:rsidR="0080220D" w:rsidRPr="00307028" w14:paraId="24D1D88E" w14:textId="77777777" w:rsidTr="00612E79">
        <w:tc>
          <w:tcPr>
            <w:tcW w:w="528" w:type="dxa"/>
            <w:vAlign w:val="center"/>
          </w:tcPr>
          <w:p w14:paraId="5E4C7D57"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w:t>
            </w:r>
          </w:p>
        </w:tc>
        <w:tc>
          <w:tcPr>
            <w:tcW w:w="1389" w:type="dxa"/>
            <w:vAlign w:val="center"/>
          </w:tcPr>
          <w:p w14:paraId="37716E5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15A1C8A2"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Latvijas mantojums un nākotnes izaicinājumi valsts ilgtspējai</w:t>
            </w:r>
          </w:p>
        </w:tc>
        <w:tc>
          <w:tcPr>
            <w:tcW w:w="992" w:type="dxa"/>
            <w:vAlign w:val="center"/>
          </w:tcPr>
          <w:p w14:paraId="7A9AB2F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2018.</w:t>
            </w:r>
          </w:p>
        </w:tc>
        <w:tc>
          <w:tcPr>
            <w:tcW w:w="1276" w:type="dxa"/>
            <w:vAlign w:val="center"/>
          </w:tcPr>
          <w:p w14:paraId="1BD0657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r>
      <w:tr w:rsidR="0080220D" w:rsidRPr="00307028" w14:paraId="3E05025F" w14:textId="77777777" w:rsidTr="00612E79">
        <w:tc>
          <w:tcPr>
            <w:tcW w:w="528" w:type="dxa"/>
            <w:vAlign w:val="center"/>
          </w:tcPr>
          <w:p w14:paraId="216D9442"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3.</w:t>
            </w:r>
          </w:p>
        </w:tc>
        <w:tc>
          <w:tcPr>
            <w:tcW w:w="1389" w:type="dxa"/>
            <w:vAlign w:val="center"/>
          </w:tcPr>
          <w:p w14:paraId="03DD6532"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EM</w:t>
            </w:r>
          </w:p>
        </w:tc>
        <w:tc>
          <w:tcPr>
            <w:tcW w:w="5024" w:type="dxa"/>
            <w:vAlign w:val="center"/>
          </w:tcPr>
          <w:p w14:paraId="5F7FF20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Enerģētika</w:t>
            </w:r>
          </w:p>
        </w:tc>
        <w:tc>
          <w:tcPr>
            <w:tcW w:w="992" w:type="dxa"/>
            <w:vAlign w:val="center"/>
          </w:tcPr>
          <w:p w14:paraId="4A73C4B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2018.</w:t>
            </w:r>
          </w:p>
        </w:tc>
        <w:tc>
          <w:tcPr>
            <w:tcW w:w="1276" w:type="dxa"/>
            <w:vAlign w:val="center"/>
          </w:tcPr>
          <w:p w14:paraId="564F5F39"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r>
      <w:tr w:rsidR="0080220D" w:rsidRPr="00307028" w14:paraId="31301C37" w14:textId="77777777" w:rsidTr="00612E79">
        <w:tc>
          <w:tcPr>
            <w:tcW w:w="528" w:type="dxa"/>
            <w:vAlign w:val="center"/>
          </w:tcPr>
          <w:p w14:paraId="6138C93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4.</w:t>
            </w:r>
          </w:p>
        </w:tc>
        <w:tc>
          <w:tcPr>
            <w:tcW w:w="1389" w:type="dxa"/>
            <w:vAlign w:val="center"/>
          </w:tcPr>
          <w:p w14:paraId="5A8CCAA7"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 (VM līdzatbildīga)</w:t>
            </w:r>
          </w:p>
        </w:tc>
        <w:tc>
          <w:tcPr>
            <w:tcW w:w="5024" w:type="dxa"/>
            <w:vAlign w:val="center"/>
          </w:tcPr>
          <w:p w14:paraId="664749EC"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Covid-19 seku mazināšanai</w:t>
            </w:r>
          </w:p>
        </w:tc>
        <w:tc>
          <w:tcPr>
            <w:tcW w:w="992" w:type="dxa"/>
            <w:vAlign w:val="center"/>
          </w:tcPr>
          <w:p w14:paraId="57EBDA18"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0E1AB22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r>
      <w:tr w:rsidR="0080220D" w:rsidRPr="00307028" w14:paraId="7B7D1137" w14:textId="77777777" w:rsidTr="00612E79">
        <w:tc>
          <w:tcPr>
            <w:tcW w:w="528" w:type="dxa"/>
            <w:vAlign w:val="center"/>
          </w:tcPr>
          <w:p w14:paraId="1DB7325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5.</w:t>
            </w:r>
          </w:p>
        </w:tc>
        <w:tc>
          <w:tcPr>
            <w:tcW w:w="1389" w:type="dxa"/>
            <w:vAlign w:val="center"/>
          </w:tcPr>
          <w:p w14:paraId="1813DF19"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FM</w:t>
            </w:r>
          </w:p>
        </w:tc>
        <w:tc>
          <w:tcPr>
            <w:tcW w:w="5024" w:type="dxa"/>
            <w:vAlign w:val="center"/>
          </w:tcPr>
          <w:p w14:paraId="4D62763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Ēnu ekonomikas mazināšana valsts ilgtspējīgas attīstības nodrošināšanai</w:t>
            </w:r>
          </w:p>
        </w:tc>
        <w:tc>
          <w:tcPr>
            <w:tcW w:w="992" w:type="dxa"/>
            <w:vAlign w:val="center"/>
          </w:tcPr>
          <w:p w14:paraId="555E9F7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2A18262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r>
      <w:tr w:rsidR="0080220D" w:rsidRPr="00307028" w14:paraId="3F1DD3C7" w14:textId="77777777" w:rsidTr="00612E79">
        <w:tc>
          <w:tcPr>
            <w:tcW w:w="528" w:type="dxa"/>
            <w:vAlign w:val="center"/>
          </w:tcPr>
          <w:p w14:paraId="080A63C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6.</w:t>
            </w:r>
          </w:p>
        </w:tc>
        <w:tc>
          <w:tcPr>
            <w:tcW w:w="1389" w:type="dxa"/>
            <w:vAlign w:val="center"/>
          </w:tcPr>
          <w:p w14:paraId="11A2288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14FA749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Humanitāro zinātņu digitālie resursi</w:t>
            </w:r>
          </w:p>
        </w:tc>
        <w:tc>
          <w:tcPr>
            <w:tcW w:w="992" w:type="dxa"/>
            <w:vAlign w:val="center"/>
          </w:tcPr>
          <w:p w14:paraId="67580771"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37226F8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r>
      <w:tr w:rsidR="0080220D" w:rsidRPr="00307028" w14:paraId="2288FBF0" w14:textId="77777777" w:rsidTr="00612E79">
        <w:tc>
          <w:tcPr>
            <w:tcW w:w="528" w:type="dxa"/>
            <w:vAlign w:val="center"/>
          </w:tcPr>
          <w:p w14:paraId="7652608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7.</w:t>
            </w:r>
          </w:p>
        </w:tc>
        <w:tc>
          <w:tcPr>
            <w:tcW w:w="1389" w:type="dxa"/>
            <w:vAlign w:val="center"/>
          </w:tcPr>
          <w:p w14:paraId="514E99E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KM</w:t>
            </w:r>
          </w:p>
        </w:tc>
        <w:tc>
          <w:tcPr>
            <w:tcW w:w="5024" w:type="dxa"/>
            <w:vAlign w:val="center"/>
          </w:tcPr>
          <w:p w14:paraId="4F71F712"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Latvijas kultūra – resurss valsts attīstībai</w:t>
            </w:r>
          </w:p>
        </w:tc>
        <w:tc>
          <w:tcPr>
            <w:tcW w:w="992" w:type="dxa"/>
            <w:vAlign w:val="center"/>
          </w:tcPr>
          <w:p w14:paraId="62205F6E"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0EF9DC6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r>
      <w:tr w:rsidR="0080220D" w:rsidRPr="00307028" w14:paraId="7CC6A587" w14:textId="77777777" w:rsidTr="00612E79">
        <w:tc>
          <w:tcPr>
            <w:tcW w:w="528" w:type="dxa"/>
            <w:vAlign w:val="center"/>
          </w:tcPr>
          <w:p w14:paraId="7C35F994"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8.</w:t>
            </w:r>
          </w:p>
        </w:tc>
        <w:tc>
          <w:tcPr>
            <w:tcW w:w="1389" w:type="dxa"/>
            <w:vAlign w:val="center"/>
          </w:tcPr>
          <w:p w14:paraId="3DB4A95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56D12AC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Augstas enerģijas fizika un paātrinātāju tehnoloģijas</w:t>
            </w:r>
          </w:p>
        </w:tc>
        <w:tc>
          <w:tcPr>
            <w:tcW w:w="992" w:type="dxa"/>
            <w:vAlign w:val="center"/>
          </w:tcPr>
          <w:p w14:paraId="3162C24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34C4CBAE"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r>
      <w:tr w:rsidR="0080220D" w:rsidRPr="00307028" w14:paraId="1F9C3FAC" w14:textId="77777777" w:rsidTr="00F7258A">
        <w:trPr>
          <w:trHeight w:val="270"/>
        </w:trPr>
        <w:tc>
          <w:tcPr>
            <w:tcW w:w="9209" w:type="dxa"/>
            <w:gridSpan w:val="5"/>
            <w:shd w:val="clear" w:color="auto" w:fill="57ABD5"/>
            <w:vAlign w:val="center"/>
          </w:tcPr>
          <w:p w14:paraId="6BC92BA5" w14:textId="77777777" w:rsidR="0080220D" w:rsidRPr="00307028" w:rsidRDefault="0080220D" w:rsidP="0080220D">
            <w:pPr>
              <w:jc w:val="center"/>
              <w:rPr>
                <w:rFonts w:eastAsiaTheme="minorHAnsi"/>
                <w:b/>
                <w:sz w:val="22"/>
                <w:szCs w:val="22"/>
                <w:lang w:eastAsia="en-US"/>
              </w:rPr>
            </w:pPr>
            <w:r w:rsidRPr="00307028">
              <w:rPr>
                <w:rFonts w:eastAsiaTheme="minorHAnsi"/>
                <w:b/>
                <w:sz w:val="22"/>
                <w:szCs w:val="22"/>
                <w:lang w:eastAsia="en-US"/>
              </w:rPr>
              <w:t>Apstiprinātās VPP</w:t>
            </w:r>
          </w:p>
        </w:tc>
      </w:tr>
      <w:tr w:rsidR="0080220D" w:rsidRPr="00307028" w14:paraId="6795DB3F" w14:textId="77777777" w:rsidTr="00612E79">
        <w:tc>
          <w:tcPr>
            <w:tcW w:w="528" w:type="dxa"/>
            <w:vAlign w:val="center"/>
          </w:tcPr>
          <w:p w14:paraId="48435E29"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9.</w:t>
            </w:r>
          </w:p>
        </w:tc>
        <w:tc>
          <w:tcPr>
            <w:tcW w:w="1389" w:type="dxa"/>
            <w:vAlign w:val="center"/>
          </w:tcPr>
          <w:p w14:paraId="5B8018F8"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VARAM</w:t>
            </w:r>
          </w:p>
        </w:tc>
        <w:tc>
          <w:tcPr>
            <w:tcW w:w="5024" w:type="dxa"/>
            <w:vAlign w:val="center"/>
          </w:tcPr>
          <w:p w14:paraId="5C4AC64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Ilgtspējīga teritorijas attīstība un racionāla zemes resursu izmantošana</w:t>
            </w:r>
          </w:p>
        </w:tc>
        <w:tc>
          <w:tcPr>
            <w:tcW w:w="992" w:type="dxa"/>
            <w:vAlign w:val="center"/>
          </w:tcPr>
          <w:p w14:paraId="3BA53FA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2020.</w:t>
            </w:r>
          </w:p>
        </w:tc>
        <w:tc>
          <w:tcPr>
            <w:tcW w:w="1276" w:type="dxa"/>
            <w:vAlign w:val="center"/>
          </w:tcPr>
          <w:p w14:paraId="4D87A37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2023.</w:t>
            </w:r>
          </w:p>
        </w:tc>
      </w:tr>
      <w:tr w:rsidR="0080220D" w:rsidRPr="00307028" w14:paraId="303339FC" w14:textId="77777777" w:rsidTr="00612E79">
        <w:tc>
          <w:tcPr>
            <w:tcW w:w="528" w:type="dxa"/>
            <w:vAlign w:val="center"/>
          </w:tcPr>
          <w:p w14:paraId="7B08FEB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10.</w:t>
            </w:r>
          </w:p>
        </w:tc>
        <w:tc>
          <w:tcPr>
            <w:tcW w:w="1389" w:type="dxa"/>
            <w:vAlign w:val="center"/>
          </w:tcPr>
          <w:p w14:paraId="2321865B"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AiM</w:t>
            </w:r>
          </w:p>
        </w:tc>
        <w:tc>
          <w:tcPr>
            <w:tcW w:w="5024" w:type="dxa"/>
            <w:vAlign w:val="center"/>
          </w:tcPr>
          <w:p w14:paraId="582C27E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Aizsardzības inovāciju pētījumu programma</w:t>
            </w:r>
          </w:p>
        </w:tc>
        <w:tc>
          <w:tcPr>
            <w:tcW w:w="992" w:type="dxa"/>
            <w:vAlign w:val="center"/>
          </w:tcPr>
          <w:p w14:paraId="31039067"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c>
          <w:tcPr>
            <w:tcW w:w="1276" w:type="dxa"/>
            <w:vAlign w:val="center"/>
          </w:tcPr>
          <w:p w14:paraId="70C77DD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2023.</w:t>
            </w:r>
          </w:p>
        </w:tc>
      </w:tr>
      <w:tr w:rsidR="0080220D" w:rsidRPr="00307028" w14:paraId="1531EF6E" w14:textId="77777777" w:rsidTr="00612E79">
        <w:tc>
          <w:tcPr>
            <w:tcW w:w="528" w:type="dxa"/>
            <w:vAlign w:val="center"/>
          </w:tcPr>
          <w:p w14:paraId="384437B6"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lastRenderedPageBreak/>
              <w:t>11.</w:t>
            </w:r>
          </w:p>
        </w:tc>
        <w:tc>
          <w:tcPr>
            <w:tcW w:w="1389" w:type="dxa"/>
            <w:vAlign w:val="center"/>
          </w:tcPr>
          <w:p w14:paraId="2C1A1FAE"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013E1288"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Letonika latviskas un eiropeiskas sabiedrības attīstībai</w:t>
            </w:r>
          </w:p>
        </w:tc>
        <w:tc>
          <w:tcPr>
            <w:tcW w:w="992" w:type="dxa"/>
            <w:vAlign w:val="center"/>
          </w:tcPr>
          <w:p w14:paraId="4559A759"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c>
          <w:tcPr>
            <w:tcW w:w="1276" w:type="dxa"/>
            <w:vAlign w:val="center"/>
          </w:tcPr>
          <w:p w14:paraId="1B75E72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2024.</w:t>
            </w:r>
          </w:p>
        </w:tc>
      </w:tr>
      <w:tr w:rsidR="0080220D" w:rsidRPr="00307028" w14:paraId="1470A759" w14:textId="77777777" w:rsidTr="00612E79">
        <w:tc>
          <w:tcPr>
            <w:tcW w:w="528" w:type="dxa"/>
            <w:vAlign w:val="center"/>
          </w:tcPr>
          <w:p w14:paraId="37BB1924"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12.</w:t>
            </w:r>
          </w:p>
        </w:tc>
        <w:tc>
          <w:tcPr>
            <w:tcW w:w="1389" w:type="dxa"/>
            <w:vAlign w:val="center"/>
          </w:tcPr>
          <w:p w14:paraId="1FC04D2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2F5D7BAF"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Letonika latviskas un eiropeiskas sabiedrības attīstībai 2.kārta</w:t>
            </w:r>
          </w:p>
        </w:tc>
        <w:tc>
          <w:tcPr>
            <w:tcW w:w="992" w:type="dxa"/>
            <w:vAlign w:val="center"/>
          </w:tcPr>
          <w:p w14:paraId="305EB53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c>
          <w:tcPr>
            <w:tcW w:w="1276" w:type="dxa"/>
            <w:vAlign w:val="center"/>
          </w:tcPr>
          <w:p w14:paraId="3C5B44F1"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2024.</w:t>
            </w:r>
          </w:p>
        </w:tc>
      </w:tr>
      <w:tr w:rsidR="0080220D" w:rsidRPr="00307028" w14:paraId="7AA87CAB" w14:textId="77777777" w:rsidTr="00612E79">
        <w:tc>
          <w:tcPr>
            <w:tcW w:w="528" w:type="dxa"/>
            <w:vAlign w:val="center"/>
          </w:tcPr>
          <w:p w14:paraId="40D0B3FC"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13.</w:t>
            </w:r>
          </w:p>
        </w:tc>
        <w:tc>
          <w:tcPr>
            <w:tcW w:w="1389" w:type="dxa"/>
            <w:vAlign w:val="center"/>
          </w:tcPr>
          <w:p w14:paraId="21959C4C"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0399C99C"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Letonika latviskas un eiropeiskas sabiedrības attīstībai 3.kārta</w:t>
            </w:r>
          </w:p>
        </w:tc>
        <w:tc>
          <w:tcPr>
            <w:tcW w:w="992" w:type="dxa"/>
            <w:vAlign w:val="center"/>
          </w:tcPr>
          <w:p w14:paraId="3DD8096A"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2021.</w:t>
            </w:r>
          </w:p>
        </w:tc>
        <w:tc>
          <w:tcPr>
            <w:tcW w:w="1276" w:type="dxa"/>
            <w:vAlign w:val="center"/>
          </w:tcPr>
          <w:p w14:paraId="23EDF3A3"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2024.</w:t>
            </w:r>
          </w:p>
        </w:tc>
      </w:tr>
      <w:tr w:rsidR="0080220D" w:rsidRPr="00307028" w14:paraId="116DD285" w14:textId="77777777" w:rsidTr="00612E79">
        <w:tc>
          <w:tcPr>
            <w:tcW w:w="528" w:type="dxa"/>
            <w:vAlign w:val="center"/>
          </w:tcPr>
          <w:p w14:paraId="2CC39EC3"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14.</w:t>
            </w:r>
          </w:p>
        </w:tc>
        <w:tc>
          <w:tcPr>
            <w:tcW w:w="1389" w:type="dxa"/>
            <w:vAlign w:val="center"/>
          </w:tcPr>
          <w:p w14:paraId="67AE7561"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EM</w:t>
            </w:r>
          </w:p>
        </w:tc>
        <w:tc>
          <w:tcPr>
            <w:tcW w:w="5024" w:type="dxa"/>
            <w:vAlign w:val="center"/>
          </w:tcPr>
          <w:p w14:paraId="2ADA0293"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Inovāciju fonds – nozaru pētījumu programma</w:t>
            </w:r>
          </w:p>
        </w:tc>
        <w:tc>
          <w:tcPr>
            <w:tcW w:w="992" w:type="dxa"/>
            <w:vAlign w:val="center"/>
          </w:tcPr>
          <w:p w14:paraId="08A1904E"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c>
          <w:tcPr>
            <w:tcW w:w="1276" w:type="dxa"/>
            <w:vAlign w:val="center"/>
          </w:tcPr>
          <w:p w14:paraId="3929BE14"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2024.</w:t>
            </w:r>
          </w:p>
        </w:tc>
      </w:tr>
      <w:tr w:rsidR="0080220D" w:rsidRPr="00307028" w14:paraId="4C3CB36F" w14:textId="77777777" w:rsidTr="00612E79">
        <w:tc>
          <w:tcPr>
            <w:tcW w:w="528" w:type="dxa"/>
            <w:vAlign w:val="center"/>
          </w:tcPr>
          <w:p w14:paraId="3D31F635"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15.</w:t>
            </w:r>
          </w:p>
        </w:tc>
        <w:tc>
          <w:tcPr>
            <w:tcW w:w="1389" w:type="dxa"/>
            <w:vAlign w:val="center"/>
          </w:tcPr>
          <w:p w14:paraId="40BF2A71"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IZM</w:t>
            </w:r>
          </w:p>
        </w:tc>
        <w:tc>
          <w:tcPr>
            <w:tcW w:w="5024" w:type="dxa"/>
            <w:vAlign w:val="center"/>
          </w:tcPr>
          <w:p w14:paraId="00CC0D11"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Digitālās humanitārās zinātnes</w:t>
            </w:r>
          </w:p>
        </w:tc>
        <w:tc>
          <w:tcPr>
            <w:tcW w:w="992" w:type="dxa"/>
            <w:vAlign w:val="center"/>
          </w:tcPr>
          <w:p w14:paraId="2F1DFAC0"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2022.</w:t>
            </w:r>
          </w:p>
        </w:tc>
        <w:tc>
          <w:tcPr>
            <w:tcW w:w="1276" w:type="dxa"/>
            <w:vAlign w:val="center"/>
          </w:tcPr>
          <w:p w14:paraId="2C296CB9"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2025.</w:t>
            </w:r>
          </w:p>
        </w:tc>
      </w:tr>
      <w:tr w:rsidR="0080220D" w:rsidRPr="00307028" w14:paraId="7889FBD0" w14:textId="77777777" w:rsidTr="00612E79">
        <w:tc>
          <w:tcPr>
            <w:tcW w:w="528" w:type="dxa"/>
            <w:vAlign w:val="center"/>
          </w:tcPr>
          <w:p w14:paraId="4FBC90B0" w14:textId="42050B29"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16.</w:t>
            </w:r>
          </w:p>
        </w:tc>
        <w:tc>
          <w:tcPr>
            <w:tcW w:w="1389" w:type="dxa"/>
            <w:vAlign w:val="center"/>
          </w:tcPr>
          <w:p w14:paraId="10078C8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KM</w:t>
            </w:r>
          </w:p>
        </w:tc>
        <w:tc>
          <w:tcPr>
            <w:tcW w:w="5024" w:type="dxa"/>
            <w:vAlign w:val="center"/>
          </w:tcPr>
          <w:p w14:paraId="0CA7C42F"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Latvijas kultūra – resurss valsts attīstībai</w:t>
            </w:r>
          </w:p>
        </w:tc>
        <w:tc>
          <w:tcPr>
            <w:tcW w:w="992" w:type="dxa"/>
            <w:vAlign w:val="center"/>
          </w:tcPr>
          <w:p w14:paraId="1B1DF314"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2023.</w:t>
            </w:r>
          </w:p>
        </w:tc>
        <w:tc>
          <w:tcPr>
            <w:tcW w:w="1276" w:type="dxa"/>
            <w:vAlign w:val="center"/>
          </w:tcPr>
          <w:p w14:paraId="6702FBFD" w14:textId="77777777" w:rsidR="0080220D" w:rsidRPr="00612E79" w:rsidRDefault="0080220D" w:rsidP="00612E79">
            <w:pPr>
              <w:jc w:val="center"/>
              <w:rPr>
                <w:rFonts w:eastAsiaTheme="minorHAnsi"/>
                <w:bCs/>
                <w:sz w:val="20"/>
                <w:szCs w:val="20"/>
                <w:lang w:eastAsia="en-US"/>
              </w:rPr>
            </w:pPr>
            <w:r w:rsidRPr="00612E79">
              <w:rPr>
                <w:rFonts w:eastAsiaTheme="minorHAnsi"/>
                <w:bCs/>
                <w:sz w:val="20"/>
                <w:szCs w:val="20"/>
                <w:lang w:eastAsia="en-US"/>
              </w:rPr>
              <w:t>2026.</w:t>
            </w:r>
          </w:p>
        </w:tc>
      </w:tr>
    </w:tbl>
    <w:p w14:paraId="4EE3F278" w14:textId="77777777" w:rsidR="0080220D" w:rsidRPr="00307028" w:rsidRDefault="0080220D" w:rsidP="0080220D">
      <w:pPr>
        <w:spacing w:before="240" w:after="160" w:line="259" w:lineRule="auto"/>
        <w:ind w:firstLine="720"/>
        <w:jc w:val="both"/>
        <w:rPr>
          <w:rFonts w:eastAsiaTheme="minorHAnsi"/>
          <w:b/>
          <w:i/>
          <w:iCs/>
          <w:sz w:val="22"/>
          <w:szCs w:val="22"/>
          <w:lang w:eastAsia="en-US"/>
        </w:rPr>
      </w:pPr>
      <w:r w:rsidRPr="00307028">
        <w:rPr>
          <w:rFonts w:eastAsiaTheme="minorHAnsi"/>
          <w:lang w:eastAsia="en-US"/>
        </w:rPr>
        <w:t>Kopumā no 2018. gada līdz 2026. gadam par 16 VPP īstenošanu ir atbildīgas sešas ministrijas. IZM atbildībā ir visvairāk – deviņas VPP (tajā skaitā par vienu VPP līdzatbildīga ir VM), EM un KM atbildībā ir katrai divas VPP, bet VARAM, FM un AiM atbildībā ir pa vienai VPP (Attēls Nr. 3.2.2.3.).</w:t>
      </w:r>
    </w:p>
    <w:p w14:paraId="4DF81F71" w14:textId="63931270" w:rsidR="0080220D" w:rsidRPr="00307028" w:rsidRDefault="0080220D" w:rsidP="0080220D">
      <w:pPr>
        <w:spacing w:after="160" w:line="259" w:lineRule="auto"/>
        <w:jc w:val="center"/>
        <w:rPr>
          <w:rFonts w:eastAsiaTheme="minorHAnsi"/>
          <w:sz w:val="22"/>
          <w:szCs w:val="22"/>
          <w:lang w:eastAsia="en-US"/>
        </w:rPr>
      </w:pPr>
      <w:r w:rsidRPr="00307028">
        <w:rPr>
          <w:rFonts w:eastAsiaTheme="minorHAnsi"/>
          <w:b/>
          <w:i/>
          <w:iCs/>
          <w:sz w:val="22"/>
          <w:szCs w:val="22"/>
          <w:lang w:eastAsia="en-US"/>
        </w:rPr>
        <w:t>3.2.2.3. attēls</w:t>
      </w:r>
      <w:r w:rsidRPr="00307028">
        <w:rPr>
          <w:rFonts w:eastAsiaTheme="minorHAnsi"/>
          <w:b/>
          <w:sz w:val="22"/>
          <w:szCs w:val="22"/>
          <w:lang w:eastAsia="en-US"/>
        </w:rPr>
        <w:t xml:space="preserve"> Par VPP īstenošanu atbildīgās ministrijas un VPP skaits</w:t>
      </w:r>
      <w:r w:rsidRPr="00307028">
        <w:rPr>
          <w:rFonts w:eastAsiaTheme="minorHAnsi"/>
          <w:sz w:val="22"/>
          <w:szCs w:val="22"/>
          <w:lang w:eastAsia="en-US"/>
        </w:rPr>
        <w:t xml:space="preserve"> </w:t>
      </w:r>
    </w:p>
    <w:p w14:paraId="3DF43D5A" w14:textId="09559F25" w:rsidR="0080220D" w:rsidRPr="00307028" w:rsidRDefault="001F3438" w:rsidP="001F3438">
      <w:pPr>
        <w:spacing w:line="259" w:lineRule="auto"/>
        <w:jc w:val="center"/>
        <w:rPr>
          <w:rFonts w:eastAsiaTheme="minorHAnsi"/>
          <w:sz w:val="22"/>
          <w:szCs w:val="22"/>
          <w:lang w:eastAsia="en-US"/>
        </w:rPr>
      </w:pPr>
      <w:r w:rsidRPr="00307028">
        <w:rPr>
          <w:rFonts w:eastAsiaTheme="minorHAnsi"/>
          <w:noProof/>
          <w:sz w:val="22"/>
          <w:szCs w:val="22"/>
          <w:lang w:eastAsia="en-US"/>
        </w:rPr>
        <w:drawing>
          <wp:inline distT="0" distB="0" distL="0" distR="0" wp14:anchorId="592B5365" wp14:editId="03CFA720">
            <wp:extent cx="3212327" cy="2141740"/>
            <wp:effectExtent l="0" t="0" r="7620" b="0"/>
            <wp:docPr id="1575562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218302" cy="2145724"/>
                    </a:xfrm>
                    <a:prstGeom prst="rect">
                      <a:avLst/>
                    </a:prstGeom>
                    <a:noFill/>
                  </pic:spPr>
                </pic:pic>
              </a:graphicData>
            </a:graphic>
          </wp:inline>
        </w:drawing>
      </w:r>
    </w:p>
    <w:p w14:paraId="5DE26947" w14:textId="34C6F555" w:rsidR="0080220D" w:rsidRPr="00307028" w:rsidRDefault="0080220D" w:rsidP="00F7258A">
      <w:pPr>
        <w:spacing w:before="120" w:after="120" w:line="259" w:lineRule="auto"/>
        <w:ind w:firstLine="709"/>
        <w:jc w:val="both"/>
        <w:rPr>
          <w:rFonts w:eastAsiaTheme="minorHAnsi"/>
          <w:lang w:eastAsia="en-US"/>
        </w:rPr>
      </w:pPr>
      <w:r w:rsidRPr="00307028">
        <w:rPr>
          <w:rFonts w:eastAsiaTheme="minorHAnsi"/>
          <w:b/>
          <w:bCs/>
          <w:u w:val="single"/>
          <w:lang w:eastAsia="en-US"/>
        </w:rPr>
        <w:t>Izdevumu pārskatīšanas ietvaros tiek aplūkotas astoņas īstenotās VPP</w:t>
      </w:r>
      <w:r w:rsidRPr="00307028">
        <w:rPr>
          <w:rFonts w:eastAsiaTheme="minorHAnsi"/>
          <w:lang w:eastAsia="en-US"/>
        </w:rPr>
        <w:t>, tām piešķirtais un izlietotais finansējums, kā arī plānotie un sasniegtie rezultāti</w:t>
      </w:r>
      <w:r w:rsidRPr="00307028">
        <w:rPr>
          <w:rFonts w:eastAsiaTheme="minorHAnsi"/>
          <w:vertAlign w:val="superscript"/>
          <w:lang w:eastAsia="en-US"/>
        </w:rPr>
        <w:footnoteReference w:id="77"/>
      </w:r>
      <w:r w:rsidRPr="00307028">
        <w:rPr>
          <w:rFonts w:eastAsiaTheme="minorHAnsi"/>
          <w:lang w:eastAsia="en-US"/>
        </w:rPr>
        <w:t xml:space="preserve"> atbilstoši </w:t>
      </w:r>
      <w:r w:rsidRPr="00307028">
        <w:rPr>
          <w:rFonts w:eastAsia="Times New Roman"/>
          <w:shd w:val="clear" w:color="auto" w:fill="FFFFFF"/>
          <w:lang w:eastAsia="lv-LV"/>
        </w:rPr>
        <w:t>MK noteikumu Nr. 560 12. punktā minētajam</w:t>
      </w:r>
      <w:r w:rsidRPr="00307028">
        <w:rPr>
          <w:rFonts w:eastAsiaTheme="minorHAnsi"/>
          <w:lang w:eastAsia="en-US"/>
        </w:rPr>
        <w:t xml:space="preserve">. </w:t>
      </w:r>
    </w:p>
    <w:p w14:paraId="51EDC2DA" w14:textId="40B90B4D" w:rsidR="0080220D" w:rsidRPr="00307028" w:rsidRDefault="0080220D" w:rsidP="0080220D">
      <w:pPr>
        <w:spacing w:after="120" w:line="259" w:lineRule="auto"/>
        <w:ind w:firstLine="709"/>
        <w:jc w:val="both"/>
        <w:rPr>
          <w:rFonts w:eastAsiaTheme="minorHAnsi"/>
          <w:lang w:eastAsia="en-US"/>
        </w:rPr>
      </w:pPr>
      <w:r w:rsidRPr="00307028">
        <w:rPr>
          <w:rFonts w:eastAsiaTheme="minorHAnsi"/>
          <w:lang w:eastAsia="en-US"/>
        </w:rPr>
        <w:t xml:space="preserve">Jāatzīmē, ka VPP “Ēnu ekonomikas mazināšana valsts ilgtspējīgas attīstības nodrošināšanai” un VPP “Latvijas kultūra – resurss valsts attīstībai” noslēguma ziņojumi </w:t>
      </w:r>
      <w:r w:rsidR="003873CF" w:rsidRPr="00307028">
        <w:rPr>
          <w:rFonts w:eastAsiaTheme="minorHAnsi"/>
          <w:lang w:eastAsia="en-US"/>
        </w:rPr>
        <w:t>tika publicēti tikai pēc izdevumu pārskatīšanas darba grupas sanāksmes</w:t>
      </w:r>
      <w:r w:rsidRPr="00307028">
        <w:rPr>
          <w:rFonts w:eastAsiaTheme="minorHAnsi"/>
          <w:vertAlign w:val="superscript"/>
          <w:lang w:eastAsia="en-US"/>
        </w:rPr>
        <w:footnoteReference w:id="78"/>
      </w:r>
      <w:r w:rsidRPr="00307028">
        <w:rPr>
          <w:rFonts w:eastAsiaTheme="minorHAnsi"/>
          <w:lang w:eastAsia="en-US"/>
        </w:rPr>
        <w:t xml:space="preserve">, līdz ar to informāciju par piešķirto un izlietoto finansējumu sniedza LZP, bet informācija par plānotajiem un sasniegtajiem rezultātiem </w:t>
      </w:r>
      <w:r w:rsidR="003873CF" w:rsidRPr="00307028">
        <w:rPr>
          <w:rFonts w:eastAsiaTheme="minorHAnsi"/>
          <w:lang w:eastAsia="en-US"/>
        </w:rPr>
        <w:t xml:space="preserve">nebija </w:t>
      </w:r>
      <w:r w:rsidRPr="00307028">
        <w:rPr>
          <w:rFonts w:eastAsiaTheme="minorHAnsi"/>
          <w:lang w:eastAsia="en-US"/>
        </w:rPr>
        <w:t>pieejama.</w:t>
      </w:r>
    </w:p>
    <w:p w14:paraId="2958FAEA" w14:textId="7191F39D" w:rsidR="0080220D" w:rsidRPr="00307028" w:rsidRDefault="0080220D" w:rsidP="0080220D">
      <w:pPr>
        <w:spacing w:after="120" w:line="259" w:lineRule="auto"/>
        <w:ind w:firstLine="709"/>
        <w:jc w:val="both"/>
        <w:rPr>
          <w:rFonts w:eastAsiaTheme="minorHAnsi"/>
          <w:lang w:eastAsia="en-US"/>
        </w:rPr>
      </w:pPr>
      <w:r w:rsidRPr="00307028">
        <w:rPr>
          <w:rFonts w:eastAsiaTheme="minorHAnsi"/>
          <w:lang w:eastAsia="en-US"/>
        </w:rPr>
        <w:t>Kā redzams tabulā Nr. 3.2.2.2. kopējais īstenoto VPP piešķirtais finansējums ir 19,1 milj. </w:t>
      </w:r>
      <w:r w:rsidRPr="00307028">
        <w:rPr>
          <w:rFonts w:eastAsiaTheme="minorHAnsi"/>
          <w:i/>
          <w:iCs/>
          <w:lang w:eastAsia="en-US"/>
        </w:rPr>
        <w:t>euro</w:t>
      </w:r>
      <w:r w:rsidRPr="00307028">
        <w:rPr>
          <w:rFonts w:eastAsiaTheme="minorHAnsi"/>
          <w:lang w:eastAsia="en-US"/>
        </w:rPr>
        <w:t xml:space="preserve">, </w:t>
      </w:r>
      <w:r w:rsidR="00353DB3" w:rsidRPr="00307028">
        <w:rPr>
          <w:rFonts w:eastAsiaTheme="minorHAnsi"/>
          <w:lang w:eastAsia="en-US"/>
        </w:rPr>
        <w:t xml:space="preserve">bet </w:t>
      </w:r>
      <w:r w:rsidRPr="00307028">
        <w:rPr>
          <w:rFonts w:eastAsiaTheme="minorHAnsi"/>
          <w:lang w:eastAsia="en-US"/>
        </w:rPr>
        <w:t>kopējais izlietotais finansējums ir 18,4 milj. </w:t>
      </w:r>
      <w:r w:rsidRPr="00307028">
        <w:rPr>
          <w:rFonts w:eastAsiaTheme="minorHAnsi"/>
          <w:i/>
          <w:iCs/>
          <w:lang w:eastAsia="en-US"/>
        </w:rPr>
        <w:t>euro</w:t>
      </w:r>
      <w:r w:rsidRPr="00307028">
        <w:rPr>
          <w:rFonts w:eastAsiaTheme="minorHAnsi"/>
          <w:lang w:eastAsia="en-US"/>
        </w:rPr>
        <w:t>, attiecīgi veidojot atlikumu 0,7 milj. </w:t>
      </w:r>
      <w:r w:rsidRPr="00307028">
        <w:rPr>
          <w:rFonts w:eastAsiaTheme="minorHAnsi"/>
          <w:i/>
          <w:iCs/>
          <w:lang w:eastAsia="en-US"/>
        </w:rPr>
        <w:t xml:space="preserve">euro </w:t>
      </w:r>
      <w:r w:rsidRPr="00307028">
        <w:rPr>
          <w:rFonts w:eastAsiaTheme="minorHAnsi"/>
          <w:lang w:eastAsia="en-US"/>
        </w:rPr>
        <w:t>apmērā</w:t>
      </w:r>
      <w:r w:rsidRPr="00307028">
        <w:rPr>
          <w:rFonts w:eastAsiaTheme="minorHAnsi"/>
          <w:i/>
          <w:iCs/>
          <w:lang w:eastAsia="en-US"/>
        </w:rPr>
        <w:t xml:space="preserve"> </w:t>
      </w:r>
      <w:r w:rsidRPr="00307028">
        <w:rPr>
          <w:rFonts w:eastAsiaTheme="minorHAnsi"/>
          <w:lang w:eastAsia="en-US"/>
        </w:rPr>
        <w:t xml:space="preserve">jeb </w:t>
      </w:r>
      <w:r w:rsidR="00CC74FB" w:rsidRPr="00307028">
        <w:rPr>
          <w:rFonts w:eastAsiaTheme="minorHAnsi"/>
          <w:lang w:eastAsia="en-US"/>
        </w:rPr>
        <w:t>3,7</w:t>
      </w:r>
      <w:r w:rsidRPr="00307028">
        <w:rPr>
          <w:rFonts w:eastAsiaTheme="minorHAnsi"/>
          <w:lang w:eastAsia="en-US"/>
        </w:rPr>
        <w:t>% no kopējā piešķirtā finansējuma. Procentuāli lielākais atlikums ir VPP “</w:t>
      </w:r>
      <w:r w:rsidRPr="00307028">
        <w:rPr>
          <w:rFonts w:eastAsiaTheme="minorHAnsi"/>
          <w:bCs/>
          <w:lang w:eastAsia="en-US"/>
        </w:rPr>
        <w:t>Ēnu ekonomikas mazināšana valsts ilgtspējīgas attīstības nodrošināšanai</w:t>
      </w:r>
      <w:r w:rsidRPr="00307028">
        <w:rPr>
          <w:rFonts w:eastAsiaTheme="minorHAnsi"/>
          <w:lang w:eastAsia="en-US"/>
        </w:rPr>
        <w:t>”</w:t>
      </w:r>
      <w:r w:rsidR="0044796B" w:rsidRPr="00307028">
        <w:rPr>
          <w:rFonts w:eastAsiaTheme="minorHAnsi"/>
          <w:lang w:eastAsia="en-US"/>
        </w:rPr>
        <w:t> </w:t>
      </w:r>
      <w:r w:rsidRPr="00307028">
        <w:rPr>
          <w:rFonts w:eastAsiaTheme="minorHAnsi"/>
          <w:lang w:eastAsia="en-US"/>
        </w:rPr>
        <w:t>–</w:t>
      </w:r>
      <w:r w:rsidR="0044796B" w:rsidRPr="00307028">
        <w:rPr>
          <w:rFonts w:eastAsiaTheme="minorHAnsi"/>
          <w:lang w:eastAsia="en-US"/>
        </w:rPr>
        <w:t> </w:t>
      </w:r>
      <w:r w:rsidR="00CC74FB" w:rsidRPr="00307028">
        <w:rPr>
          <w:rFonts w:eastAsiaTheme="minorHAnsi"/>
          <w:lang w:eastAsia="en-US"/>
        </w:rPr>
        <w:t>11,9</w:t>
      </w:r>
      <w:r w:rsidRPr="00307028">
        <w:rPr>
          <w:rFonts w:eastAsiaTheme="minorHAnsi"/>
          <w:lang w:eastAsia="en-US"/>
        </w:rPr>
        <w:t>%, un VPP “</w:t>
      </w:r>
      <w:r w:rsidRPr="00307028">
        <w:rPr>
          <w:rFonts w:eastAsiaTheme="minorHAnsi"/>
          <w:bCs/>
          <w:lang w:eastAsia="en-US"/>
        </w:rPr>
        <w:t>Latviešu valoda</w:t>
      </w:r>
      <w:r w:rsidRPr="00307028">
        <w:rPr>
          <w:rFonts w:eastAsiaTheme="minorHAnsi"/>
          <w:lang w:eastAsia="en-US"/>
        </w:rPr>
        <w:t>” – 8,9%, savukārt vismazākais procentuālais atlikums ir VPP “</w:t>
      </w:r>
      <w:r w:rsidRPr="00307028">
        <w:rPr>
          <w:rFonts w:eastAsiaTheme="minorHAnsi"/>
          <w:bCs/>
          <w:lang w:eastAsia="en-US"/>
        </w:rPr>
        <w:t>Latvijas kultūra – resurss valsts attīstībai</w:t>
      </w:r>
      <w:r w:rsidRPr="00307028">
        <w:rPr>
          <w:rFonts w:eastAsiaTheme="minorHAnsi"/>
          <w:lang w:eastAsia="en-US"/>
        </w:rPr>
        <w:t>” – 0,01%.</w:t>
      </w:r>
    </w:p>
    <w:p w14:paraId="559EB50E" w14:textId="77290BBC" w:rsidR="0080220D" w:rsidRPr="00307028" w:rsidRDefault="0080220D" w:rsidP="0080220D">
      <w:pPr>
        <w:spacing w:after="120" w:line="259" w:lineRule="auto"/>
        <w:ind w:firstLine="709"/>
        <w:jc w:val="both"/>
        <w:rPr>
          <w:rFonts w:eastAsiaTheme="minorHAnsi"/>
          <w:lang w:eastAsia="en-US"/>
        </w:rPr>
      </w:pPr>
      <w:r w:rsidRPr="00307028">
        <w:rPr>
          <w:rFonts w:eastAsiaTheme="minorHAnsi"/>
          <w:lang w:eastAsia="en-US"/>
        </w:rPr>
        <w:t xml:space="preserve">Vairumā VPP noslēguma ziņojumu LZP norāda, ka ir lūgusi </w:t>
      </w:r>
      <w:r w:rsidRPr="00307028">
        <w:rPr>
          <w:rFonts w:eastAsiaTheme="minorHAnsi"/>
          <w:b/>
          <w:bCs/>
          <w:lang w:eastAsia="en-US"/>
        </w:rPr>
        <w:t>neizlietoto finansējumu ieskaitīt valsts budžetā</w:t>
      </w:r>
      <w:r w:rsidRPr="00307028">
        <w:rPr>
          <w:rFonts w:eastAsiaTheme="minorHAnsi"/>
          <w:lang w:eastAsia="en-US"/>
        </w:rPr>
        <w:t xml:space="preserve">. </w:t>
      </w:r>
    </w:p>
    <w:p w14:paraId="6F0FF7CE" w14:textId="77777777" w:rsidR="003873CF" w:rsidRPr="00307028" w:rsidRDefault="003873CF" w:rsidP="003873CF">
      <w:pPr>
        <w:spacing w:after="120" w:line="259" w:lineRule="auto"/>
        <w:ind w:firstLine="709"/>
        <w:jc w:val="both"/>
        <w:rPr>
          <w:rFonts w:eastAsiaTheme="minorHAnsi"/>
          <w:lang w:eastAsia="en-US"/>
        </w:rPr>
      </w:pPr>
      <w:r w:rsidRPr="00307028">
        <w:rPr>
          <w:rFonts w:eastAsiaTheme="minorHAnsi"/>
          <w:lang w:eastAsia="en-US"/>
        </w:rPr>
        <w:t xml:space="preserve">LZP, saskaņā ar MK noteikumu Nr. 560 38.2. apakšpunktu, maksājumus zinātniskajai institūcijai veic saskaņā ar projekta līguma nosacījumiem, ievērojot, ka noslēguma maksājums, kas nepārsniedz 10% no projektam piešķirtā kopējā finansējuma un ir noteikts atbilstoši </w:t>
      </w:r>
      <w:r w:rsidRPr="00307028">
        <w:rPr>
          <w:rFonts w:eastAsiaTheme="minorHAnsi"/>
          <w:lang w:eastAsia="en-US"/>
        </w:rPr>
        <w:lastRenderedPageBreak/>
        <w:t xml:space="preserve">projekta ietvaros faktiski izlietotajai attiecināmo izmaksu kopsummai un sasniegtajiem projektā plānotajiem rezultātiem, zinātniskajai institūcijai izmaksā pēc tam, kad atbilstoši projekta līguma nosacījumiem ir iesniegts un apstiprināts projekta noslēguma zinātniskais pārskats un projekta noslēguma finanšu pārskats. Līdz ar to LZP projekta noslēgumā neizmaksā pilnu noslēguma maksājumu 10% apmērā, bet gan no 10% gala maksājuma finansējuma ietur neizlietoto finansējumu, kā arī nepamatoti izlietoto finansējumu. Gadījumos, kad nepamatoti izlietotais finansējums pārsniedz 10% apjomu, LZP to lūdz ieskaitīt LZP kontā, un LZP šo summu pēc tam pārskaita Valsts kasei. </w:t>
      </w:r>
    </w:p>
    <w:p w14:paraId="688F901F" w14:textId="45DD2F45" w:rsidR="003873CF" w:rsidRPr="00307028" w:rsidRDefault="003873CF" w:rsidP="003873CF">
      <w:pPr>
        <w:spacing w:after="120" w:line="259" w:lineRule="auto"/>
        <w:ind w:firstLine="709"/>
        <w:jc w:val="both"/>
        <w:rPr>
          <w:rFonts w:eastAsiaTheme="minorHAnsi"/>
          <w:lang w:eastAsia="en-US"/>
        </w:rPr>
      </w:pPr>
      <w:r w:rsidRPr="00307028">
        <w:rPr>
          <w:rFonts w:eastAsiaTheme="minorHAnsi"/>
          <w:lang w:eastAsia="en-US"/>
        </w:rPr>
        <w:t>Saskaņā ar 2023. gada 12. jūlija FM rīkojumu Nr. 213 “Par apropriācijas pārdali”, lai nodrošinātu neatliekamu un prioritāru pasākumu finansēšanu veselības nozarei, LZP 2023.</w:t>
      </w:r>
      <w:r w:rsidR="007760F6">
        <w:rPr>
          <w:rFonts w:eastAsiaTheme="minorHAnsi"/>
          <w:lang w:eastAsia="en-US"/>
        </w:rPr>
        <w:t> </w:t>
      </w:r>
      <w:r w:rsidRPr="00307028">
        <w:rPr>
          <w:rFonts w:eastAsiaTheme="minorHAnsi"/>
          <w:lang w:eastAsia="en-US"/>
        </w:rPr>
        <w:t xml:space="preserve">gadā novirzīja neizlietoto finansējumu 813 282 </w:t>
      </w:r>
      <w:r w:rsidRPr="00307028">
        <w:rPr>
          <w:rFonts w:eastAsiaTheme="minorHAnsi"/>
          <w:i/>
          <w:iCs/>
          <w:lang w:eastAsia="en-US"/>
        </w:rPr>
        <w:t>euro</w:t>
      </w:r>
      <w:r w:rsidRPr="00307028">
        <w:rPr>
          <w:rFonts w:eastAsiaTheme="minorHAnsi"/>
          <w:lang w:eastAsia="en-US"/>
        </w:rPr>
        <w:t xml:space="preserve"> apmērā.</w:t>
      </w:r>
    </w:p>
    <w:p w14:paraId="4494AFF4" w14:textId="435D2CE1" w:rsidR="0080220D" w:rsidRPr="00307028" w:rsidRDefault="0080220D" w:rsidP="0080220D">
      <w:pPr>
        <w:spacing w:after="120" w:line="259" w:lineRule="auto"/>
        <w:ind w:firstLine="709"/>
        <w:jc w:val="both"/>
        <w:rPr>
          <w:rFonts w:eastAsiaTheme="minorHAnsi"/>
          <w:lang w:eastAsia="en-US"/>
        </w:rPr>
      </w:pPr>
      <w:r w:rsidRPr="00307028">
        <w:rPr>
          <w:rFonts w:eastAsiaTheme="minorHAnsi"/>
          <w:lang w:eastAsia="en-US"/>
        </w:rPr>
        <w:t>VKo 2021. gada 30. novembra revīzijas ziņojumā “Vai pētījumu projektu plānošana un konkursu organizēšana atbilst tiesību aktiem un veicina zinātnes politikas mērķu sasniegšanu?”</w:t>
      </w:r>
      <w:r w:rsidRPr="00307028">
        <w:rPr>
          <w:rFonts w:eastAsiaTheme="minorHAnsi"/>
          <w:vertAlign w:val="superscript"/>
          <w:lang w:eastAsia="en-US"/>
        </w:rPr>
        <w:footnoteReference w:id="79"/>
      </w:r>
      <w:r w:rsidRPr="00307028">
        <w:rPr>
          <w:rFonts w:eastAsiaTheme="minorHAnsi"/>
          <w:lang w:eastAsia="en-US"/>
        </w:rPr>
        <w:t xml:space="preserve"> norādījusi, ka</w:t>
      </w:r>
      <w:r w:rsidR="00353DB3" w:rsidRPr="00307028">
        <w:rPr>
          <w:rFonts w:eastAsiaTheme="minorHAnsi"/>
          <w:lang w:eastAsia="en-US"/>
        </w:rPr>
        <w:t>,</w:t>
      </w:r>
      <w:r w:rsidRPr="00307028">
        <w:rPr>
          <w:rFonts w:eastAsiaTheme="minorHAnsi"/>
          <w:lang w:eastAsia="en-US"/>
        </w:rPr>
        <w:t xml:space="preserve"> lai arī LZP no 2020. gada 1. jūlija ir atbildīga par projekta īstenošanai piešķirto finanšu līdzekļu izlietojuma un izmaksu efektivitātes kontroli, tomēr līdz 2021. gada 13. augustam nav izstrādāts tiesību akts, kurā būtu noteikta finanšu līdzekļu izlietojuma un izmaksu efektivitātes kontroles kārtība, noteikti atbildīgie darbinieki un atbildība. </w:t>
      </w:r>
    </w:p>
    <w:p w14:paraId="083CD08A" w14:textId="48A22858" w:rsidR="000C3AB3" w:rsidRPr="00307028" w:rsidRDefault="0080220D" w:rsidP="0037172A">
      <w:pPr>
        <w:spacing w:after="160" w:line="259" w:lineRule="auto"/>
        <w:ind w:firstLine="709"/>
        <w:jc w:val="both"/>
        <w:rPr>
          <w:rFonts w:eastAsiaTheme="minorHAnsi"/>
          <w:lang w:eastAsia="en-US"/>
        </w:rPr>
      </w:pPr>
      <w:r w:rsidRPr="00307028">
        <w:rPr>
          <w:rFonts w:eastAsiaTheme="minorHAnsi"/>
          <w:lang w:eastAsia="en-US"/>
        </w:rPr>
        <w:t>IZM informēja, ka LZP ir ieviesusi visus VKo ieteikumus attiecībā uz VPP īstenošanas uzraudzību un 2023. gada 6. jūnijā ir pieņemti MK noteikumu Nr. 560 grozījumi.</w:t>
      </w:r>
    </w:p>
    <w:p w14:paraId="01AADEC1" w14:textId="5EA23DE4" w:rsidR="0080220D" w:rsidRPr="00307028" w:rsidRDefault="0080220D" w:rsidP="00353DB3">
      <w:pPr>
        <w:spacing w:after="120" w:line="259" w:lineRule="auto"/>
        <w:jc w:val="center"/>
        <w:rPr>
          <w:rFonts w:eastAsiaTheme="minorHAnsi"/>
          <w:b/>
          <w:i/>
          <w:iCs/>
          <w:sz w:val="22"/>
          <w:szCs w:val="22"/>
          <w:lang w:eastAsia="en-US"/>
        </w:rPr>
      </w:pPr>
      <w:r w:rsidRPr="00307028">
        <w:rPr>
          <w:rFonts w:eastAsiaTheme="minorHAnsi"/>
          <w:b/>
          <w:bCs/>
          <w:i/>
          <w:iCs/>
          <w:sz w:val="22"/>
          <w:szCs w:val="22"/>
          <w:lang w:eastAsia="en-US"/>
        </w:rPr>
        <w:t>3.2.2.</w:t>
      </w:r>
      <w:r w:rsidRPr="00307028">
        <w:rPr>
          <w:rFonts w:eastAsiaTheme="minorHAnsi"/>
          <w:b/>
          <w:i/>
          <w:iCs/>
          <w:sz w:val="22"/>
          <w:szCs w:val="22"/>
          <w:lang w:eastAsia="en-US"/>
        </w:rPr>
        <w:t>2. tabula</w:t>
      </w:r>
      <w:r w:rsidRPr="00307028">
        <w:rPr>
          <w:rFonts w:eastAsiaTheme="minorHAnsi"/>
          <w:b/>
          <w:sz w:val="22"/>
          <w:szCs w:val="22"/>
          <w:lang w:eastAsia="en-US"/>
        </w:rPr>
        <w:t xml:space="preserve"> Īstenoto VPP piešķirtais un izlietotais finansējums, </w:t>
      </w:r>
      <w:r w:rsidRPr="00307028">
        <w:rPr>
          <w:rFonts w:eastAsiaTheme="minorHAnsi"/>
          <w:b/>
          <w:i/>
          <w:iCs/>
          <w:sz w:val="22"/>
          <w:szCs w:val="22"/>
          <w:lang w:eastAsia="en-US"/>
        </w:rPr>
        <w:t>euro</w:t>
      </w:r>
    </w:p>
    <w:tbl>
      <w:tblPr>
        <w:tblStyle w:val="TableGrid"/>
        <w:tblW w:w="9067" w:type="dxa"/>
        <w:tblLook w:val="04A0" w:firstRow="1" w:lastRow="0" w:firstColumn="1" w:lastColumn="0" w:noHBand="0" w:noVBand="1"/>
      </w:tblPr>
      <w:tblGrid>
        <w:gridCol w:w="528"/>
        <w:gridCol w:w="3628"/>
        <w:gridCol w:w="1353"/>
        <w:gridCol w:w="1353"/>
        <w:gridCol w:w="1084"/>
        <w:gridCol w:w="1121"/>
      </w:tblGrid>
      <w:tr w:rsidR="007E4083" w:rsidRPr="00307028" w14:paraId="6DDED88E" w14:textId="77777777" w:rsidTr="007E4083">
        <w:tc>
          <w:tcPr>
            <w:tcW w:w="507" w:type="dxa"/>
            <w:shd w:val="clear" w:color="auto" w:fill="A1D6E9"/>
            <w:vAlign w:val="center"/>
          </w:tcPr>
          <w:p w14:paraId="13304C7C"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Nr.</w:t>
            </w:r>
          </w:p>
        </w:tc>
        <w:tc>
          <w:tcPr>
            <w:tcW w:w="4024" w:type="dxa"/>
            <w:shd w:val="clear" w:color="auto" w:fill="A1D6E9"/>
            <w:vAlign w:val="center"/>
          </w:tcPr>
          <w:p w14:paraId="3EF2F7A2"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VPP</w:t>
            </w:r>
          </w:p>
        </w:tc>
        <w:tc>
          <w:tcPr>
            <w:tcW w:w="1142" w:type="dxa"/>
            <w:shd w:val="clear" w:color="auto" w:fill="A1D6E9"/>
            <w:vAlign w:val="center"/>
          </w:tcPr>
          <w:p w14:paraId="0A12D061"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Piešķirtais finansējums</w:t>
            </w:r>
          </w:p>
        </w:tc>
        <w:tc>
          <w:tcPr>
            <w:tcW w:w="1250" w:type="dxa"/>
            <w:shd w:val="clear" w:color="auto" w:fill="A1D6E9"/>
            <w:vAlign w:val="center"/>
          </w:tcPr>
          <w:p w14:paraId="0ED0DA81"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Izlietotais finansējums</w:t>
            </w:r>
          </w:p>
        </w:tc>
        <w:tc>
          <w:tcPr>
            <w:tcW w:w="1016" w:type="dxa"/>
            <w:shd w:val="clear" w:color="auto" w:fill="A1D6E9"/>
            <w:vAlign w:val="center"/>
          </w:tcPr>
          <w:p w14:paraId="7D5B425A"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Atlikums</w:t>
            </w:r>
          </w:p>
        </w:tc>
        <w:tc>
          <w:tcPr>
            <w:tcW w:w="1128" w:type="dxa"/>
            <w:shd w:val="clear" w:color="auto" w:fill="A1D6E9"/>
            <w:vAlign w:val="center"/>
          </w:tcPr>
          <w:p w14:paraId="310D7F71"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Atlikums (%)</w:t>
            </w:r>
          </w:p>
        </w:tc>
      </w:tr>
      <w:tr w:rsidR="0080220D" w:rsidRPr="00307028" w14:paraId="6D17A73E" w14:textId="77777777" w:rsidTr="004D739B">
        <w:tc>
          <w:tcPr>
            <w:tcW w:w="507" w:type="dxa"/>
          </w:tcPr>
          <w:p w14:paraId="1926BCDE"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1.</w:t>
            </w:r>
          </w:p>
        </w:tc>
        <w:tc>
          <w:tcPr>
            <w:tcW w:w="4024" w:type="dxa"/>
          </w:tcPr>
          <w:p w14:paraId="7E285F18"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Latviešu valoda</w:t>
            </w:r>
          </w:p>
        </w:tc>
        <w:tc>
          <w:tcPr>
            <w:tcW w:w="1142" w:type="dxa"/>
          </w:tcPr>
          <w:p w14:paraId="6DD522BD"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3 008 915</w:t>
            </w:r>
          </w:p>
        </w:tc>
        <w:tc>
          <w:tcPr>
            <w:tcW w:w="1250" w:type="dxa"/>
          </w:tcPr>
          <w:p w14:paraId="24A292CA"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2 739 987</w:t>
            </w:r>
          </w:p>
        </w:tc>
        <w:tc>
          <w:tcPr>
            <w:tcW w:w="1016" w:type="dxa"/>
          </w:tcPr>
          <w:p w14:paraId="0BE6190A"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 xml:space="preserve">268 928 </w:t>
            </w:r>
          </w:p>
        </w:tc>
        <w:tc>
          <w:tcPr>
            <w:tcW w:w="1128" w:type="dxa"/>
          </w:tcPr>
          <w:p w14:paraId="155B5D51"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8,9%</w:t>
            </w:r>
          </w:p>
        </w:tc>
      </w:tr>
      <w:tr w:rsidR="0080220D" w:rsidRPr="00307028" w14:paraId="4C516739" w14:textId="77777777" w:rsidTr="004D739B">
        <w:tc>
          <w:tcPr>
            <w:tcW w:w="507" w:type="dxa"/>
          </w:tcPr>
          <w:p w14:paraId="3F77E5EB"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2.</w:t>
            </w:r>
          </w:p>
        </w:tc>
        <w:tc>
          <w:tcPr>
            <w:tcW w:w="4024" w:type="dxa"/>
          </w:tcPr>
          <w:p w14:paraId="75BC2D87"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Latvijas mantojums un nākotnes izaicinājumi valsts ilgtspējai</w:t>
            </w:r>
          </w:p>
        </w:tc>
        <w:tc>
          <w:tcPr>
            <w:tcW w:w="1142" w:type="dxa"/>
          </w:tcPr>
          <w:p w14:paraId="4F2B86FB"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2 985 089</w:t>
            </w:r>
          </w:p>
        </w:tc>
        <w:tc>
          <w:tcPr>
            <w:tcW w:w="1250" w:type="dxa"/>
          </w:tcPr>
          <w:p w14:paraId="53E63D99"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2 926 847</w:t>
            </w:r>
          </w:p>
        </w:tc>
        <w:tc>
          <w:tcPr>
            <w:tcW w:w="1016" w:type="dxa"/>
          </w:tcPr>
          <w:p w14:paraId="42D5FE6F"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58 242</w:t>
            </w:r>
          </w:p>
        </w:tc>
        <w:tc>
          <w:tcPr>
            <w:tcW w:w="1128" w:type="dxa"/>
          </w:tcPr>
          <w:p w14:paraId="268EB8B9"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2,0%</w:t>
            </w:r>
          </w:p>
        </w:tc>
      </w:tr>
      <w:tr w:rsidR="0080220D" w:rsidRPr="00307028" w14:paraId="3DD38684" w14:textId="77777777" w:rsidTr="004D739B">
        <w:tc>
          <w:tcPr>
            <w:tcW w:w="507" w:type="dxa"/>
          </w:tcPr>
          <w:p w14:paraId="69F1E3A0"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3.</w:t>
            </w:r>
          </w:p>
        </w:tc>
        <w:tc>
          <w:tcPr>
            <w:tcW w:w="4024" w:type="dxa"/>
          </w:tcPr>
          <w:p w14:paraId="7FB65CDE"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Enerģētika</w:t>
            </w:r>
          </w:p>
        </w:tc>
        <w:tc>
          <w:tcPr>
            <w:tcW w:w="1142" w:type="dxa"/>
          </w:tcPr>
          <w:p w14:paraId="1215B87F"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4 808 640</w:t>
            </w:r>
          </w:p>
        </w:tc>
        <w:tc>
          <w:tcPr>
            <w:tcW w:w="1250" w:type="dxa"/>
          </w:tcPr>
          <w:p w14:paraId="66539FC0"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4 630 571</w:t>
            </w:r>
          </w:p>
        </w:tc>
        <w:tc>
          <w:tcPr>
            <w:tcW w:w="1016" w:type="dxa"/>
          </w:tcPr>
          <w:p w14:paraId="31246AC2"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178 069</w:t>
            </w:r>
          </w:p>
        </w:tc>
        <w:tc>
          <w:tcPr>
            <w:tcW w:w="1128" w:type="dxa"/>
          </w:tcPr>
          <w:p w14:paraId="5D205E6E"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3,7%</w:t>
            </w:r>
          </w:p>
        </w:tc>
      </w:tr>
      <w:tr w:rsidR="0080220D" w:rsidRPr="00307028" w14:paraId="5C11402B" w14:textId="77777777" w:rsidTr="004D739B">
        <w:tc>
          <w:tcPr>
            <w:tcW w:w="507" w:type="dxa"/>
          </w:tcPr>
          <w:p w14:paraId="76DC46A6"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4.</w:t>
            </w:r>
          </w:p>
        </w:tc>
        <w:tc>
          <w:tcPr>
            <w:tcW w:w="4024" w:type="dxa"/>
          </w:tcPr>
          <w:p w14:paraId="7B8F4031"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Covid-19 seku mazināšanai</w:t>
            </w:r>
          </w:p>
        </w:tc>
        <w:tc>
          <w:tcPr>
            <w:tcW w:w="1142" w:type="dxa"/>
          </w:tcPr>
          <w:p w14:paraId="419E9B9A"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4 962 398</w:t>
            </w:r>
          </w:p>
        </w:tc>
        <w:tc>
          <w:tcPr>
            <w:tcW w:w="1250" w:type="dxa"/>
          </w:tcPr>
          <w:p w14:paraId="7CC429E6"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4 848 366</w:t>
            </w:r>
          </w:p>
        </w:tc>
        <w:tc>
          <w:tcPr>
            <w:tcW w:w="1016" w:type="dxa"/>
          </w:tcPr>
          <w:p w14:paraId="0C885D49"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114 032</w:t>
            </w:r>
          </w:p>
        </w:tc>
        <w:tc>
          <w:tcPr>
            <w:tcW w:w="1128" w:type="dxa"/>
          </w:tcPr>
          <w:p w14:paraId="666F6F64"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2,3%</w:t>
            </w:r>
          </w:p>
        </w:tc>
      </w:tr>
      <w:tr w:rsidR="0080220D" w:rsidRPr="00307028" w14:paraId="0BE60643" w14:textId="77777777" w:rsidTr="004D739B">
        <w:tc>
          <w:tcPr>
            <w:tcW w:w="507" w:type="dxa"/>
          </w:tcPr>
          <w:p w14:paraId="1CD7A098"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5.</w:t>
            </w:r>
          </w:p>
        </w:tc>
        <w:tc>
          <w:tcPr>
            <w:tcW w:w="4024" w:type="dxa"/>
          </w:tcPr>
          <w:p w14:paraId="17389B12"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Ēnu ekonomikas mazināšana valsts ilgtspējīgas attīstības nodrošināšanai</w:t>
            </w:r>
          </w:p>
        </w:tc>
        <w:tc>
          <w:tcPr>
            <w:tcW w:w="1142" w:type="dxa"/>
          </w:tcPr>
          <w:p w14:paraId="71A1CFB0"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233 126</w:t>
            </w:r>
          </w:p>
        </w:tc>
        <w:tc>
          <w:tcPr>
            <w:tcW w:w="1250" w:type="dxa"/>
          </w:tcPr>
          <w:p w14:paraId="67A97E15" w14:textId="3FFD1641"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20</w:t>
            </w:r>
            <w:r w:rsidR="009734C1" w:rsidRPr="00612E79">
              <w:rPr>
                <w:rFonts w:eastAsiaTheme="minorHAnsi"/>
                <w:sz w:val="20"/>
                <w:szCs w:val="20"/>
                <w:lang w:eastAsia="en-US"/>
              </w:rPr>
              <w:t>5 317</w:t>
            </w:r>
          </w:p>
        </w:tc>
        <w:tc>
          <w:tcPr>
            <w:tcW w:w="1016" w:type="dxa"/>
          </w:tcPr>
          <w:p w14:paraId="6C56E23D" w14:textId="4977343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2</w:t>
            </w:r>
            <w:r w:rsidR="00CA2590" w:rsidRPr="00612E79">
              <w:rPr>
                <w:rFonts w:eastAsiaTheme="minorHAnsi"/>
                <w:sz w:val="20"/>
                <w:szCs w:val="20"/>
                <w:lang w:eastAsia="en-US"/>
              </w:rPr>
              <w:t>7 809</w:t>
            </w:r>
          </w:p>
        </w:tc>
        <w:tc>
          <w:tcPr>
            <w:tcW w:w="1128" w:type="dxa"/>
          </w:tcPr>
          <w:p w14:paraId="5C322C9A" w14:textId="3CB4372D" w:rsidR="0080220D" w:rsidRPr="00612E79" w:rsidRDefault="00CA2590" w:rsidP="0080220D">
            <w:pPr>
              <w:jc w:val="right"/>
              <w:rPr>
                <w:rFonts w:eastAsiaTheme="minorHAnsi"/>
                <w:sz w:val="20"/>
                <w:szCs w:val="20"/>
                <w:lang w:eastAsia="en-US"/>
              </w:rPr>
            </w:pPr>
            <w:r w:rsidRPr="00612E79">
              <w:rPr>
                <w:rFonts w:eastAsiaTheme="minorHAnsi"/>
                <w:sz w:val="20"/>
                <w:szCs w:val="20"/>
                <w:lang w:eastAsia="en-US"/>
              </w:rPr>
              <w:t>11,9</w:t>
            </w:r>
            <w:r w:rsidR="0080220D" w:rsidRPr="00612E79">
              <w:rPr>
                <w:rFonts w:eastAsiaTheme="minorHAnsi"/>
                <w:sz w:val="20"/>
                <w:szCs w:val="20"/>
                <w:lang w:eastAsia="en-US"/>
              </w:rPr>
              <w:t>%</w:t>
            </w:r>
          </w:p>
        </w:tc>
      </w:tr>
      <w:tr w:rsidR="0080220D" w:rsidRPr="00307028" w14:paraId="47B610AC" w14:textId="77777777" w:rsidTr="004D739B">
        <w:tc>
          <w:tcPr>
            <w:tcW w:w="507" w:type="dxa"/>
          </w:tcPr>
          <w:p w14:paraId="128AE48D"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6.</w:t>
            </w:r>
          </w:p>
        </w:tc>
        <w:tc>
          <w:tcPr>
            <w:tcW w:w="4024" w:type="dxa"/>
          </w:tcPr>
          <w:p w14:paraId="756EAF24"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Humanitāro zinātņu digitālie resursi</w:t>
            </w:r>
          </w:p>
        </w:tc>
        <w:tc>
          <w:tcPr>
            <w:tcW w:w="1142" w:type="dxa"/>
          </w:tcPr>
          <w:p w14:paraId="3241E194"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1 217 700</w:t>
            </w:r>
          </w:p>
        </w:tc>
        <w:tc>
          <w:tcPr>
            <w:tcW w:w="1250" w:type="dxa"/>
          </w:tcPr>
          <w:p w14:paraId="2477BB04"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1 202 435</w:t>
            </w:r>
          </w:p>
        </w:tc>
        <w:tc>
          <w:tcPr>
            <w:tcW w:w="1016" w:type="dxa"/>
          </w:tcPr>
          <w:p w14:paraId="204E5089"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15 265</w:t>
            </w:r>
          </w:p>
        </w:tc>
        <w:tc>
          <w:tcPr>
            <w:tcW w:w="1128" w:type="dxa"/>
          </w:tcPr>
          <w:p w14:paraId="77746791"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1,3%</w:t>
            </w:r>
          </w:p>
        </w:tc>
      </w:tr>
      <w:tr w:rsidR="0080220D" w:rsidRPr="00307028" w14:paraId="70BD8E9F" w14:textId="77777777" w:rsidTr="004D739B">
        <w:tc>
          <w:tcPr>
            <w:tcW w:w="507" w:type="dxa"/>
          </w:tcPr>
          <w:p w14:paraId="2EAA7F03"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7.</w:t>
            </w:r>
          </w:p>
        </w:tc>
        <w:tc>
          <w:tcPr>
            <w:tcW w:w="4024" w:type="dxa"/>
          </w:tcPr>
          <w:p w14:paraId="5DD7587A"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Latvijas kultūra – resurss valsts attīstībai</w:t>
            </w:r>
          </w:p>
        </w:tc>
        <w:tc>
          <w:tcPr>
            <w:tcW w:w="1142" w:type="dxa"/>
          </w:tcPr>
          <w:p w14:paraId="296A179D"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1 000 035</w:t>
            </w:r>
          </w:p>
        </w:tc>
        <w:tc>
          <w:tcPr>
            <w:tcW w:w="1250" w:type="dxa"/>
          </w:tcPr>
          <w:p w14:paraId="6618ACF6"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999 918</w:t>
            </w:r>
          </w:p>
        </w:tc>
        <w:tc>
          <w:tcPr>
            <w:tcW w:w="1016" w:type="dxa"/>
          </w:tcPr>
          <w:p w14:paraId="5BB04BC8"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117</w:t>
            </w:r>
          </w:p>
        </w:tc>
        <w:tc>
          <w:tcPr>
            <w:tcW w:w="1128" w:type="dxa"/>
          </w:tcPr>
          <w:p w14:paraId="15581F83"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0,01%</w:t>
            </w:r>
          </w:p>
        </w:tc>
      </w:tr>
      <w:tr w:rsidR="0080220D" w:rsidRPr="00307028" w14:paraId="6B33C97D" w14:textId="77777777" w:rsidTr="004D739B">
        <w:tc>
          <w:tcPr>
            <w:tcW w:w="507" w:type="dxa"/>
          </w:tcPr>
          <w:p w14:paraId="33156625" w14:textId="77777777" w:rsidR="0080220D" w:rsidRPr="00612E79" w:rsidRDefault="0080220D" w:rsidP="0080220D">
            <w:pPr>
              <w:rPr>
                <w:rFonts w:eastAsiaTheme="minorHAnsi"/>
                <w:sz w:val="20"/>
                <w:szCs w:val="20"/>
                <w:lang w:eastAsia="en-US"/>
              </w:rPr>
            </w:pPr>
            <w:r w:rsidRPr="00612E79">
              <w:rPr>
                <w:rFonts w:eastAsiaTheme="minorHAnsi"/>
                <w:sz w:val="20"/>
                <w:szCs w:val="20"/>
                <w:lang w:eastAsia="en-US"/>
              </w:rPr>
              <w:t>8.</w:t>
            </w:r>
          </w:p>
        </w:tc>
        <w:tc>
          <w:tcPr>
            <w:tcW w:w="4024" w:type="dxa"/>
          </w:tcPr>
          <w:p w14:paraId="56FC60FF" w14:textId="77777777" w:rsidR="0080220D" w:rsidRPr="00612E79" w:rsidRDefault="0080220D" w:rsidP="0080220D">
            <w:pPr>
              <w:rPr>
                <w:rFonts w:eastAsiaTheme="minorHAnsi"/>
                <w:sz w:val="20"/>
                <w:szCs w:val="20"/>
                <w:lang w:eastAsia="en-US"/>
              </w:rPr>
            </w:pPr>
            <w:r w:rsidRPr="00612E79">
              <w:rPr>
                <w:rFonts w:eastAsiaTheme="minorHAnsi"/>
                <w:bCs/>
                <w:sz w:val="20"/>
                <w:szCs w:val="20"/>
                <w:lang w:eastAsia="en-US"/>
              </w:rPr>
              <w:t>Augstas enerģijas fizika un paātrinātāju tehnoloģijas</w:t>
            </w:r>
          </w:p>
        </w:tc>
        <w:tc>
          <w:tcPr>
            <w:tcW w:w="1142" w:type="dxa"/>
          </w:tcPr>
          <w:p w14:paraId="2B220263"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836 460</w:t>
            </w:r>
          </w:p>
        </w:tc>
        <w:tc>
          <w:tcPr>
            <w:tcW w:w="1250" w:type="dxa"/>
          </w:tcPr>
          <w:p w14:paraId="52C24B15"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796 724</w:t>
            </w:r>
          </w:p>
        </w:tc>
        <w:tc>
          <w:tcPr>
            <w:tcW w:w="1016" w:type="dxa"/>
          </w:tcPr>
          <w:p w14:paraId="02C74A89"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39 736</w:t>
            </w:r>
          </w:p>
        </w:tc>
        <w:tc>
          <w:tcPr>
            <w:tcW w:w="1128" w:type="dxa"/>
          </w:tcPr>
          <w:p w14:paraId="32831E72" w14:textId="77777777" w:rsidR="0080220D" w:rsidRPr="00612E79" w:rsidRDefault="0080220D" w:rsidP="0080220D">
            <w:pPr>
              <w:jc w:val="right"/>
              <w:rPr>
                <w:rFonts w:eastAsiaTheme="minorHAnsi"/>
                <w:sz w:val="20"/>
                <w:szCs w:val="20"/>
                <w:lang w:eastAsia="en-US"/>
              </w:rPr>
            </w:pPr>
            <w:r w:rsidRPr="00612E79">
              <w:rPr>
                <w:rFonts w:eastAsiaTheme="minorHAnsi"/>
                <w:sz w:val="20"/>
                <w:szCs w:val="20"/>
                <w:lang w:eastAsia="en-US"/>
              </w:rPr>
              <w:t>4,8%</w:t>
            </w:r>
          </w:p>
        </w:tc>
      </w:tr>
      <w:tr w:rsidR="007E4083" w:rsidRPr="00307028" w14:paraId="2ED7EF7E" w14:textId="77777777" w:rsidTr="007E4083">
        <w:tc>
          <w:tcPr>
            <w:tcW w:w="4531" w:type="dxa"/>
            <w:gridSpan w:val="2"/>
            <w:shd w:val="clear" w:color="auto" w:fill="A1D6E9"/>
          </w:tcPr>
          <w:p w14:paraId="3CC5BB98" w14:textId="77777777" w:rsidR="0080220D" w:rsidRPr="00307028" w:rsidRDefault="0080220D" w:rsidP="0080220D">
            <w:pPr>
              <w:rPr>
                <w:rFonts w:eastAsiaTheme="minorHAnsi"/>
                <w:b/>
                <w:sz w:val="22"/>
                <w:szCs w:val="22"/>
                <w:lang w:eastAsia="en-US"/>
              </w:rPr>
            </w:pPr>
            <w:r w:rsidRPr="00307028">
              <w:rPr>
                <w:rFonts w:eastAsiaTheme="minorHAnsi"/>
                <w:b/>
                <w:sz w:val="22"/>
                <w:szCs w:val="22"/>
                <w:lang w:eastAsia="en-US"/>
              </w:rPr>
              <w:t>KOPĀ</w:t>
            </w:r>
          </w:p>
        </w:tc>
        <w:tc>
          <w:tcPr>
            <w:tcW w:w="1142" w:type="dxa"/>
            <w:shd w:val="clear" w:color="auto" w:fill="A1D6E9"/>
          </w:tcPr>
          <w:p w14:paraId="08BA8160" w14:textId="77777777" w:rsidR="0080220D" w:rsidRPr="00307028" w:rsidRDefault="0080220D" w:rsidP="0080220D">
            <w:pPr>
              <w:jc w:val="right"/>
              <w:rPr>
                <w:rFonts w:eastAsiaTheme="minorHAnsi"/>
                <w:b/>
                <w:sz w:val="22"/>
                <w:szCs w:val="22"/>
                <w:lang w:eastAsia="en-US"/>
              </w:rPr>
            </w:pPr>
            <w:r w:rsidRPr="00307028">
              <w:rPr>
                <w:rFonts w:eastAsiaTheme="minorHAnsi"/>
                <w:b/>
                <w:sz w:val="22"/>
                <w:szCs w:val="22"/>
                <w:lang w:eastAsia="en-US"/>
              </w:rPr>
              <w:t>19 052 363</w:t>
            </w:r>
          </w:p>
        </w:tc>
        <w:tc>
          <w:tcPr>
            <w:tcW w:w="1250" w:type="dxa"/>
            <w:shd w:val="clear" w:color="auto" w:fill="A1D6E9"/>
          </w:tcPr>
          <w:p w14:paraId="7601FA77" w14:textId="16096AEC" w:rsidR="0080220D" w:rsidRPr="00307028" w:rsidRDefault="0080220D" w:rsidP="0080220D">
            <w:pPr>
              <w:jc w:val="right"/>
              <w:rPr>
                <w:rFonts w:eastAsiaTheme="minorHAnsi"/>
                <w:b/>
                <w:sz w:val="22"/>
                <w:szCs w:val="22"/>
                <w:lang w:eastAsia="en-US"/>
              </w:rPr>
            </w:pPr>
            <w:r w:rsidRPr="00307028">
              <w:rPr>
                <w:rFonts w:eastAsiaTheme="minorHAnsi"/>
                <w:b/>
                <w:sz w:val="22"/>
                <w:szCs w:val="22"/>
                <w:lang w:eastAsia="en-US"/>
              </w:rPr>
              <w:t xml:space="preserve">18 </w:t>
            </w:r>
            <w:r w:rsidR="00EE08DE" w:rsidRPr="00307028">
              <w:rPr>
                <w:rFonts w:eastAsiaTheme="minorHAnsi"/>
                <w:b/>
                <w:sz w:val="22"/>
                <w:szCs w:val="22"/>
                <w:lang w:eastAsia="en-US"/>
              </w:rPr>
              <w:t xml:space="preserve">350 165 </w:t>
            </w:r>
          </w:p>
        </w:tc>
        <w:tc>
          <w:tcPr>
            <w:tcW w:w="1016" w:type="dxa"/>
            <w:shd w:val="clear" w:color="auto" w:fill="A1D6E9"/>
          </w:tcPr>
          <w:p w14:paraId="44F2A915" w14:textId="2B3C38D0" w:rsidR="0080220D" w:rsidRPr="00307028" w:rsidRDefault="0080220D" w:rsidP="0080220D">
            <w:pPr>
              <w:jc w:val="right"/>
              <w:rPr>
                <w:rFonts w:eastAsiaTheme="minorHAnsi"/>
                <w:b/>
                <w:sz w:val="22"/>
                <w:szCs w:val="22"/>
                <w:lang w:eastAsia="en-US"/>
              </w:rPr>
            </w:pPr>
            <w:r w:rsidRPr="00307028">
              <w:rPr>
                <w:rFonts w:eastAsiaTheme="minorHAnsi"/>
                <w:b/>
                <w:sz w:val="22"/>
                <w:szCs w:val="22"/>
                <w:lang w:eastAsia="en-US"/>
              </w:rPr>
              <w:t>702</w:t>
            </w:r>
            <w:r w:rsidR="00EE08DE" w:rsidRPr="00307028">
              <w:rPr>
                <w:rFonts w:eastAsiaTheme="minorHAnsi"/>
                <w:b/>
                <w:sz w:val="22"/>
                <w:szCs w:val="22"/>
                <w:lang w:eastAsia="en-US"/>
              </w:rPr>
              <w:t xml:space="preserve"> 198</w:t>
            </w:r>
            <w:r w:rsidRPr="00307028">
              <w:rPr>
                <w:rFonts w:eastAsiaTheme="minorHAnsi"/>
                <w:b/>
                <w:sz w:val="22"/>
                <w:szCs w:val="22"/>
                <w:lang w:eastAsia="en-US"/>
              </w:rPr>
              <w:t xml:space="preserve"> </w:t>
            </w:r>
          </w:p>
        </w:tc>
        <w:tc>
          <w:tcPr>
            <w:tcW w:w="1128" w:type="dxa"/>
            <w:shd w:val="clear" w:color="auto" w:fill="A1D6E9"/>
          </w:tcPr>
          <w:p w14:paraId="2C4D5C3A" w14:textId="77777777" w:rsidR="0080220D" w:rsidRPr="00307028" w:rsidRDefault="0080220D" w:rsidP="0080220D">
            <w:pPr>
              <w:jc w:val="right"/>
              <w:rPr>
                <w:rFonts w:eastAsiaTheme="minorHAnsi"/>
                <w:b/>
                <w:sz w:val="22"/>
                <w:szCs w:val="22"/>
                <w:lang w:eastAsia="en-US"/>
              </w:rPr>
            </w:pPr>
            <w:r w:rsidRPr="00307028">
              <w:rPr>
                <w:rFonts w:eastAsiaTheme="minorHAnsi"/>
                <w:b/>
                <w:sz w:val="22"/>
                <w:szCs w:val="22"/>
                <w:lang w:eastAsia="en-US"/>
              </w:rPr>
              <w:t>3,7%</w:t>
            </w:r>
          </w:p>
        </w:tc>
      </w:tr>
    </w:tbl>
    <w:p w14:paraId="2E4B7BA4" w14:textId="7254D303" w:rsidR="0080220D" w:rsidRPr="00307028" w:rsidRDefault="0080220D" w:rsidP="0037172A">
      <w:pPr>
        <w:spacing w:before="120" w:after="120" w:line="259" w:lineRule="auto"/>
        <w:jc w:val="both"/>
        <w:rPr>
          <w:rFonts w:eastAsia="Times New Roman"/>
          <w:shd w:val="clear" w:color="auto" w:fill="FFFFFF"/>
          <w:lang w:eastAsia="lv-LV"/>
        </w:rPr>
      </w:pPr>
      <w:r w:rsidRPr="00307028">
        <w:rPr>
          <w:rFonts w:eastAsiaTheme="minorHAnsi"/>
          <w:lang w:eastAsia="en-US"/>
        </w:rPr>
        <w:tab/>
        <w:t xml:space="preserve">Lai noskaidrotu </w:t>
      </w:r>
      <w:r w:rsidR="00353DB3" w:rsidRPr="00307028">
        <w:rPr>
          <w:rFonts w:eastAsiaTheme="minorHAnsi"/>
          <w:lang w:eastAsia="en-US"/>
        </w:rPr>
        <w:t xml:space="preserve">to, </w:t>
      </w:r>
      <w:r w:rsidRPr="00307028">
        <w:rPr>
          <w:rFonts w:eastAsiaTheme="minorHAnsi"/>
          <w:lang w:eastAsia="en-US"/>
        </w:rPr>
        <w:t xml:space="preserve">kādas indikatīvi varētu būt VPP sasniegto rezultātu izmaksas, FM katram no </w:t>
      </w:r>
      <w:r w:rsidRPr="00307028">
        <w:rPr>
          <w:rFonts w:eastAsia="Times New Roman"/>
          <w:shd w:val="clear" w:color="auto" w:fill="FFFFFF"/>
          <w:lang w:eastAsia="lv-LV"/>
        </w:rPr>
        <w:t xml:space="preserve">MK noteikumu Nr. 560 12. punktā minētajiem rezultātiem piešķīra koeficientu pēc to nozīmīguma, ar kuru tika reizināts kopējais izlietotais finansējums katrai no VPP. </w:t>
      </w:r>
    </w:p>
    <w:p w14:paraId="20D31214" w14:textId="77777777" w:rsidR="0080220D" w:rsidRPr="00307028" w:rsidRDefault="0080220D" w:rsidP="007E4083">
      <w:pPr>
        <w:spacing w:after="120" w:line="259" w:lineRule="auto"/>
        <w:jc w:val="both"/>
        <w:rPr>
          <w:rFonts w:eastAsiaTheme="minorHAnsi"/>
          <w:lang w:eastAsia="en-US"/>
        </w:rPr>
      </w:pPr>
      <w:r w:rsidRPr="00307028">
        <w:rPr>
          <w:rFonts w:eastAsia="Times New Roman"/>
          <w:shd w:val="clear" w:color="auto" w:fill="FFFFFF"/>
          <w:lang w:eastAsia="lv-LV"/>
        </w:rPr>
        <w:tab/>
        <w:t xml:space="preserve">Proporcionāli lielākie koeficienti tika piešķirti </w:t>
      </w:r>
      <w:r w:rsidRPr="00307028">
        <w:rPr>
          <w:rFonts w:eastAsiaTheme="minorHAnsi"/>
          <w:lang w:eastAsia="en-US"/>
        </w:rPr>
        <w:t>komercializējamiem pētījumu rezultātiem – tehnoloģiju tiesībām, intelektuālā īpašuma licences līgumiem, jauna produkta vai jaunas tehnoloģijas prototipiem, kā arī būtu piešķirams jaunas ārstniecības un diagnostikas metodēm, bet tādi rezultāti netika plānoti un nav sasniegti nevienai no VPP. Kā nākošie proporcionāli lielākie koeficienti tika piešķirti oriģināliem zinātniskiem rakstiem, kas publicēti žurnālos vai konferenču rakstu krājumos, kuru citēšanas indekss sasniedz vismaz 50 procentus no nozares vidējā citēšanas indeksa un ziņojumiem par rīcībpolitikas ieteikumiem un rīcībpolitiku ietekmi, kam sekoja oriģināli zinātniskie raksti, kas publicēti </w:t>
      </w:r>
      <w:r w:rsidRPr="00307028">
        <w:rPr>
          <w:rFonts w:eastAsiaTheme="minorHAnsi"/>
          <w:i/>
          <w:iCs/>
          <w:lang w:eastAsia="en-US"/>
        </w:rPr>
        <w:t xml:space="preserve">Web of </w:t>
      </w:r>
      <w:r w:rsidRPr="00307028">
        <w:rPr>
          <w:rFonts w:eastAsiaTheme="minorHAnsi"/>
          <w:i/>
          <w:iCs/>
          <w:lang w:eastAsia="en-US"/>
        </w:rPr>
        <w:lastRenderedPageBreak/>
        <w:t>Science </w:t>
      </w:r>
      <w:r w:rsidRPr="00307028">
        <w:rPr>
          <w:rFonts w:eastAsiaTheme="minorHAnsi"/>
          <w:lang w:eastAsia="en-US"/>
        </w:rPr>
        <w:t>vai </w:t>
      </w:r>
      <w:r w:rsidRPr="00307028">
        <w:rPr>
          <w:rFonts w:eastAsiaTheme="minorHAnsi"/>
          <w:i/>
          <w:iCs/>
          <w:lang w:eastAsia="en-US"/>
        </w:rPr>
        <w:t>SCOPUS</w:t>
      </w:r>
      <w:r w:rsidRPr="00307028">
        <w:rPr>
          <w:rFonts w:eastAsiaTheme="minorHAnsi"/>
          <w:lang w:eastAsia="en-US"/>
        </w:rPr>
        <w:t> (A vai B) datubāzēs iekļautajos žurnālos vai konferenču rakstu krājumos, sekmīgi nokārtots maģistra valsts (gala) pārbaudījums un noteiktā kārtībā aizstāvēts promocijas darbs, ievērojot programmas mērķi un uzdevumus, bet viszemākie koeficienti tika piešķirti citiem pētniecības specifikai atbilstošiem projekta rezultātiem (tai skaitā datiem).</w:t>
      </w:r>
    </w:p>
    <w:p w14:paraId="5C695863" w14:textId="3D13A891" w:rsidR="0080220D" w:rsidRPr="00307028" w:rsidRDefault="0080220D" w:rsidP="007E4083">
      <w:pPr>
        <w:spacing w:after="120" w:line="259" w:lineRule="auto"/>
        <w:ind w:firstLine="720"/>
        <w:jc w:val="both"/>
        <w:rPr>
          <w:rFonts w:eastAsia="Times New Roman"/>
          <w:shd w:val="clear" w:color="auto" w:fill="FFFFFF"/>
          <w:lang w:eastAsia="lv-LV"/>
        </w:rPr>
      </w:pPr>
      <w:r w:rsidRPr="00307028">
        <w:rPr>
          <w:rFonts w:eastAsia="Times New Roman"/>
          <w:shd w:val="clear" w:color="auto" w:fill="FFFFFF"/>
          <w:lang w:eastAsia="lv-LV"/>
        </w:rPr>
        <w:t>Ņemot vērā, ka VPP sasniegto rezultātu veidi ir dažādi, piemēram, kādai VPP tika sasniegti septiņi no deviņiem MK noteikumu Nr.</w:t>
      </w:r>
      <w:r w:rsidR="00387E8D" w:rsidRPr="00307028">
        <w:rPr>
          <w:rFonts w:eastAsia="Times New Roman"/>
          <w:shd w:val="clear" w:color="auto" w:fill="FFFFFF"/>
          <w:lang w:eastAsia="lv-LV"/>
        </w:rPr>
        <w:t xml:space="preserve"> </w:t>
      </w:r>
      <w:r w:rsidRPr="00307028">
        <w:rPr>
          <w:rFonts w:eastAsia="Times New Roman"/>
          <w:shd w:val="clear" w:color="auto" w:fill="FFFFFF"/>
          <w:lang w:eastAsia="lv-LV"/>
        </w:rPr>
        <w:t>560 12. punktā minētajiem rezultātiem, bet citai VPP tikai četri, arī piešķirtie koeficienti starp VPP atšķiras. 3.2.2.3. tabulā apkopoti VPP rezultātiem piešķirto koeficientu intervāli.</w:t>
      </w:r>
    </w:p>
    <w:p w14:paraId="118E25B6" w14:textId="77777777" w:rsidR="0080220D" w:rsidRPr="00307028" w:rsidRDefault="0080220D" w:rsidP="00353DB3">
      <w:pPr>
        <w:spacing w:after="120" w:line="259" w:lineRule="auto"/>
        <w:jc w:val="center"/>
        <w:rPr>
          <w:rFonts w:eastAsiaTheme="minorHAnsi"/>
          <w:b/>
          <w:i/>
          <w:iCs/>
          <w:sz w:val="22"/>
          <w:szCs w:val="22"/>
          <w:lang w:eastAsia="en-US"/>
        </w:rPr>
      </w:pPr>
      <w:r w:rsidRPr="00307028">
        <w:rPr>
          <w:rFonts w:eastAsiaTheme="minorHAnsi"/>
          <w:b/>
          <w:i/>
          <w:iCs/>
          <w:sz w:val="22"/>
          <w:szCs w:val="22"/>
          <w:lang w:eastAsia="en-US"/>
        </w:rPr>
        <w:t>3.2.2.3. tabula</w:t>
      </w:r>
      <w:r w:rsidRPr="00307028">
        <w:rPr>
          <w:rFonts w:eastAsiaTheme="minorHAnsi"/>
          <w:b/>
          <w:sz w:val="22"/>
          <w:szCs w:val="22"/>
          <w:lang w:eastAsia="en-US"/>
        </w:rPr>
        <w:t xml:space="preserve"> VPP rezultātiem piešķirto koeficientu intervāli</w:t>
      </w:r>
    </w:p>
    <w:tbl>
      <w:tblPr>
        <w:tblStyle w:val="TableGrid"/>
        <w:tblW w:w="9067" w:type="dxa"/>
        <w:tblLook w:val="04A0" w:firstRow="1" w:lastRow="0" w:firstColumn="1" w:lastColumn="0" w:noHBand="0" w:noVBand="1"/>
      </w:tblPr>
      <w:tblGrid>
        <w:gridCol w:w="7650"/>
        <w:gridCol w:w="709"/>
        <w:gridCol w:w="708"/>
      </w:tblGrid>
      <w:tr w:rsidR="0080220D" w:rsidRPr="00307028" w14:paraId="15EF2962" w14:textId="77777777" w:rsidTr="00E84995">
        <w:tc>
          <w:tcPr>
            <w:tcW w:w="7650" w:type="dxa"/>
            <w:vMerge w:val="restart"/>
            <w:shd w:val="clear" w:color="auto" w:fill="A1D6E9"/>
            <w:vAlign w:val="center"/>
          </w:tcPr>
          <w:p w14:paraId="15497623" w14:textId="77777777" w:rsidR="0080220D" w:rsidRPr="00307028" w:rsidRDefault="0080220D" w:rsidP="0080220D">
            <w:pPr>
              <w:rPr>
                <w:rFonts w:eastAsiaTheme="minorHAnsi"/>
                <w:b/>
                <w:bCs/>
                <w:sz w:val="22"/>
                <w:szCs w:val="22"/>
                <w:lang w:eastAsia="en-US"/>
              </w:rPr>
            </w:pPr>
            <w:r w:rsidRPr="00307028">
              <w:rPr>
                <w:rFonts w:eastAsiaTheme="minorHAnsi"/>
                <w:b/>
                <w:bCs/>
                <w:sz w:val="22"/>
                <w:szCs w:val="22"/>
                <w:lang w:eastAsia="en-US"/>
              </w:rPr>
              <w:t>Rezultāts</w:t>
            </w:r>
          </w:p>
        </w:tc>
        <w:tc>
          <w:tcPr>
            <w:tcW w:w="1417" w:type="dxa"/>
            <w:gridSpan w:val="2"/>
            <w:shd w:val="clear" w:color="auto" w:fill="A1D6E9"/>
          </w:tcPr>
          <w:p w14:paraId="3E45C6FA"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Koeficients</w:t>
            </w:r>
          </w:p>
        </w:tc>
      </w:tr>
      <w:tr w:rsidR="0080220D" w:rsidRPr="00307028" w14:paraId="720D88DF" w14:textId="77777777" w:rsidTr="00E84995">
        <w:tc>
          <w:tcPr>
            <w:tcW w:w="7650" w:type="dxa"/>
            <w:vMerge/>
            <w:shd w:val="clear" w:color="auto" w:fill="A1D6E9"/>
          </w:tcPr>
          <w:p w14:paraId="13134FCC" w14:textId="77777777" w:rsidR="0080220D" w:rsidRPr="00307028" w:rsidRDefault="0080220D" w:rsidP="0080220D">
            <w:pPr>
              <w:jc w:val="both"/>
              <w:rPr>
                <w:rFonts w:eastAsiaTheme="minorHAnsi"/>
                <w:b/>
                <w:bCs/>
                <w:sz w:val="22"/>
                <w:szCs w:val="22"/>
                <w:lang w:eastAsia="en-US"/>
              </w:rPr>
            </w:pPr>
          </w:p>
        </w:tc>
        <w:tc>
          <w:tcPr>
            <w:tcW w:w="709" w:type="dxa"/>
            <w:shd w:val="clear" w:color="auto" w:fill="A1D6E9"/>
          </w:tcPr>
          <w:p w14:paraId="66E90B9D"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No</w:t>
            </w:r>
          </w:p>
        </w:tc>
        <w:tc>
          <w:tcPr>
            <w:tcW w:w="708" w:type="dxa"/>
            <w:shd w:val="clear" w:color="auto" w:fill="A1D6E9"/>
          </w:tcPr>
          <w:p w14:paraId="156F8351" w14:textId="77777777" w:rsidR="0080220D" w:rsidRPr="00307028" w:rsidRDefault="0080220D" w:rsidP="0080220D">
            <w:pPr>
              <w:jc w:val="center"/>
              <w:rPr>
                <w:rFonts w:eastAsiaTheme="minorHAnsi"/>
                <w:b/>
                <w:bCs/>
                <w:sz w:val="22"/>
                <w:szCs w:val="22"/>
                <w:lang w:eastAsia="en-US"/>
              </w:rPr>
            </w:pPr>
            <w:r w:rsidRPr="00307028">
              <w:rPr>
                <w:rFonts w:eastAsiaTheme="minorHAnsi"/>
                <w:b/>
                <w:bCs/>
                <w:sz w:val="22"/>
                <w:szCs w:val="22"/>
                <w:lang w:eastAsia="en-US"/>
              </w:rPr>
              <w:t>Līdz</w:t>
            </w:r>
          </w:p>
        </w:tc>
      </w:tr>
      <w:tr w:rsidR="0080220D" w:rsidRPr="00307028" w14:paraId="2B9EA9E9" w14:textId="77777777" w:rsidTr="004D739B">
        <w:tc>
          <w:tcPr>
            <w:tcW w:w="7650" w:type="dxa"/>
            <w:vAlign w:val="bottom"/>
          </w:tcPr>
          <w:p w14:paraId="0C48DA09"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Oriģināli zinātniskie raksti, kas publicēti žurnālos vai konferenču rakstu krājumos, kuru citēšanas indekss sasniedz vismaz 50 procentus no nozares vidējā citēšanas indeksa</w:t>
            </w:r>
          </w:p>
        </w:tc>
        <w:tc>
          <w:tcPr>
            <w:tcW w:w="709" w:type="dxa"/>
          </w:tcPr>
          <w:p w14:paraId="61E14B08"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0,17</w:t>
            </w:r>
          </w:p>
        </w:tc>
        <w:tc>
          <w:tcPr>
            <w:tcW w:w="708" w:type="dxa"/>
          </w:tcPr>
          <w:p w14:paraId="1B0861DA"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0,4</w:t>
            </w:r>
          </w:p>
        </w:tc>
      </w:tr>
      <w:tr w:rsidR="0080220D" w:rsidRPr="00307028" w14:paraId="64537DBA" w14:textId="77777777" w:rsidTr="004D739B">
        <w:tc>
          <w:tcPr>
            <w:tcW w:w="7650" w:type="dxa"/>
            <w:vAlign w:val="bottom"/>
          </w:tcPr>
          <w:p w14:paraId="00E90E97"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Oriģināli zinātniskie raksti, kas publicēti </w:t>
            </w:r>
            <w:r w:rsidRPr="00612E79">
              <w:rPr>
                <w:rFonts w:eastAsiaTheme="minorHAnsi"/>
                <w:i/>
                <w:iCs/>
                <w:sz w:val="20"/>
                <w:szCs w:val="20"/>
                <w:lang w:eastAsia="en-US"/>
              </w:rPr>
              <w:t>Web of Science</w:t>
            </w:r>
            <w:r w:rsidRPr="00612E79">
              <w:rPr>
                <w:rFonts w:eastAsiaTheme="minorHAnsi"/>
                <w:sz w:val="20"/>
                <w:szCs w:val="20"/>
                <w:lang w:eastAsia="en-US"/>
              </w:rPr>
              <w:t> vai </w:t>
            </w:r>
            <w:r w:rsidRPr="00612E79">
              <w:rPr>
                <w:rFonts w:eastAsiaTheme="minorHAnsi"/>
                <w:i/>
                <w:iCs/>
                <w:sz w:val="20"/>
                <w:szCs w:val="20"/>
                <w:lang w:eastAsia="en-US"/>
              </w:rPr>
              <w:t>SCOPUS</w:t>
            </w:r>
            <w:r w:rsidRPr="00612E79">
              <w:rPr>
                <w:rFonts w:eastAsiaTheme="minorHAnsi"/>
                <w:sz w:val="20"/>
                <w:szCs w:val="20"/>
                <w:lang w:eastAsia="en-US"/>
              </w:rPr>
              <w:t> (A vai B) datubāzēs iekļautajos žurnālos vai konferenču rakstu krājumos</w:t>
            </w:r>
          </w:p>
        </w:tc>
        <w:tc>
          <w:tcPr>
            <w:tcW w:w="709" w:type="dxa"/>
          </w:tcPr>
          <w:p w14:paraId="07E15A27"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0,14</w:t>
            </w:r>
          </w:p>
        </w:tc>
        <w:tc>
          <w:tcPr>
            <w:tcW w:w="708" w:type="dxa"/>
          </w:tcPr>
          <w:p w14:paraId="6B4C2C7C"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0,35</w:t>
            </w:r>
          </w:p>
        </w:tc>
      </w:tr>
      <w:tr w:rsidR="0080220D" w:rsidRPr="00307028" w14:paraId="7645F4A0" w14:textId="77777777" w:rsidTr="004D739B">
        <w:tc>
          <w:tcPr>
            <w:tcW w:w="7650" w:type="dxa"/>
            <w:vAlign w:val="bottom"/>
          </w:tcPr>
          <w:p w14:paraId="720B47B9"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Tehnoloģiju tiesības</w:t>
            </w:r>
          </w:p>
        </w:tc>
        <w:tc>
          <w:tcPr>
            <w:tcW w:w="709" w:type="dxa"/>
          </w:tcPr>
          <w:p w14:paraId="35CB676A"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c>
          <w:tcPr>
            <w:tcW w:w="708" w:type="dxa"/>
          </w:tcPr>
          <w:p w14:paraId="574B13DD"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r>
      <w:tr w:rsidR="0080220D" w:rsidRPr="00307028" w14:paraId="1CC0147E" w14:textId="77777777" w:rsidTr="004D739B">
        <w:tc>
          <w:tcPr>
            <w:tcW w:w="7650" w:type="dxa"/>
            <w:vAlign w:val="bottom"/>
          </w:tcPr>
          <w:p w14:paraId="74C69B2D"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Intelektuālā īpašuma licences līgumi</w:t>
            </w:r>
          </w:p>
        </w:tc>
        <w:tc>
          <w:tcPr>
            <w:tcW w:w="709" w:type="dxa"/>
          </w:tcPr>
          <w:p w14:paraId="023C13B3"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c>
          <w:tcPr>
            <w:tcW w:w="708" w:type="dxa"/>
          </w:tcPr>
          <w:p w14:paraId="55CC615D"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r>
      <w:tr w:rsidR="0080220D" w:rsidRPr="00307028" w14:paraId="3E83E8D6" w14:textId="77777777" w:rsidTr="004D739B">
        <w:tc>
          <w:tcPr>
            <w:tcW w:w="7650" w:type="dxa"/>
            <w:vAlign w:val="bottom"/>
          </w:tcPr>
          <w:p w14:paraId="0FDED8E1"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Jauna produkta vai jaunas tehnoloģijas prototips</w:t>
            </w:r>
          </w:p>
        </w:tc>
        <w:tc>
          <w:tcPr>
            <w:tcW w:w="709" w:type="dxa"/>
          </w:tcPr>
          <w:p w14:paraId="7332DE91"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c>
          <w:tcPr>
            <w:tcW w:w="708" w:type="dxa"/>
          </w:tcPr>
          <w:p w14:paraId="01914EAD"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r>
      <w:tr w:rsidR="0080220D" w:rsidRPr="00307028" w14:paraId="3D09A850" w14:textId="77777777" w:rsidTr="004D739B">
        <w:tc>
          <w:tcPr>
            <w:tcW w:w="7650" w:type="dxa"/>
            <w:vAlign w:val="bottom"/>
          </w:tcPr>
          <w:p w14:paraId="6588371A"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Jaunas ārstniecības un diagnostikas metodes (tai skaitā nekomercializējama metode)*</w:t>
            </w:r>
          </w:p>
        </w:tc>
        <w:tc>
          <w:tcPr>
            <w:tcW w:w="709" w:type="dxa"/>
          </w:tcPr>
          <w:p w14:paraId="35B6D230"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w:t>
            </w:r>
          </w:p>
        </w:tc>
        <w:tc>
          <w:tcPr>
            <w:tcW w:w="708" w:type="dxa"/>
          </w:tcPr>
          <w:p w14:paraId="41AA4AF0"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w:t>
            </w:r>
          </w:p>
        </w:tc>
      </w:tr>
      <w:tr w:rsidR="0080220D" w:rsidRPr="00307028" w14:paraId="34CEFAA6" w14:textId="77777777" w:rsidTr="004D739B">
        <w:tc>
          <w:tcPr>
            <w:tcW w:w="7650" w:type="dxa"/>
            <w:vAlign w:val="bottom"/>
          </w:tcPr>
          <w:p w14:paraId="368AD7B6"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Ziņojumi par rīcībpolitikas ieteikumiem un rīcībpolitiku ietekmi</w:t>
            </w:r>
          </w:p>
        </w:tc>
        <w:tc>
          <w:tcPr>
            <w:tcW w:w="709" w:type="dxa"/>
          </w:tcPr>
          <w:p w14:paraId="07822202"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0,17</w:t>
            </w:r>
          </w:p>
        </w:tc>
        <w:tc>
          <w:tcPr>
            <w:tcW w:w="708" w:type="dxa"/>
          </w:tcPr>
          <w:p w14:paraId="265F65BE"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0,35</w:t>
            </w:r>
          </w:p>
        </w:tc>
      </w:tr>
      <w:tr w:rsidR="0080220D" w:rsidRPr="00307028" w14:paraId="7ABCE6BC" w14:textId="77777777" w:rsidTr="004D739B">
        <w:tc>
          <w:tcPr>
            <w:tcW w:w="7650" w:type="dxa"/>
            <w:vAlign w:val="bottom"/>
          </w:tcPr>
          <w:p w14:paraId="037276DE"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Sekmīgi nokārtots maģistra valsts (gala) pārbaudījums un noteiktā kārtībā aizstāvēts promocijas darbs, ievērojot programmas mērķi un uzdevumus</w:t>
            </w:r>
          </w:p>
        </w:tc>
        <w:tc>
          <w:tcPr>
            <w:tcW w:w="709" w:type="dxa"/>
          </w:tcPr>
          <w:p w14:paraId="5946DDD7"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0,07</w:t>
            </w:r>
          </w:p>
        </w:tc>
        <w:tc>
          <w:tcPr>
            <w:tcW w:w="708" w:type="dxa"/>
          </w:tcPr>
          <w:p w14:paraId="0EB96DFB"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0,2</w:t>
            </w:r>
          </w:p>
        </w:tc>
      </w:tr>
      <w:tr w:rsidR="0080220D" w:rsidRPr="00307028" w14:paraId="23F7AB2D" w14:textId="77777777" w:rsidTr="004D739B">
        <w:tc>
          <w:tcPr>
            <w:tcW w:w="7650" w:type="dxa"/>
            <w:vAlign w:val="bottom"/>
          </w:tcPr>
          <w:p w14:paraId="3BECAF1C" w14:textId="77777777" w:rsidR="0080220D" w:rsidRPr="00612E79" w:rsidRDefault="0080220D" w:rsidP="0080220D">
            <w:pPr>
              <w:jc w:val="both"/>
              <w:rPr>
                <w:rFonts w:eastAsiaTheme="minorHAnsi"/>
                <w:sz w:val="20"/>
                <w:szCs w:val="20"/>
                <w:lang w:eastAsia="en-US"/>
              </w:rPr>
            </w:pPr>
            <w:r w:rsidRPr="00612E79">
              <w:rPr>
                <w:rFonts w:eastAsiaTheme="minorHAnsi"/>
                <w:sz w:val="20"/>
                <w:szCs w:val="20"/>
                <w:lang w:eastAsia="en-US"/>
              </w:rPr>
              <w:t>Citi pētniecības specifikai atbilstoši projekta rezultāti (tai skaitā dati)</w:t>
            </w:r>
          </w:p>
        </w:tc>
        <w:tc>
          <w:tcPr>
            <w:tcW w:w="709" w:type="dxa"/>
          </w:tcPr>
          <w:p w14:paraId="0206A5E9"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0,05</w:t>
            </w:r>
          </w:p>
        </w:tc>
        <w:tc>
          <w:tcPr>
            <w:tcW w:w="708" w:type="dxa"/>
          </w:tcPr>
          <w:p w14:paraId="54177BDD" w14:textId="77777777" w:rsidR="0080220D" w:rsidRPr="00612E79" w:rsidRDefault="0080220D" w:rsidP="0080220D">
            <w:pPr>
              <w:jc w:val="center"/>
              <w:rPr>
                <w:rFonts w:eastAsiaTheme="minorHAnsi"/>
                <w:sz w:val="20"/>
                <w:szCs w:val="20"/>
                <w:lang w:eastAsia="en-US"/>
              </w:rPr>
            </w:pPr>
            <w:r w:rsidRPr="00612E79">
              <w:rPr>
                <w:rFonts w:eastAsiaTheme="minorHAnsi"/>
                <w:sz w:val="20"/>
                <w:szCs w:val="20"/>
                <w:lang w:eastAsia="en-US"/>
              </w:rPr>
              <w:t>0,15</w:t>
            </w:r>
          </w:p>
        </w:tc>
      </w:tr>
    </w:tbl>
    <w:p w14:paraId="6F6E9850" w14:textId="77777777" w:rsidR="0080220D" w:rsidRPr="00307028" w:rsidRDefault="0080220D" w:rsidP="0080220D">
      <w:pPr>
        <w:spacing w:line="259" w:lineRule="auto"/>
        <w:rPr>
          <w:rFonts w:eastAsiaTheme="minorHAnsi"/>
          <w:i/>
          <w:iCs/>
          <w:sz w:val="18"/>
          <w:szCs w:val="18"/>
          <w:lang w:eastAsia="en-US"/>
        </w:rPr>
      </w:pPr>
      <w:r w:rsidRPr="00307028">
        <w:rPr>
          <w:rFonts w:eastAsiaTheme="minorHAnsi"/>
          <w:i/>
          <w:iCs/>
          <w:sz w:val="20"/>
          <w:szCs w:val="20"/>
          <w:lang w:eastAsia="en-US"/>
        </w:rPr>
        <w:t>*Nav piešķirts koeficients, jo nevienai VPP netika plānots un nav sasniegts šāds pētījumu rezultāts</w:t>
      </w:r>
    </w:p>
    <w:p w14:paraId="347E66C2" w14:textId="2FB0934A" w:rsidR="0080220D" w:rsidRPr="00307028" w:rsidRDefault="0080220D" w:rsidP="000D7AE2">
      <w:pPr>
        <w:spacing w:before="120" w:after="120" w:line="259" w:lineRule="auto"/>
        <w:ind w:firstLine="720"/>
        <w:jc w:val="both"/>
        <w:rPr>
          <w:rFonts w:eastAsiaTheme="minorHAnsi"/>
          <w:lang w:eastAsia="en-US"/>
        </w:rPr>
      </w:pPr>
      <w:r w:rsidRPr="00307028">
        <w:rPr>
          <w:rFonts w:eastAsiaTheme="minorHAnsi"/>
          <w:lang w:eastAsia="en-US"/>
        </w:rPr>
        <w:t>Aplūkojot sešu VPP, par kuriem ir sagatavots noslēguma ziņojums, un tajā norādītos sasniegtos rezultātus, secināts, ka lielāko daļu jeb 43% no kopējiem rezultātiem veido citi pētniecības specifikai atbilstoši projekta rezultāti (tai skaitā dati), savukārt 39% no kopējiem rezultātiem veido pētniecības rezultātu publiskas pieejamības nodrošināšana, tai skaitā oriģināli zinātniskie raksti, kas publicēti žurnālos vai konferenču rakstu krājumos, kuru citēšanas indekss sasniedz vismaz 50 procentus no nozares vidējā citēšanas indeksa</w:t>
      </w:r>
      <w:r w:rsidR="00353DB3" w:rsidRPr="00307028">
        <w:rPr>
          <w:rFonts w:eastAsiaTheme="minorHAnsi"/>
          <w:lang w:eastAsia="en-US"/>
        </w:rPr>
        <w:t>,</w:t>
      </w:r>
      <w:r w:rsidRPr="00307028">
        <w:rPr>
          <w:rFonts w:eastAsiaTheme="minorHAnsi"/>
          <w:lang w:eastAsia="en-US"/>
        </w:rPr>
        <w:t xml:space="preserve"> veido 14% (154 oriģināli zinātniskie raksti) un oriģināli zinātniskie raksti, kas publicēti </w:t>
      </w:r>
      <w:r w:rsidRPr="00307028">
        <w:rPr>
          <w:rFonts w:eastAsiaTheme="minorHAnsi"/>
          <w:i/>
          <w:iCs/>
          <w:lang w:eastAsia="en-US"/>
        </w:rPr>
        <w:t>Web of Science</w:t>
      </w:r>
      <w:r w:rsidRPr="00307028">
        <w:rPr>
          <w:rFonts w:eastAsiaTheme="minorHAnsi"/>
          <w:lang w:eastAsia="en-US"/>
        </w:rPr>
        <w:t> vai </w:t>
      </w:r>
      <w:r w:rsidRPr="00307028">
        <w:rPr>
          <w:rFonts w:eastAsiaTheme="minorHAnsi"/>
          <w:i/>
          <w:iCs/>
          <w:lang w:eastAsia="en-US"/>
        </w:rPr>
        <w:t>SCOPUS</w:t>
      </w:r>
      <w:r w:rsidRPr="00307028">
        <w:rPr>
          <w:rFonts w:eastAsiaTheme="minorHAnsi"/>
          <w:lang w:eastAsia="en-US"/>
        </w:rPr>
        <w:t> (A vai B) datubāzēs iekļautajos žurnālos vai konferenču rakstu krājumos veido 25% (287 oriģināli zinātniskie raksti). Sekmīgi nokārtots maģistra valsts (gala) pārbaudījums un noteiktā kārtībā aizstāvēts promocijas darbs, ievērojot programmas mērķi un uzdevumus</w:t>
      </w:r>
      <w:r w:rsidR="00353DB3" w:rsidRPr="00307028">
        <w:rPr>
          <w:rFonts w:eastAsiaTheme="minorHAnsi"/>
          <w:lang w:eastAsia="en-US"/>
        </w:rPr>
        <w:t>,</w:t>
      </w:r>
      <w:r w:rsidRPr="00307028">
        <w:rPr>
          <w:rFonts w:eastAsiaTheme="minorHAnsi"/>
          <w:lang w:eastAsia="en-US"/>
        </w:rPr>
        <w:t xml:space="preserve"> veido 9% no kopējiem rezultātiem, bet ziņojumi par rīcībpolitikas ieteikumiem un rīcībpolitiku ietekmi veido 7% no kopējiem rezultātiem.</w:t>
      </w:r>
      <w:r w:rsidR="000D7AE2" w:rsidRPr="00307028">
        <w:rPr>
          <w:rFonts w:eastAsiaTheme="minorHAnsi"/>
          <w:lang w:eastAsia="en-US"/>
        </w:rPr>
        <w:t xml:space="preserve"> </w:t>
      </w:r>
      <w:r w:rsidRPr="00307028">
        <w:rPr>
          <w:rFonts w:eastAsiaTheme="minorHAnsi"/>
          <w:lang w:eastAsia="en-US"/>
        </w:rPr>
        <w:t>Vismazāk jeb tikai 1,5% no kopējā rezultātu skaita veido komercializējami pētījumu rezultāti – tehnoloģiju tiesības (1,2%), intelektuālā īpašuma licences līgumi (0,2%), jauna produkta vai jaunas tehnoloģijas prototips (0,2%), bet jaunas ārstniecības un diagnostikas metodes nav vispār.</w:t>
      </w:r>
      <w:r w:rsidRPr="00307028">
        <w:rPr>
          <w:rFonts w:eastAsiaTheme="minorHAnsi"/>
          <w:b/>
          <w:bCs/>
          <w:lang w:eastAsia="en-US"/>
        </w:rPr>
        <w:t xml:space="preserve"> Tas nozīmē, ka tikai pavisam neliela daļa no pētījumu rezultātiem kļūst par reāli praksē ieviešamiem pētījumiem, komercializējamiem produktiem un tehnoloģijām.</w:t>
      </w:r>
    </w:p>
    <w:p w14:paraId="7038FBBD" w14:textId="549AD70E" w:rsidR="0080220D" w:rsidRPr="00307028" w:rsidRDefault="0080220D" w:rsidP="0080220D">
      <w:pPr>
        <w:spacing w:after="120" w:line="259" w:lineRule="auto"/>
        <w:ind w:firstLine="720"/>
        <w:jc w:val="both"/>
        <w:rPr>
          <w:rFonts w:eastAsiaTheme="minorHAnsi"/>
          <w:lang w:eastAsia="en-US"/>
        </w:rPr>
      </w:pPr>
      <w:r w:rsidRPr="00307028">
        <w:rPr>
          <w:rFonts w:eastAsiaTheme="minorHAnsi"/>
          <w:lang w:eastAsia="en-US"/>
        </w:rPr>
        <w:t xml:space="preserve">Ņemot vērā iepriekšminētos koeficientus un veicot aprēķinus, secināts, ka pētniecības rezultātu publiskas pieejamības nodrošināšanas finansējums indikatīvi veido 7,3 milj. </w:t>
      </w:r>
      <w:r w:rsidRPr="00307028">
        <w:rPr>
          <w:rFonts w:eastAsiaTheme="minorHAnsi"/>
          <w:i/>
          <w:iCs/>
          <w:lang w:eastAsia="en-US"/>
        </w:rPr>
        <w:t>euro</w:t>
      </w:r>
      <w:r w:rsidRPr="00307028">
        <w:rPr>
          <w:rFonts w:eastAsiaTheme="minorHAnsi"/>
          <w:lang w:eastAsia="en-US"/>
        </w:rPr>
        <w:t xml:space="preserve"> jeb 43% no kopējā izlietotā finansējuma, ziņojumu par rīcībpolitikas ieteikumiem un rīcībpolitiku ietekmi veido indikatīvi 3,4 milj. </w:t>
      </w:r>
      <w:r w:rsidRPr="00307028">
        <w:rPr>
          <w:rFonts w:eastAsiaTheme="minorHAnsi"/>
          <w:i/>
          <w:iCs/>
          <w:lang w:eastAsia="en-US"/>
        </w:rPr>
        <w:t>euro</w:t>
      </w:r>
      <w:r w:rsidRPr="00307028">
        <w:rPr>
          <w:rFonts w:eastAsiaTheme="minorHAnsi"/>
          <w:lang w:eastAsia="en-US"/>
        </w:rPr>
        <w:t xml:space="preserve"> jeb 20% no kopējā izlietotā finansējuma, bet komercializējamu pētījumu rezultātu finansējums veido indikatīvi 3,0 milj. </w:t>
      </w:r>
      <w:r w:rsidRPr="00307028">
        <w:rPr>
          <w:rFonts w:eastAsiaTheme="minorHAnsi"/>
          <w:i/>
          <w:iCs/>
          <w:lang w:eastAsia="en-US"/>
        </w:rPr>
        <w:t>euro</w:t>
      </w:r>
      <w:r w:rsidRPr="00307028">
        <w:rPr>
          <w:rFonts w:eastAsiaTheme="minorHAnsi"/>
          <w:lang w:eastAsia="en-US"/>
        </w:rPr>
        <w:t xml:space="preserve"> jeb 18% no kopējā izlietotā finansējuma (Attēls Nr. 3.2.2.4.).</w:t>
      </w:r>
    </w:p>
    <w:p w14:paraId="551E7024" w14:textId="77777777" w:rsidR="0080220D" w:rsidRPr="00307028" w:rsidRDefault="0080220D" w:rsidP="0080220D">
      <w:pPr>
        <w:spacing w:after="120" w:line="259" w:lineRule="auto"/>
        <w:ind w:firstLine="720"/>
        <w:jc w:val="both"/>
        <w:rPr>
          <w:rFonts w:eastAsiaTheme="minorHAnsi"/>
          <w:lang w:eastAsia="en-US"/>
        </w:rPr>
      </w:pPr>
      <w:r w:rsidRPr="00307028">
        <w:rPr>
          <w:rFonts w:eastAsiaTheme="minorHAnsi"/>
          <w:lang w:eastAsia="en-US"/>
        </w:rPr>
        <w:t xml:space="preserve">Jāuzsver, ka VPP “Latvijas mantojums un nākotnes izaicinājumi valsts ilgtspējai”, “Covid-19 seku mazināšanai”, “Latviešu valoda” un “Augstas enerģijas fizika un paātrinātāju </w:t>
      </w:r>
      <w:r w:rsidRPr="00307028">
        <w:rPr>
          <w:rFonts w:eastAsiaTheme="minorHAnsi"/>
          <w:lang w:eastAsia="en-US"/>
        </w:rPr>
        <w:lastRenderedPageBreak/>
        <w:t>tehnoloģijas” daļa no plānotajiem rezultātiem vēl ir progresā (iesniegti) un attiecīgi nav iekļauti Attēlā Nr. 3.2.2.4. Tomēr progresā (iesniegti) galvenokārt ir citi projektu rezultāti (235), oriģināli zinātniskie raksti (120), ziņojumi par rīcībpolitikas ieteikumiem un rīcībpolitiku ietekmi (55) un sekmīgi nokārtots maģistra valsts pārbaudījums vai noteiktā kārtībā aizstāvēts promocijas darbs (47), bet komercializējami pētījumu rezultāti progresā ir tikai četri – trīs tehnoloģiju tiesības un viens intelektuālā īpašuma licences līgums.</w:t>
      </w:r>
    </w:p>
    <w:p w14:paraId="111026BC" w14:textId="40672C4B" w:rsidR="0080220D" w:rsidRPr="00307028" w:rsidRDefault="0080220D" w:rsidP="00C55533">
      <w:pPr>
        <w:spacing w:after="120" w:line="259" w:lineRule="auto"/>
        <w:ind w:firstLine="720"/>
        <w:jc w:val="both"/>
        <w:rPr>
          <w:rFonts w:eastAsiaTheme="minorHAnsi"/>
          <w:sz w:val="22"/>
          <w:szCs w:val="22"/>
          <w:lang w:eastAsia="en-US"/>
        </w:rPr>
      </w:pPr>
      <w:r w:rsidRPr="00307028">
        <w:rPr>
          <w:rFonts w:eastAsiaTheme="minorHAnsi"/>
          <w:lang w:eastAsia="en-US"/>
        </w:rPr>
        <w:t>VPP īstenošanas noslēguma ziņojumos minēts, ka pēc projektu noslēguma LZP veiks projektu pēcuzraudzību, sekojot līdzi, vai projektu īstenošanas rezultātā iesniegtās monogrāfijas un publikācijas tiek publicētas, kā arī, vai nodrošināta projekta rezultātu ilgtspēja.</w:t>
      </w:r>
    </w:p>
    <w:p w14:paraId="33AAC753" w14:textId="77777777" w:rsidR="0080220D" w:rsidRPr="00307028" w:rsidRDefault="0080220D" w:rsidP="0080220D">
      <w:pPr>
        <w:spacing w:after="160" w:line="259" w:lineRule="auto"/>
        <w:jc w:val="center"/>
        <w:rPr>
          <w:rFonts w:eastAsiaTheme="minorHAnsi"/>
          <w:sz w:val="22"/>
          <w:szCs w:val="22"/>
          <w:lang w:eastAsia="en-US"/>
        </w:rPr>
      </w:pPr>
      <w:r w:rsidRPr="00307028">
        <w:rPr>
          <w:rFonts w:asciiTheme="minorHAnsi" w:eastAsiaTheme="minorHAnsi" w:hAnsiTheme="minorHAnsi" w:cstheme="minorBidi"/>
          <w:noProof/>
          <w:sz w:val="22"/>
          <w:szCs w:val="22"/>
          <w:lang w:eastAsia="en-US"/>
        </w:rPr>
        <w:drawing>
          <wp:anchor distT="0" distB="0" distL="114300" distR="114300" simplePos="0" relativeHeight="251697152" behindDoc="0" locked="0" layoutInCell="1" allowOverlap="1" wp14:anchorId="3873EE70" wp14:editId="528F014C">
            <wp:simplePos x="0" y="0"/>
            <wp:positionH relativeFrom="column">
              <wp:posOffset>-635</wp:posOffset>
            </wp:positionH>
            <wp:positionV relativeFrom="paragraph">
              <wp:posOffset>445770</wp:posOffset>
            </wp:positionV>
            <wp:extent cx="5760085" cy="2983230"/>
            <wp:effectExtent l="0" t="0" r="0" b="7620"/>
            <wp:wrapThrough wrapText="bothSides">
              <wp:wrapPolygon edited="0">
                <wp:start x="0" y="0"/>
                <wp:lineTo x="0" y="21517"/>
                <wp:lineTo x="21502" y="21517"/>
                <wp:lineTo x="21502" y="0"/>
                <wp:lineTo x="0" y="0"/>
              </wp:wrapPolygon>
            </wp:wrapThrough>
            <wp:docPr id="519951234" name="Picture 1" descr="A graph and diagram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51234" name="Picture 1" descr="A graph and diagram with red and blue lines&#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085" cy="2983230"/>
                    </a:xfrm>
                    <a:prstGeom prst="rect">
                      <a:avLst/>
                    </a:prstGeom>
                  </pic:spPr>
                </pic:pic>
              </a:graphicData>
            </a:graphic>
            <wp14:sizeRelV relativeFrom="margin">
              <wp14:pctHeight>0</wp14:pctHeight>
            </wp14:sizeRelV>
          </wp:anchor>
        </w:drawing>
      </w:r>
      <w:r w:rsidRPr="00307028">
        <w:rPr>
          <w:rFonts w:eastAsiaTheme="minorHAnsi"/>
          <w:b/>
          <w:i/>
          <w:iCs/>
          <w:sz w:val="22"/>
          <w:szCs w:val="22"/>
          <w:lang w:eastAsia="en-US"/>
        </w:rPr>
        <w:t>3.2.2.4. attēls</w:t>
      </w:r>
      <w:r w:rsidRPr="00307028">
        <w:rPr>
          <w:rFonts w:eastAsiaTheme="minorHAnsi"/>
          <w:b/>
          <w:sz w:val="22"/>
          <w:szCs w:val="22"/>
          <w:lang w:eastAsia="en-US"/>
        </w:rPr>
        <w:t xml:space="preserve"> Kopējais sasniegto rezultātu skaits un tiem aprēķinātais indikatīvais izlietotais finansējums</w:t>
      </w:r>
      <w:r w:rsidRPr="00307028">
        <w:rPr>
          <w:rFonts w:eastAsiaTheme="minorHAnsi"/>
          <w:b/>
          <w:sz w:val="22"/>
          <w:szCs w:val="22"/>
          <w:vertAlign w:val="superscript"/>
          <w:lang w:eastAsia="en-US"/>
        </w:rPr>
        <w:footnoteReference w:id="80"/>
      </w:r>
    </w:p>
    <w:p w14:paraId="51A7380D" w14:textId="77777777" w:rsidR="0080220D" w:rsidRPr="00307028" w:rsidRDefault="0080220D" w:rsidP="00F55146">
      <w:pPr>
        <w:spacing w:before="120" w:after="120" w:line="259" w:lineRule="auto"/>
        <w:ind w:firstLine="720"/>
        <w:jc w:val="both"/>
        <w:rPr>
          <w:rFonts w:eastAsiaTheme="minorHAnsi"/>
          <w:lang w:eastAsia="en-US"/>
        </w:rPr>
      </w:pPr>
      <w:r w:rsidRPr="00307028">
        <w:rPr>
          <w:rFonts w:eastAsiaTheme="minorHAnsi"/>
          <w:lang w:eastAsia="en-US"/>
        </w:rPr>
        <w:t>Pieņemot, ka visi progresā esošie pētījumu rezultāti tiks sasniegti, secināts, ka citu pētniecības specifikai atbilstošu projekta rezultātu (tai skaitā datu) īpatsvars palielināsies, tie veidos 45% no kopējā rezultātu skaita, savukārt komercializējamo pētījumu rezultātu īpatsvars samazināsies līdz 1,3% no kopējā rezultātu skaita, bet palielināsies tiem aprēķinātais indikatīvais izlietotā finansējuma īpatsvars, sasniedzot 29% no kopējā izlietotā finansējuma.</w:t>
      </w:r>
    </w:p>
    <w:p w14:paraId="171E259D" w14:textId="71B7FEC7" w:rsidR="0080220D" w:rsidRPr="00307028" w:rsidRDefault="0080220D" w:rsidP="00F55146">
      <w:pPr>
        <w:spacing w:before="120" w:after="120" w:line="259" w:lineRule="auto"/>
        <w:ind w:firstLine="720"/>
        <w:jc w:val="both"/>
        <w:rPr>
          <w:rFonts w:eastAsiaTheme="minorHAnsi"/>
          <w:bCs/>
          <w:lang w:eastAsia="en-US"/>
        </w:rPr>
      </w:pPr>
      <w:r w:rsidRPr="00307028">
        <w:rPr>
          <w:rFonts w:eastAsiaTheme="minorHAnsi"/>
          <w:lang w:eastAsia="en-US"/>
        </w:rPr>
        <w:t>Lai rezultātus analizētu vēl detalizētāk</w:t>
      </w:r>
      <w:r w:rsidR="00F55146" w:rsidRPr="00307028">
        <w:rPr>
          <w:rFonts w:eastAsiaTheme="minorHAnsi"/>
          <w:lang w:eastAsia="en-US"/>
        </w:rPr>
        <w:t>,</w:t>
      </w:r>
      <w:r w:rsidRPr="00307028">
        <w:rPr>
          <w:rFonts w:eastAsiaTheme="minorHAnsi"/>
          <w:lang w:eastAsia="en-US"/>
        </w:rPr>
        <w:t xml:space="preserve"> tika aprēķināts, cik katrai no VPP izmaksājis </w:t>
      </w:r>
      <w:r w:rsidRPr="00307028">
        <w:rPr>
          <w:rFonts w:eastAsiaTheme="minorHAnsi"/>
          <w:u w:val="single"/>
          <w:lang w:eastAsia="en-US"/>
        </w:rPr>
        <w:t>viens sasniegtais</w:t>
      </w:r>
      <w:r w:rsidRPr="00307028">
        <w:rPr>
          <w:rFonts w:eastAsiaTheme="minorHAnsi"/>
          <w:lang w:eastAsia="en-US"/>
        </w:rPr>
        <w:t xml:space="preserve"> MK noteikumu Nr.560 12. punktā minētais rezultāts. Kā jau iepriekš minēts tr</w:t>
      </w:r>
      <w:r w:rsidR="00F55146" w:rsidRPr="00307028">
        <w:rPr>
          <w:rFonts w:eastAsiaTheme="minorHAnsi"/>
          <w:lang w:eastAsia="en-US"/>
        </w:rPr>
        <w:t>īs</w:t>
      </w:r>
      <w:r w:rsidRPr="00307028">
        <w:rPr>
          <w:rFonts w:eastAsiaTheme="minorHAnsi"/>
          <w:lang w:eastAsia="en-US"/>
        </w:rPr>
        <w:t xml:space="preserve"> VPP daļa no plānotajiem rezultātiem vēl ir progresā (iesniegti) un attiecīgi šobrīd sasniegto rezultātu izmaksas veidojas lielākas</w:t>
      </w:r>
      <w:r w:rsidR="00353DB3" w:rsidRPr="00307028">
        <w:rPr>
          <w:rFonts w:eastAsiaTheme="minorHAnsi"/>
          <w:lang w:eastAsia="en-US"/>
        </w:rPr>
        <w:t>.</w:t>
      </w:r>
      <w:r w:rsidRPr="00307028">
        <w:rPr>
          <w:rFonts w:eastAsiaTheme="minorHAnsi"/>
          <w:lang w:eastAsia="en-US"/>
        </w:rPr>
        <w:t xml:space="preserve"> </w:t>
      </w:r>
      <w:r w:rsidR="00353DB3" w:rsidRPr="00307028">
        <w:rPr>
          <w:rFonts w:eastAsiaTheme="minorHAnsi"/>
          <w:lang w:eastAsia="en-US"/>
        </w:rPr>
        <w:t>T</w:t>
      </w:r>
      <w:r w:rsidRPr="00307028">
        <w:rPr>
          <w:rFonts w:eastAsiaTheme="minorHAnsi"/>
          <w:lang w:eastAsia="en-US"/>
        </w:rPr>
        <w:t xml:space="preserve">āpat arī starp VPP piešķirtie koeficienti ir atšķirīgi, ņemot vērā plānoto rezultātu skaitu. Attēlā Nr. 3.2.2.5. apkopotas </w:t>
      </w:r>
      <w:r w:rsidRPr="00307028">
        <w:rPr>
          <w:rFonts w:eastAsiaTheme="minorHAnsi"/>
          <w:bCs/>
          <w:lang w:eastAsia="en-US"/>
        </w:rPr>
        <w:t xml:space="preserve">viena sasniegtā rezultāta aprēķinātās indikatīvās zemākās un augstākās izmaksas. </w:t>
      </w:r>
    </w:p>
    <w:p w14:paraId="6730D553" w14:textId="511B0E84" w:rsidR="0080220D" w:rsidRPr="00307028" w:rsidRDefault="0080220D" w:rsidP="00C55533">
      <w:pPr>
        <w:spacing w:before="120" w:after="120" w:line="259" w:lineRule="auto"/>
        <w:ind w:firstLine="720"/>
        <w:jc w:val="both"/>
        <w:rPr>
          <w:rFonts w:eastAsiaTheme="minorHAnsi"/>
          <w:lang w:eastAsia="en-US"/>
        </w:rPr>
      </w:pPr>
      <w:r w:rsidRPr="00307028">
        <w:rPr>
          <w:rFonts w:eastAsiaTheme="minorHAnsi"/>
          <w:bCs/>
          <w:lang w:eastAsia="en-US"/>
        </w:rPr>
        <w:t>Kopumā viszemākās izmaksas ir citiem pētniecības specifikai atbilstošiem projekta rezultātiem, VPP “Latvijas mantojums un nākotnes izaicinājumi valsts ilgtspējai”, 841 </w:t>
      </w:r>
      <w:r w:rsidRPr="00307028">
        <w:rPr>
          <w:rFonts w:eastAsiaTheme="minorHAnsi"/>
          <w:bCs/>
          <w:i/>
          <w:iCs/>
          <w:lang w:eastAsia="en-US"/>
        </w:rPr>
        <w:t>euro</w:t>
      </w:r>
      <w:r w:rsidRPr="00307028">
        <w:rPr>
          <w:rFonts w:eastAsiaTheme="minorHAnsi"/>
          <w:bCs/>
          <w:lang w:eastAsia="en-US"/>
        </w:rPr>
        <w:t xml:space="preserve"> apmērā, bet augstākās – intelektuālā īpašuma licences līgumiem, VPP “Enerģētika”, 926,1 tūkst. </w:t>
      </w:r>
      <w:r w:rsidRPr="00307028">
        <w:rPr>
          <w:rFonts w:eastAsiaTheme="minorHAnsi"/>
          <w:bCs/>
          <w:i/>
          <w:iCs/>
          <w:lang w:eastAsia="en-US"/>
        </w:rPr>
        <w:t>euro</w:t>
      </w:r>
      <w:r w:rsidRPr="00307028">
        <w:rPr>
          <w:rFonts w:eastAsiaTheme="minorHAnsi"/>
          <w:bCs/>
          <w:lang w:eastAsia="en-US"/>
        </w:rPr>
        <w:t xml:space="preserve"> apmērā. V</w:t>
      </w:r>
      <w:r w:rsidRPr="00307028">
        <w:rPr>
          <w:rFonts w:eastAsiaTheme="minorHAnsi"/>
          <w:lang w:eastAsia="en-US"/>
        </w:rPr>
        <w:t xml:space="preserve">islielākā izmaksu starpība starp sasniegtajiem rezultātiem ir sekmīgi nokārtotam maģistra valsts (gala) pārbaudījumam un noteiktā kārtībā aizstāvētam promocijas darbam, kur zemākās izmaksas ir VPP “Enerģētika” 5,3 tūkst. </w:t>
      </w:r>
      <w:r w:rsidRPr="00307028">
        <w:rPr>
          <w:rFonts w:eastAsiaTheme="minorHAnsi"/>
          <w:i/>
          <w:iCs/>
          <w:lang w:eastAsia="en-US"/>
        </w:rPr>
        <w:t>euro</w:t>
      </w:r>
      <w:r w:rsidRPr="00307028">
        <w:rPr>
          <w:rFonts w:eastAsiaTheme="minorHAnsi"/>
          <w:lang w:eastAsia="en-US"/>
        </w:rPr>
        <w:t xml:space="preserve"> apmērā, bet augstākās – VPP “Covid-19 seku mazināšanai” 727,3 tūkst. </w:t>
      </w:r>
      <w:r w:rsidRPr="00307028">
        <w:rPr>
          <w:rFonts w:eastAsiaTheme="minorHAnsi"/>
          <w:i/>
          <w:iCs/>
          <w:lang w:eastAsia="en-US"/>
        </w:rPr>
        <w:t>euro</w:t>
      </w:r>
      <w:r w:rsidRPr="00307028">
        <w:rPr>
          <w:rFonts w:eastAsiaTheme="minorHAnsi"/>
          <w:lang w:eastAsia="en-US"/>
        </w:rPr>
        <w:t xml:space="preserve"> apmērā. VPP “Enerģētika” </w:t>
      </w:r>
      <w:r w:rsidRPr="00307028">
        <w:rPr>
          <w:rFonts w:eastAsiaTheme="minorHAnsi"/>
          <w:lang w:eastAsia="en-US"/>
        </w:rPr>
        <w:lastRenderedPageBreak/>
        <w:t>tika plānoti 59, bet sasniegti 78 sekmīgi nokārtoti maģistra valsts (gala) pārbaudījumi un noteiktā kārtībā aizstāvēti promocijas darbi, kamēr VPP “Covid-19 seku mazināšanai” tika plānoti septiņi sekmīgi nokārtoti maģistra valsts (gala) pārbaudījumi un noteiktā kārtībā aizstāvēti promocijas darbi, bet šobrīd sasniegts tikai viens (13 ir progresā).</w:t>
      </w:r>
    </w:p>
    <w:p w14:paraId="34DBA0E6" w14:textId="57076B7B" w:rsidR="0080220D" w:rsidRPr="00307028" w:rsidRDefault="0080220D" w:rsidP="00F55146">
      <w:pPr>
        <w:spacing w:after="160" w:line="259" w:lineRule="auto"/>
        <w:jc w:val="center"/>
        <w:rPr>
          <w:rFonts w:eastAsiaTheme="minorHAnsi"/>
          <w:sz w:val="22"/>
          <w:szCs w:val="22"/>
          <w:lang w:eastAsia="en-US"/>
        </w:rPr>
      </w:pPr>
      <w:r w:rsidRPr="00307028">
        <w:rPr>
          <w:rFonts w:asciiTheme="minorHAnsi" w:eastAsiaTheme="minorHAnsi" w:hAnsiTheme="minorHAnsi" w:cstheme="minorBidi"/>
          <w:noProof/>
          <w:sz w:val="22"/>
          <w:szCs w:val="22"/>
          <w:lang w:eastAsia="en-US"/>
        </w:rPr>
        <w:drawing>
          <wp:anchor distT="0" distB="0" distL="114300" distR="114300" simplePos="0" relativeHeight="251699200" behindDoc="0" locked="0" layoutInCell="1" allowOverlap="1" wp14:anchorId="5331ACCE" wp14:editId="4212DF0C">
            <wp:simplePos x="0" y="0"/>
            <wp:positionH relativeFrom="column">
              <wp:posOffset>-45085</wp:posOffset>
            </wp:positionH>
            <wp:positionV relativeFrom="paragraph">
              <wp:posOffset>236220</wp:posOffset>
            </wp:positionV>
            <wp:extent cx="5760085" cy="3111500"/>
            <wp:effectExtent l="0" t="0" r="0" b="0"/>
            <wp:wrapThrough wrapText="bothSides">
              <wp:wrapPolygon edited="0">
                <wp:start x="0" y="0"/>
                <wp:lineTo x="0" y="21424"/>
                <wp:lineTo x="21502" y="21424"/>
                <wp:lineTo x="21502" y="0"/>
                <wp:lineTo x="0" y="0"/>
              </wp:wrapPolygon>
            </wp:wrapThrough>
            <wp:docPr id="171653191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31916" name="Picture 1" descr="A graph with numbers and lines&#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60085" cy="3111500"/>
                    </a:xfrm>
                    <a:prstGeom prst="rect">
                      <a:avLst/>
                    </a:prstGeom>
                  </pic:spPr>
                </pic:pic>
              </a:graphicData>
            </a:graphic>
            <wp14:sizeRelV relativeFrom="margin">
              <wp14:pctHeight>0</wp14:pctHeight>
            </wp14:sizeRelV>
          </wp:anchor>
        </w:drawing>
      </w:r>
      <w:r w:rsidRPr="00307028">
        <w:rPr>
          <w:rFonts w:eastAsiaTheme="minorHAnsi"/>
          <w:b/>
          <w:i/>
          <w:iCs/>
          <w:sz w:val="22"/>
          <w:szCs w:val="22"/>
          <w:lang w:eastAsia="en-US"/>
        </w:rPr>
        <w:t>3.2.2.5. attēls</w:t>
      </w:r>
      <w:r w:rsidRPr="00307028">
        <w:rPr>
          <w:rFonts w:eastAsiaTheme="minorHAnsi"/>
          <w:b/>
          <w:sz w:val="22"/>
          <w:szCs w:val="22"/>
          <w:lang w:eastAsia="en-US"/>
        </w:rPr>
        <w:t xml:space="preserve"> Viena sasniegtā rezultāta aprēķinātās indikatīvās zemākās un augstākās izmaksas</w:t>
      </w:r>
      <w:r w:rsidRPr="00307028">
        <w:rPr>
          <w:rFonts w:eastAsiaTheme="minorHAnsi"/>
          <w:b/>
          <w:sz w:val="22"/>
          <w:szCs w:val="22"/>
          <w:vertAlign w:val="superscript"/>
          <w:lang w:eastAsia="en-US"/>
        </w:rPr>
        <w:footnoteReference w:id="81"/>
      </w:r>
    </w:p>
    <w:p w14:paraId="39A1F9D0" w14:textId="2927FAC3" w:rsidR="0080220D" w:rsidRPr="00307028" w:rsidRDefault="0080220D" w:rsidP="00F55146">
      <w:pPr>
        <w:spacing w:after="120" w:line="259" w:lineRule="auto"/>
        <w:ind w:firstLine="720"/>
        <w:jc w:val="both"/>
        <w:rPr>
          <w:rFonts w:asciiTheme="minorHAnsi" w:eastAsiaTheme="minorHAnsi" w:hAnsiTheme="minorHAnsi" w:cstheme="minorBidi"/>
          <w:sz w:val="22"/>
          <w:szCs w:val="22"/>
          <w:lang w:eastAsia="en-US"/>
        </w:rPr>
      </w:pPr>
      <w:r w:rsidRPr="00307028">
        <w:rPr>
          <w:rFonts w:eastAsiaTheme="minorHAnsi"/>
          <w:lang w:eastAsia="en-US"/>
        </w:rPr>
        <w:t xml:space="preserve">Zemāko un augstāko izmaksu analīzē iekļauts un apskatīts pieņēmums, </w:t>
      </w:r>
      <w:r w:rsidR="00353DB3" w:rsidRPr="00307028">
        <w:rPr>
          <w:rFonts w:eastAsiaTheme="minorHAnsi"/>
          <w:lang w:eastAsia="en-US"/>
        </w:rPr>
        <w:t>k</w:t>
      </w:r>
      <w:r w:rsidRPr="00307028">
        <w:rPr>
          <w:rFonts w:eastAsiaTheme="minorHAnsi"/>
          <w:lang w:eastAsia="en-US"/>
        </w:rPr>
        <w:t xml:space="preserve">a visi progresā esošie pētījumu rezultāti tiks sasniegti. Attiecīgi secināts, ka indikatīvi </w:t>
      </w:r>
      <w:r w:rsidRPr="00307028">
        <w:rPr>
          <w:rFonts w:eastAsiaTheme="minorHAnsi"/>
          <w:bCs/>
          <w:lang w:eastAsia="en-US"/>
        </w:rPr>
        <w:t xml:space="preserve">viszemākās izmaksas saglabāsies citiem pētniecības specifikai atbilstošiem projekta rezultātiem, </w:t>
      </w:r>
      <w:r w:rsidRPr="00307028">
        <w:rPr>
          <w:rFonts w:eastAsiaTheme="minorHAnsi"/>
          <w:lang w:eastAsia="en-US"/>
        </w:rPr>
        <w:t xml:space="preserve">VPP “Latvijas mantojums un nākotnes izaicinājumi valsts ilgtspējai”, 668 </w:t>
      </w:r>
      <w:r w:rsidRPr="00307028">
        <w:rPr>
          <w:rFonts w:eastAsiaTheme="minorHAnsi"/>
          <w:i/>
          <w:iCs/>
          <w:lang w:eastAsia="en-US"/>
        </w:rPr>
        <w:t>euro</w:t>
      </w:r>
      <w:r w:rsidRPr="00307028">
        <w:rPr>
          <w:rFonts w:eastAsiaTheme="minorHAnsi"/>
          <w:lang w:eastAsia="en-US"/>
        </w:rPr>
        <w:t xml:space="preserve"> apmērā, </w:t>
      </w:r>
      <w:r w:rsidRPr="00307028">
        <w:rPr>
          <w:rFonts w:eastAsiaTheme="minorHAnsi"/>
          <w:bCs/>
          <w:lang w:eastAsia="en-US"/>
        </w:rPr>
        <w:t xml:space="preserve">un augstākās </w:t>
      </w:r>
      <w:r w:rsidRPr="00307028">
        <w:rPr>
          <w:rFonts w:eastAsiaTheme="minorHAnsi"/>
          <w:lang w:eastAsia="en-US"/>
        </w:rPr>
        <w:t>–</w:t>
      </w:r>
      <w:r w:rsidRPr="00307028">
        <w:rPr>
          <w:rFonts w:eastAsiaTheme="minorHAnsi"/>
          <w:bCs/>
          <w:lang w:eastAsia="en-US"/>
        </w:rPr>
        <w:t xml:space="preserve"> intelektuālā īpašuma licences līgumiem, </w:t>
      </w:r>
      <w:r w:rsidRPr="00307028">
        <w:rPr>
          <w:rFonts w:eastAsiaTheme="minorHAnsi"/>
          <w:lang w:eastAsia="en-US"/>
        </w:rPr>
        <w:t>VPP “Covid-19 seku mazināšanai”, 969,7 tūkst. </w:t>
      </w:r>
      <w:r w:rsidRPr="00307028">
        <w:rPr>
          <w:rFonts w:eastAsiaTheme="minorHAnsi"/>
          <w:i/>
          <w:iCs/>
          <w:lang w:eastAsia="en-US"/>
        </w:rPr>
        <w:t>euro</w:t>
      </w:r>
      <w:r w:rsidRPr="00307028">
        <w:rPr>
          <w:rFonts w:eastAsiaTheme="minorHAnsi"/>
          <w:lang w:eastAsia="en-US"/>
        </w:rPr>
        <w:t xml:space="preserve"> apmērā. Lielā starpība starp sasniegtajiem rezultātiem sekmīgi nokārtotam maģistra valsts (gala) pārbaudījumam un noteiktā kārtībā aizstāvētam promocijas darbam samazināsies, saglabājot zemākās izmaksas VPP “Enerģētika”, 5,3 tūkst. </w:t>
      </w:r>
      <w:r w:rsidRPr="00307028">
        <w:rPr>
          <w:rFonts w:eastAsiaTheme="minorHAnsi"/>
          <w:i/>
          <w:iCs/>
          <w:lang w:eastAsia="en-US"/>
        </w:rPr>
        <w:t>euro</w:t>
      </w:r>
      <w:r w:rsidRPr="00307028">
        <w:rPr>
          <w:rFonts w:eastAsiaTheme="minorHAnsi"/>
          <w:lang w:eastAsia="en-US"/>
        </w:rPr>
        <w:t xml:space="preserve"> apmērā, bet augstākās izmaksas būs VPP “Humanitāro zinātņu digitālie resursi”, 90,2 tūkst. </w:t>
      </w:r>
      <w:r w:rsidRPr="00307028">
        <w:rPr>
          <w:rFonts w:eastAsiaTheme="minorHAnsi"/>
          <w:i/>
          <w:iCs/>
          <w:lang w:eastAsia="en-US"/>
        </w:rPr>
        <w:t>euro</w:t>
      </w:r>
      <w:r w:rsidRPr="00307028">
        <w:rPr>
          <w:rFonts w:eastAsiaTheme="minorHAnsi"/>
          <w:lang w:eastAsia="en-US"/>
        </w:rPr>
        <w:t xml:space="preserve"> apmērā (Attēls Nr. 3.2.2.6).</w:t>
      </w:r>
    </w:p>
    <w:p w14:paraId="15F97C0E" w14:textId="09E86607" w:rsidR="0080220D" w:rsidRPr="00307028" w:rsidRDefault="0080220D" w:rsidP="0080220D">
      <w:pPr>
        <w:spacing w:line="259" w:lineRule="auto"/>
        <w:jc w:val="center"/>
        <w:rPr>
          <w:rFonts w:asciiTheme="minorHAnsi" w:eastAsiaTheme="minorHAnsi" w:hAnsiTheme="minorHAnsi" w:cstheme="minorBidi"/>
          <w:sz w:val="22"/>
          <w:szCs w:val="22"/>
          <w:lang w:eastAsia="en-US"/>
        </w:rPr>
      </w:pPr>
      <w:r w:rsidRPr="00307028">
        <w:rPr>
          <w:rFonts w:eastAsiaTheme="minorHAnsi"/>
          <w:noProof/>
          <w:lang w:eastAsia="en-US"/>
        </w:rPr>
        <w:lastRenderedPageBreak/>
        <w:drawing>
          <wp:anchor distT="0" distB="0" distL="114300" distR="114300" simplePos="0" relativeHeight="251698176" behindDoc="0" locked="0" layoutInCell="1" allowOverlap="1" wp14:anchorId="4AFE0F61" wp14:editId="3F9B2A53">
            <wp:simplePos x="0" y="0"/>
            <wp:positionH relativeFrom="column">
              <wp:posOffset>1270</wp:posOffset>
            </wp:positionH>
            <wp:positionV relativeFrom="paragraph">
              <wp:posOffset>457200</wp:posOffset>
            </wp:positionV>
            <wp:extent cx="5850988" cy="3668395"/>
            <wp:effectExtent l="0" t="0" r="0" b="8255"/>
            <wp:wrapThrough wrapText="bothSides">
              <wp:wrapPolygon edited="0">
                <wp:start x="0" y="0"/>
                <wp:lineTo x="0" y="21536"/>
                <wp:lineTo x="21520" y="21536"/>
                <wp:lineTo x="21520" y="0"/>
                <wp:lineTo x="0" y="0"/>
              </wp:wrapPolygon>
            </wp:wrapThrough>
            <wp:docPr id="603098988" name="Picture 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98988" name="Picture 3" descr="A graph with numbers and lines&#10;&#10;Description automatically generate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50988" cy="3668395"/>
                    </a:xfrm>
                    <a:prstGeom prst="rect">
                      <a:avLst/>
                    </a:prstGeom>
                    <a:noFill/>
                  </pic:spPr>
                </pic:pic>
              </a:graphicData>
            </a:graphic>
            <wp14:sizeRelH relativeFrom="margin">
              <wp14:pctWidth>0</wp14:pctWidth>
            </wp14:sizeRelH>
            <wp14:sizeRelV relativeFrom="margin">
              <wp14:pctHeight>0</wp14:pctHeight>
            </wp14:sizeRelV>
          </wp:anchor>
        </w:drawing>
      </w:r>
      <w:r w:rsidRPr="00307028">
        <w:rPr>
          <w:rFonts w:eastAsiaTheme="minorHAnsi"/>
          <w:b/>
          <w:i/>
          <w:iCs/>
          <w:sz w:val="22"/>
          <w:szCs w:val="22"/>
          <w:lang w:eastAsia="en-US"/>
        </w:rPr>
        <w:t>3.2.2.6. attēls</w:t>
      </w:r>
      <w:r w:rsidRPr="00307028">
        <w:rPr>
          <w:rFonts w:eastAsiaTheme="minorHAnsi"/>
          <w:b/>
          <w:sz w:val="22"/>
          <w:szCs w:val="22"/>
          <w:lang w:eastAsia="en-US"/>
        </w:rPr>
        <w:t xml:space="preserve"> Viena sasniegtā rezultāta aprēķinātās indikatīvās zemākās un augstākās izmaksas, pieņemot, ka visi progresā esošie rezultāti tiks sasniegti</w:t>
      </w:r>
      <w:r w:rsidRPr="00307028">
        <w:rPr>
          <w:rFonts w:eastAsiaTheme="minorHAnsi"/>
          <w:b/>
          <w:sz w:val="22"/>
          <w:szCs w:val="22"/>
          <w:vertAlign w:val="superscript"/>
          <w:lang w:eastAsia="en-US"/>
        </w:rPr>
        <w:footnoteReference w:id="82"/>
      </w:r>
    </w:p>
    <w:p w14:paraId="15F9CC58" w14:textId="77777777" w:rsidR="0080220D" w:rsidRPr="00307028" w:rsidRDefault="0080220D" w:rsidP="0080220D">
      <w:pPr>
        <w:spacing w:after="120" w:line="259" w:lineRule="auto"/>
        <w:ind w:firstLine="720"/>
        <w:jc w:val="both"/>
        <w:rPr>
          <w:rFonts w:eastAsiaTheme="minorHAnsi"/>
          <w:lang w:eastAsia="en-US"/>
        </w:rPr>
      </w:pPr>
      <w:r w:rsidRPr="00307028">
        <w:rPr>
          <w:rFonts w:eastAsiaTheme="minorHAnsi"/>
          <w:lang w:eastAsia="en-US"/>
        </w:rPr>
        <w:t>Secināts, ka VPP “Enerģētika” un “Augstas enerģijas fizika un paātrinātāju tehnoloģijas” ir sasniegušas un pat pārsniegušas atsevišķus plānotos rezultātus. Uz VPP noslēguma brīdi VPP “Latvijas mantojums un nākotnes izaicinājumi valsts ilgtspējai” un “Covid-19 seku mazināšanai” vairāki no plānotajiem rezultātiem nav sasniegti, taču, pieņemot, ka visi progresā esošie rezultāti tiks sasniegti, arī šīm VPP rezultāti tiks sasniegti un pat pārsniegti.</w:t>
      </w:r>
    </w:p>
    <w:p w14:paraId="6E5F6943" w14:textId="53D7A903" w:rsidR="00696F33" w:rsidRPr="00307028" w:rsidRDefault="00696F33" w:rsidP="00696F33">
      <w:pPr>
        <w:spacing w:after="120" w:line="259" w:lineRule="auto"/>
        <w:ind w:firstLine="720"/>
        <w:jc w:val="both"/>
        <w:rPr>
          <w:rFonts w:eastAsiaTheme="minorHAnsi"/>
          <w:sz w:val="22"/>
          <w:szCs w:val="22"/>
          <w:lang w:eastAsia="en-US"/>
        </w:rPr>
      </w:pPr>
      <w:r w:rsidRPr="00307028">
        <w:rPr>
          <w:noProof/>
          <w:lang w:eastAsia="en-US"/>
        </w:rPr>
        <mc:AlternateContent>
          <mc:Choice Requires="wps">
            <w:drawing>
              <wp:anchor distT="0" distB="0" distL="114300" distR="114300" simplePos="0" relativeHeight="251701248" behindDoc="0" locked="0" layoutInCell="1" allowOverlap="1" wp14:anchorId="6B2523B4" wp14:editId="4DC32E65">
                <wp:simplePos x="0" y="0"/>
                <wp:positionH relativeFrom="margin">
                  <wp:align>right</wp:align>
                </wp:positionH>
                <wp:positionV relativeFrom="paragraph">
                  <wp:posOffset>1200150</wp:posOffset>
                </wp:positionV>
                <wp:extent cx="5762625" cy="314325"/>
                <wp:effectExtent l="0" t="0" r="9525" b="9525"/>
                <wp:wrapTopAndBottom/>
                <wp:docPr id="1902574888" name="Rectangle 1902574888"/>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2B371EB6" w14:textId="14BBDEB5" w:rsidR="00696F33" w:rsidRPr="00307028" w:rsidRDefault="00696F33" w:rsidP="0016333F">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523B4" id="Rectangle 1902574888" o:spid="_x0000_s1042" style="position:absolute;left:0;text-align:left;margin-left:402.55pt;margin-top:94.5pt;width:453.75pt;height:24.7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" fillcolor="#85c2e0" stroked="f" strokeweight="2pt">
                <v:textbox>
                  <w:txbxContent>
                    <w:p w14:paraId="2B371EB6" w14:textId="14BBDEB5" w:rsidR="00696F33" w:rsidRPr="00307028" w:rsidRDefault="00696F33" w:rsidP="0016333F">
                      <w:pPr>
                        <w:rPr>
                          <w:b/>
                          <w:bCs/>
                          <w:color w:val="000000" w:themeColor="text1"/>
                        </w:rPr>
                      </w:pPr>
                      <w:r w:rsidRPr="00307028">
                        <w:rPr>
                          <w:b/>
                          <w:bCs/>
                        </w:rPr>
                        <w:t>SECINĀJUMI:</w:t>
                      </w:r>
                    </w:p>
                  </w:txbxContent>
                </v:textbox>
                <w10:wrap type="topAndBottom" anchorx="margin"/>
              </v:rect>
            </w:pict>
          </mc:Fallback>
        </mc:AlternateContent>
      </w:r>
      <w:r w:rsidR="0080220D" w:rsidRPr="00307028">
        <w:rPr>
          <w:rFonts w:eastAsiaTheme="minorHAnsi"/>
          <w:lang w:eastAsia="en-US"/>
        </w:rPr>
        <w:t xml:space="preserve">VPP “Latviešu valoda” nav (netiks) sasniegti visvairāk rezultātu </w:t>
      </w:r>
      <w:r w:rsidR="0080220D" w:rsidRPr="00307028">
        <w:rPr>
          <w:rFonts w:eastAsiaTheme="minorHAnsi"/>
          <w:bCs/>
          <w:lang w:eastAsia="en-US"/>
        </w:rPr>
        <w:t>–</w:t>
      </w:r>
      <w:r w:rsidR="0080220D" w:rsidRPr="00307028">
        <w:rPr>
          <w:rFonts w:eastAsiaTheme="minorHAnsi"/>
          <w:lang w:eastAsia="en-US"/>
        </w:rPr>
        <w:t xml:space="preserve"> trīs ziņojumi par rīcībpolitikas ieteikumiem un rīcībpolitiku ietekmi, pieci sekmīgi nokārtoti maģistra valsts (gala) pārbaudījumi un noteiktā kārtībā aizstāvēti promocijas darbi, 11 citi pētniecības specifikai atbilstoši projekta rezultāti. VPP “Humanitāro zinātņu digitālie resursi” nav sasniegts viens rezultāts </w:t>
      </w:r>
      <w:r w:rsidR="0080220D" w:rsidRPr="00307028">
        <w:rPr>
          <w:rFonts w:eastAsiaTheme="minorHAnsi"/>
          <w:bCs/>
          <w:lang w:eastAsia="en-US"/>
        </w:rPr>
        <w:t>–</w:t>
      </w:r>
      <w:r w:rsidR="0080220D" w:rsidRPr="00307028">
        <w:rPr>
          <w:rFonts w:eastAsiaTheme="minorHAnsi"/>
          <w:lang w:eastAsia="en-US"/>
        </w:rPr>
        <w:t xml:space="preserve"> sekmīgi nokārtots maģistra valsts (gala) pārbaudījums un noteiktā kārtībā aizstāvēts promocijas darbs.</w:t>
      </w:r>
      <w:bookmarkStart w:id="159" w:name="_Hlk139969155"/>
    </w:p>
    <w:p w14:paraId="7D01AA4C" w14:textId="7ACE52D6" w:rsidR="0080220D" w:rsidRPr="00307028" w:rsidRDefault="0080220D" w:rsidP="00BE4409">
      <w:pPr>
        <w:numPr>
          <w:ilvl w:val="0"/>
          <w:numId w:val="4"/>
        </w:numPr>
        <w:spacing w:after="120" w:line="259" w:lineRule="auto"/>
        <w:ind w:hanging="436"/>
        <w:jc w:val="both"/>
        <w:rPr>
          <w:rFonts w:asciiTheme="minorHAnsi" w:eastAsiaTheme="minorHAnsi" w:hAnsiTheme="minorHAnsi" w:cstheme="minorBidi"/>
          <w:sz w:val="22"/>
          <w:szCs w:val="22"/>
          <w:lang w:eastAsia="en-US"/>
        </w:rPr>
      </w:pPr>
      <w:bookmarkStart w:id="160" w:name="_Hlk141263870"/>
      <w:r w:rsidRPr="00307028">
        <w:rPr>
          <w:rFonts w:eastAsiaTheme="minorHAnsi"/>
          <w:lang w:eastAsia="en-US"/>
        </w:rPr>
        <w:t>Kopējais īstenoto VPP piešķirtais finansējums ir 19,1 milj. </w:t>
      </w:r>
      <w:r w:rsidRPr="00307028">
        <w:rPr>
          <w:rFonts w:eastAsiaTheme="minorHAnsi"/>
          <w:i/>
          <w:iCs/>
          <w:lang w:eastAsia="en-US"/>
        </w:rPr>
        <w:t>euro</w:t>
      </w:r>
      <w:r w:rsidRPr="00307028">
        <w:rPr>
          <w:rFonts w:eastAsiaTheme="minorHAnsi"/>
          <w:lang w:eastAsia="en-US"/>
        </w:rPr>
        <w:t xml:space="preserve">, </w:t>
      </w:r>
      <w:r w:rsidR="00353DB3" w:rsidRPr="00307028">
        <w:rPr>
          <w:rFonts w:eastAsiaTheme="minorHAnsi"/>
          <w:lang w:eastAsia="en-US"/>
        </w:rPr>
        <w:t xml:space="preserve">bet </w:t>
      </w:r>
      <w:r w:rsidRPr="00307028">
        <w:rPr>
          <w:rFonts w:eastAsiaTheme="minorHAnsi"/>
          <w:lang w:eastAsia="en-US"/>
        </w:rPr>
        <w:t>kopējais izlietotais finansējums ir 18,4 milj.</w:t>
      </w:r>
      <w:r w:rsidRPr="00307028">
        <w:rPr>
          <w:rFonts w:asciiTheme="minorHAnsi" w:eastAsiaTheme="minorHAnsi" w:hAnsiTheme="minorHAnsi" w:cstheme="minorBidi"/>
          <w:sz w:val="22"/>
          <w:szCs w:val="22"/>
          <w:lang w:eastAsia="en-US"/>
        </w:rPr>
        <w:t> </w:t>
      </w:r>
      <w:r w:rsidRPr="00307028">
        <w:rPr>
          <w:rFonts w:eastAsiaTheme="minorHAnsi"/>
          <w:i/>
          <w:iCs/>
          <w:lang w:eastAsia="en-US"/>
        </w:rPr>
        <w:t>euro</w:t>
      </w:r>
      <w:r w:rsidRPr="00307028">
        <w:rPr>
          <w:rFonts w:eastAsiaTheme="minorHAnsi"/>
          <w:lang w:eastAsia="en-US"/>
        </w:rPr>
        <w:t>, attiecīgi veidojot atlikumu 0,7 milj. </w:t>
      </w:r>
      <w:r w:rsidRPr="00307028">
        <w:rPr>
          <w:rFonts w:eastAsiaTheme="minorHAnsi"/>
          <w:i/>
          <w:iCs/>
          <w:lang w:eastAsia="en-US"/>
        </w:rPr>
        <w:t xml:space="preserve">euro </w:t>
      </w:r>
      <w:r w:rsidRPr="00307028">
        <w:rPr>
          <w:rFonts w:eastAsiaTheme="minorHAnsi"/>
          <w:lang w:eastAsia="en-US"/>
        </w:rPr>
        <w:t>apmērā. Vairumā VPP noslēguma ziņojumu LZP norāda, ka ir lūgusi neizlietoto finansējumu ieskaitīt valsts budžetā. LZP būtu jāizstrādā tiesību akts, kurā būtu noteikta finanšu līdzekļu atmaksas valsts budžetā kārtība.</w:t>
      </w:r>
    </w:p>
    <w:p w14:paraId="43EF2FB4" w14:textId="0548B08B" w:rsidR="0080220D" w:rsidRPr="00307028" w:rsidRDefault="0080220D" w:rsidP="00BE4409">
      <w:pPr>
        <w:numPr>
          <w:ilvl w:val="0"/>
          <w:numId w:val="4"/>
        </w:numPr>
        <w:spacing w:after="120" w:line="259" w:lineRule="auto"/>
        <w:ind w:hanging="436"/>
        <w:jc w:val="both"/>
        <w:rPr>
          <w:rFonts w:eastAsiaTheme="minorHAnsi"/>
          <w:lang w:eastAsia="en-US"/>
        </w:rPr>
      </w:pPr>
      <w:bookmarkStart w:id="161" w:name="_Hlk141264149"/>
      <w:bookmarkEnd w:id="159"/>
      <w:bookmarkEnd w:id="160"/>
      <w:r w:rsidRPr="00307028">
        <w:rPr>
          <w:rFonts w:eastAsiaTheme="minorHAnsi"/>
          <w:lang w:eastAsia="en-US"/>
        </w:rPr>
        <w:t xml:space="preserve">Tikai 1,5% no kopējā rezultātu skaita veido komercializējami pētījumu rezultāti – tehnoloģiju tiesības, intelektuālā īpašuma licences līgumi, jauna produkta vai jaunas tehnoloģijas prototips, bet jaunas ārstniecības un diagnostikas metodes nav vispār. Attiecīgi tikai neliela daļa no pētījumu rezultātiem kļūst par reāli praksē ieviešamiem </w:t>
      </w:r>
      <w:r w:rsidRPr="00307028">
        <w:rPr>
          <w:rFonts w:eastAsiaTheme="minorHAnsi"/>
          <w:lang w:eastAsia="en-US"/>
        </w:rPr>
        <w:lastRenderedPageBreak/>
        <w:t xml:space="preserve">pētījumiem, komercializējamiem produktiem un tehnoloģijām. </w:t>
      </w:r>
      <w:bookmarkEnd w:id="161"/>
      <w:r w:rsidRPr="00307028">
        <w:rPr>
          <w:rFonts w:eastAsiaTheme="minorHAnsi"/>
          <w:lang w:eastAsia="en-US"/>
        </w:rPr>
        <w:t xml:space="preserve">Nozaru ministrijām </w:t>
      </w:r>
      <w:r w:rsidR="00DF554F" w:rsidRPr="00307028">
        <w:rPr>
          <w:rFonts w:eastAsiaTheme="minorHAnsi"/>
          <w:lang w:eastAsia="en-US"/>
        </w:rPr>
        <w:t>ir jā</w:t>
      </w:r>
      <w:r w:rsidRPr="00307028">
        <w:rPr>
          <w:rFonts w:eastAsiaTheme="minorHAnsi"/>
          <w:lang w:eastAsia="en-US"/>
        </w:rPr>
        <w:t>turpin</w:t>
      </w:r>
      <w:r w:rsidR="00DF554F" w:rsidRPr="00307028">
        <w:rPr>
          <w:rFonts w:eastAsiaTheme="minorHAnsi"/>
          <w:lang w:eastAsia="en-US"/>
        </w:rPr>
        <w:t>a</w:t>
      </w:r>
      <w:r w:rsidRPr="00307028">
        <w:rPr>
          <w:rFonts w:eastAsiaTheme="minorHAnsi"/>
          <w:lang w:eastAsia="en-US"/>
        </w:rPr>
        <w:t xml:space="preserve"> uzsākt</w:t>
      </w:r>
      <w:r w:rsidR="00DF554F" w:rsidRPr="00307028">
        <w:rPr>
          <w:rFonts w:eastAsiaTheme="minorHAnsi"/>
          <w:lang w:eastAsia="en-US"/>
        </w:rPr>
        <w:t>ā</w:t>
      </w:r>
      <w:r w:rsidRPr="00307028">
        <w:rPr>
          <w:rFonts w:eastAsiaTheme="minorHAnsi"/>
          <w:lang w:eastAsia="en-US"/>
        </w:rPr>
        <w:t xml:space="preserve"> praks</w:t>
      </w:r>
      <w:r w:rsidR="00DF554F" w:rsidRPr="00307028">
        <w:rPr>
          <w:rFonts w:eastAsiaTheme="minorHAnsi"/>
          <w:lang w:eastAsia="en-US"/>
        </w:rPr>
        <w:t>e</w:t>
      </w:r>
      <w:r w:rsidRPr="00307028">
        <w:rPr>
          <w:rFonts w:eastAsiaTheme="minorHAnsi"/>
          <w:lang w:eastAsia="en-US"/>
        </w:rPr>
        <w:t xml:space="preserve"> VPP īstenošanā, veicinot zinātnes attīstību, </w:t>
      </w:r>
      <w:r w:rsidR="00DF554F" w:rsidRPr="00307028">
        <w:rPr>
          <w:rFonts w:eastAsiaTheme="minorHAnsi"/>
          <w:lang w:eastAsia="en-US"/>
        </w:rPr>
        <w:t xml:space="preserve">tomēr </w:t>
      </w:r>
      <w:r w:rsidRPr="00307028">
        <w:rPr>
          <w:rFonts w:eastAsiaTheme="minorHAnsi"/>
          <w:lang w:eastAsia="en-US"/>
        </w:rPr>
        <w:t>vairāk orientējoties uz</w:t>
      </w:r>
      <w:r w:rsidR="00DF554F" w:rsidRPr="00307028">
        <w:rPr>
          <w:rFonts w:eastAsiaTheme="minorHAnsi"/>
          <w:lang w:eastAsia="en-US"/>
        </w:rPr>
        <w:t xml:space="preserve"> </w:t>
      </w:r>
      <w:r w:rsidRPr="00307028">
        <w:rPr>
          <w:rFonts w:eastAsiaTheme="minorHAnsi"/>
          <w:lang w:eastAsia="en-US"/>
        </w:rPr>
        <w:t>komercializējamiem pētījumu rezultātiem. LZP izvērtēt VPP sasniedzamos rezultātus, nodrošinot pēc iespējas plašāku jauno zināšanu praktisko pielietojamību.</w:t>
      </w:r>
    </w:p>
    <w:p w14:paraId="4A05DD3D" w14:textId="2A531366" w:rsidR="0080220D" w:rsidRPr="00307028" w:rsidRDefault="0080220D" w:rsidP="00BE4409">
      <w:pPr>
        <w:numPr>
          <w:ilvl w:val="0"/>
          <w:numId w:val="4"/>
        </w:numPr>
        <w:spacing w:after="120" w:line="259" w:lineRule="auto"/>
        <w:ind w:hanging="436"/>
        <w:jc w:val="both"/>
        <w:rPr>
          <w:rFonts w:asciiTheme="minorHAnsi" w:eastAsiaTheme="minorHAnsi" w:hAnsiTheme="minorHAnsi" w:cstheme="minorBidi"/>
          <w:sz w:val="22"/>
          <w:szCs w:val="22"/>
          <w:lang w:eastAsia="en-US"/>
        </w:rPr>
      </w:pPr>
      <w:r w:rsidRPr="00307028">
        <w:rPr>
          <w:rFonts w:eastAsiaTheme="minorHAnsi"/>
          <w:lang w:eastAsia="en-US"/>
        </w:rPr>
        <w:t xml:space="preserve">Secināts, ka uz VPP noslēguma brīdi 29% projektu rezultātu ir progresā. LZP uzrauga VPP projektos plānoto rezultātu sasniegšanas progresu, pārbaudot sasniegto rezultātu atbilstību plānotajam, kā arī pieprasa informāciju par vēl sasniedzamajiem rezultātiem. VPP īstenošanas noslēguma ziņojumos minēts, ka pēc projektu noslēguma LZP veiks projektu pēcuzraudzību, sekojot līdzi, vai projektu īstenošanas rezultātā iesniegtās monogrāfijas un publikācijas tiek publicētas, kā arī, vai nodrošināta projekta rezultātu ilgtspēja. FM ieskatā daļa no projektu progresā esošajiem rezultātiem laika gaitā var zaudēt savu aktualitāti. Lai īstenotu projektu pēcuzraudzību, kā arī nodrošinātu, ka visi progresā esošie projektu rezultāti tiek savlaicīgi īstenoti, </w:t>
      </w:r>
      <w:bookmarkStart w:id="162" w:name="_Hlk141264247"/>
      <w:r w:rsidRPr="00307028">
        <w:rPr>
          <w:rFonts w:eastAsiaTheme="minorHAnsi"/>
          <w:lang w:eastAsia="en-US"/>
        </w:rPr>
        <w:t xml:space="preserve">LZP būtu nepieciešams </w:t>
      </w:r>
      <w:r w:rsidRPr="00307028">
        <w:rPr>
          <w:rFonts w:eastAsia="Times New Roman"/>
          <w:lang w:eastAsia="en-US"/>
        </w:rPr>
        <w:t>pārskatīt projektu “</w:t>
      </w:r>
      <w:r w:rsidRPr="00307028">
        <w:rPr>
          <w:rFonts w:eastAsia="Times New Roman"/>
          <w:i/>
          <w:iCs/>
          <w:lang w:eastAsia="en-US"/>
        </w:rPr>
        <w:t>ex-post</w:t>
      </w:r>
      <w:r w:rsidRPr="00307028">
        <w:rPr>
          <w:rFonts w:eastAsia="Times New Roman"/>
          <w:lang w:eastAsia="en-US"/>
        </w:rPr>
        <w:t>” izvērtējuma sistēmu,</w:t>
      </w:r>
      <w:r w:rsidRPr="00307028">
        <w:rPr>
          <w:rFonts w:eastAsiaTheme="minorHAnsi"/>
          <w:lang w:eastAsia="en-US"/>
        </w:rPr>
        <w:t xml:space="preserve"> noteikt projektu, kuri </w:t>
      </w:r>
      <w:r w:rsidR="00353DB3" w:rsidRPr="00307028">
        <w:rPr>
          <w:rFonts w:eastAsiaTheme="minorHAnsi"/>
          <w:lang w:eastAsia="en-US"/>
        </w:rPr>
        <w:t xml:space="preserve">vēl </w:t>
      </w:r>
      <w:r w:rsidRPr="00307028">
        <w:rPr>
          <w:rFonts w:eastAsiaTheme="minorHAnsi"/>
          <w:lang w:eastAsia="en-US"/>
        </w:rPr>
        <w:t xml:space="preserve">ir progresā, rezultātu publicēšanas termiņus, izstrādāt projektu rezultātu monitoringa un kontroles mehānismus. </w:t>
      </w:r>
    </w:p>
    <w:bookmarkEnd w:id="162"/>
    <w:p w14:paraId="5E05469F" w14:textId="77777777" w:rsidR="0080220D" w:rsidRPr="00307028" w:rsidRDefault="0080220D" w:rsidP="00BE4409">
      <w:pPr>
        <w:numPr>
          <w:ilvl w:val="0"/>
          <w:numId w:val="4"/>
        </w:numPr>
        <w:spacing w:after="120" w:line="259" w:lineRule="auto"/>
        <w:ind w:hanging="436"/>
        <w:jc w:val="both"/>
        <w:rPr>
          <w:rFonts w:asciiTheme="minorHAnsi" w:eastAsiaTheme="minorHAnsi" w:hAnsiTheme="minorHAnsi" w:cstheme="minorBidi"/>
          <w:sz w:val="22"/>
          <w:szCs w:val="22"/>
          <w:lang w:eastAsia="en-US"/>
        </w:rPr>
      </w:pPr>
      <w:r w:rsidRPr="00307028">
        <w:rPr>
          <w:rFonts w:eastAsiaTheme="minorHAnsi"/>
          <w:lang w:eastAsia="en-US"/>
        </w:rPr>
        <w:t>Secināts, ka uz VPP noslēguma brīdi kopumā 17% plānoto rezultātu nav sasniegti. Pieņemot, ka visi progresā esošie rezultāti tiks sasniegti, 2% no plānotajiem rezultātiem nav uzsākti un netiks sasniegti. LZP būtu nepieciešams skaidrot iemeslus plānoto rezultātu neizpildei un piešķirtā finansējuma izlietojuma, ja tāds ir, pamatotību šiem mērķiem.</w:t>
      </w:r>
    </w:p>
    <w:p w14:paraId="0B733D52" w14:textId="6CF10129" w:rsidR="0080220D" w:rsidRPr="00307028" w:rsidRDefault="0080220D" w:rsidP="00BE4409">
      <w:pPr>
        <w:numPr>
          <w:ilvl w:val="0"/>
          <w:numId w:val="4"/>
        </w:numPr>
        <w:spacing w:after="120" w:line="259" w:lineRule="auto"/>
        <w:ind w:hanging="436"/>
        <w:jc w:val="both"/>
        <w:rPr>
          <w:rFonts w:eastAsiaTheme="minorHAnsi"/>
          <w:lang w:eastAsia="en-US"/>
        </w:rPr>
      </w:pPr>
      <w:bookmarkStart w:id="163" w:name="_Hlk141264287"/>
      <w:r w:rsidRPr="00307028">
        <w:rPr>
          <w:rFonts w:eastAsiaTheme="minorHAnsi"/>
          <w:lang w:eastAsia="en-US"/>
        </w:rPr>
        <w:t>Balstoties uz FM aprēķiniem</w:t>
      </w:r>
      <w:r w:rsidR="00353DB3" w:rsidRPr="00307028">
        <w:rPr>
          <w:rFonts w:eastAsiaTheme="minorHAnsi"/>
          <w:lang w:eastAsia="en-US"/>
        </w:rPr>
        <w:t>,</w:t>
      </w:r>
      <w:r w:rsidRPr="00307028">
        <w:rPr>
          <w:rFonts w:eastAsiaTheme="minorHAnsi"/>
          <w:lang w:eastAsia="en-US"/>
        </w:rPr>
        <w:t xml:space="preserve"> secināts, ka ir ievērojama starpība starp VPP sasniegto rezultātu izmaksām. LZP būtu nepieciešams </w:t>
      </w:r>
      <w:r w:rsidRPr="00307028">
        <w:rPr>
          <w:rFonts w:eastAsia="Times New Roman"/>
          <w:lang w:eastAsia="en-US"/>
        </w:rPr>
        <w:t>plašāk ieviest “</w:t>
      </w:r>
      <w:r w:rsidRPr="00307028">
        <w:rPr>
          <w:rFonts w:eastAsia="Times New Roman"/>
          <w:i/>
          <w:iCs/>
          <w:lang w:eastAsia="en-US"/>
        </w:rPr>
        <w:t>value-for-money</w:t>
      </w:r>
      <w:r w:rsidRPr="00307028">
        <w:rPr>
          <w:rFonts w:eastAsia="Times New Roman"/>
          <w:lang w:eastAsia="en-US"/>
        </w:rPr>
        <w:t>” izvērtējumu projektu rezultātiem, vērtējot izmaksu pamatotību.</w:t>
      </w:r>
    </w:p>
    <w:bookmarkEnd w:id="163"/>
    <w:p w14:paraId="5F043A6B" w14:textId="083E9C22" w:rsidR="0080220D" w:rsidRPr="00307028" w:rsidRDefault="0080220D" w:rsidP="00BE4409">
      <w:pPr>
        <w:numPr>
          <w:ilvl w:val="0"/>
          <w:numId w:val="4"/>
        </w:numPr>
        <w:spacing w:after="120" w:line="259" w:lineRule="auto"/>
        <w:ind w:hanging="436"/>
        <w:jc w:val="both"/>
        <w:rPr>
          <w:rFonts w:eastAsiaTheme="minorHAnsi"/>
          <w:lang w:eastAsia="en-US"/>
        </w:rPr>
      </w:pPr>
      <w:r w:rsidRPr="00307028">
        <w:rPr>
          <w:rFonts w:eastAsia="Calibri"/>
          <w:lang w:eastAsia="en-US"/>
        </w:rPr>
        <w:t>Ministrijām būtu nepieciešams ievērot budžeta programmu caurskatāmību</w:t>
      </w:r>
      <w:r w:rsidR="0044796B" w:rsidRPr="00307028">
        <w:rPr>
          <w:rFonts w:eastAsia="Calibri"/>
          <w:lang w:eastAsia="en-US"/>
        </w:rPr>
        <w:t xml:space="preserve">, lai varētu identificēt zinātnei piešķirto finansējumu un </w:t>
      </w:r>
      <w:r w:rsidRPr="00307028">
        <w:rPr>
          <w:rFonts w:eastAsia="Calibri"/>
          <w:lang w:eastAsia="en-US"/>
        </w:rPr>
        <w:t xml:space="preserve">sasniedzamos rezultatīvos rādītājus. </w:t>
      </w:r>
    </w:p>
    <w:p w14:paraId="411010DA" w14:textId="0AD15ACE" w:rsidR="0080220D" w:rsidRPr="00307028" w:rsidRDefault="0080220D" w:rsidP="00BE4409">
      <w:pPr>
        <w:numPr>
          <w:ilvl w:val="0"/>
          <w:numId w:val="4"/>
        </w:numPr>
        <w:spacing w:after="120" w:line="259" w:lineRule="auto"/>
        <w:ind w:hanging="436"/>
        <w:jc w:val="both"/>
        <w:rPr>
          <w:rFonts w:eastAsiaTheme="minorHAnsi"/>
          <w:lang w:eastAsia="en-US"/>
        </w:rPr>
      </w:pPr>
      <w:r w:rsidRPr="00307028">
        <w:rPr>
          <w:rFonts w:eastAsiaTheme="minorHAnsi"/>
          <w:lang w:eastAsia="en-US"/>
        </w:rPr>
        <w:t>Divu VPP (“Ēnu ekonomikas mazināšana valsts ilgtspējīgas attīstības nodrošināšanai” un “Latvijas kultūra – resurss valsts attīstībai”), kuri ir noslēgušies 2022. gadā, noslēguma ziņojumi</w:t>
      </w:r>
      <w:r w:rsidR="00387E8D" w:rsidRPr="00307028">
        <w:rPr>
          <w:rFonts w:eastAsiaTheme="minorHAnsi"/>
          <w:lang w:eastAsia="en-US"/>
        </w:rPr>
        <w:t xml:space="preserve"> tika publicēti tikai 2023. gada jūnijā</w:t>
      </w:r>
      <w:r w:rsidRPr="00307028">
        <w:rPr>
          <w:rFonts w:eastAsiaTheme="minorHAnsi"/>
          <w:lang w:eastAsia="en-US"/>
        </w:rPr>
        <w:t xml:space="preserve">. LZP atbilstoši </w:t>
      </w:r>
      <w:r w:rsidRPr="00307028">
        <w:rPr>
          <w:rFonts w:eastAsia="Times New Roman"/>
          <w:shd w:val="clear" w:color="auto" w:fill="FFFFFF"/>
          <w:lang w:eastAsia="lv-LV"/>
        </w:rPr>
        <w:t>MK noteikumu Nr.</w:t>
      </w:r>
      <w:r w:rsidR="004C3269" w:rsidRPr="00307028">
        <w:rPr>
          <w:rFonts w:eastAsia="Times New Roman"/>
          <w:shd w:val="clear" w:color="auto" w:fill="FFFFFF"/>
          <w:lang w:eastAsia="lv-LV"/>
        </w:rPr>
        <w:t xml:space="preserve"> </w:t>
      </w:r>
      <w:r w:rsidRPr="00307028">
        <w:rPr>
          <w:rFonts w:eastAsia="Times New Roman"/>
          <w:shd w:val="clear" w:color="auto" w:fill="FFFFFF"/>
          <w:lang w:eastAsia="lv-LV"/>
        </w:rPr>
        <w:t>560</w:t>
      </w:r>
      <w:r w:rsidRPr="00307028">
        <w:rPr>
          <w:rFonts w:eastAsiaTheme="minorHAnsi"/>
          <w:lang w:eastAsia="en-US"/>
        </w:rPr>
        <w:t xml:space="preserve"> 68. un 69. punktā noteiktajam</w:t>
      </w:r>
      <w:r w:rsidR="004C3269" w:rsidRPr="00307028">
        <w:rPr>
          <w:rFonts w:eastAsiaTheme="minorHAnsi"/>
          <w:lang w:eastAsia="en-US"/>
        </w:rPr>
        <w:t xml:space="preserve"> nepieciešams</w:t>
      </w:r>
      <w:r w:rsidRPr="00307028">
        <w:rPr>
          <w:rFonts w:eastAsiaTheme="minorHAnsi"/>
          <w:lang w:eastAsia="en-US"/>
        </w:rPr>
        <w:t xml:space="preserve"> nodrošināt savlaicīgu VPP noslēguma ziņojumu sagatavošanu un publicēšanu.</w:t>
      </w:r>
    </w:p>
    <w:p w14:paraId="4F93C6C7" w14:textId="77777777" w:rsidR="00A26EAE" w:rsidRPr="00307028" w:rsidRDefault="00A26EAE" w:rsidP="00CE3100">
      <w:pPr>
        <w:spacing w:before="120" w:after="120"/>
        <w:rPr>
          <w:b/>
          <w:bCs/>
          <w:sz w:val="28"/>
          <w:szCs w:val="28"/>
        </w:rPr>
      </w:pPr>
    </w:p>
    <w:p w14:paraId="37C77098" w14:textId="0FA882A8" w:rsidR="00AB1A9C" w:rsidRPr="00307028" w:rsidRDefault="00735085" w:rsidP="00F7258A">
      <w:pPr>
        <w:pStyle w:val="Heading5"/>
      </w:pPr>
      <w:r w:rsidRPr="00307028">
        <w:t>3.2.3. Interešu un profesionālās ievirzes izglītības programmām piešķirt</w:t>
      </w:r>
      <w:r w:rsidR="00CE3100" w:rsidRPr="00307028">
        <w:t>ā</w:t>
      </w:r>
      <w:r w:rsidRPr="00307028">
        <w:t xml:space="preserve"> finansējum</w:t>
      </w:r>
      <w:r w:rsidR="00CE3100" w:rsidRPr="00307028">
        <w:t>a</w:t>
      </w:r>
      <w:r w:rsidRPr="00307028">
        <w:t xml:space="preserve"> un sasniegto rezultātu analīz</w:t>
      </w:r>
      <w:r w:rsidR="00CE3100" w:rsidRPr="00307028">
        <w:t>e</w:t>
      </w:r>
    </w:p>
    <w:p w14:paraId="65A21527" w14:textId="0A90E5A2" w:rsidR="00AC6DC0" w:rsidRPr="00307028" w:rsidRDefault="00AC6DC0" w:rsidP="00AC6DC0">
      <w:pPr>
        <w:spacing w:after="120" w:line="259" w:lineRule="auto"/>
        <w:ind w:firstLine="720"/>
        <w:jc w:val="both"/>
        <w:rPr>
          <w:rFonts w:eastAsia="Times New Roman"/>
          <w:color w:val="333333"/>
          <w:lang w:eastAsia="en-GB"/>
        </w:rPr>
      </w:pPr>
      <w:r w:rsidRPr="00307028">
        <w:rPr>
          <w:rFonts w:eastAsia="Times New Roman"/>
          <w:color w:val="333333"/>
          <w:lang w:eastAsia="en-GB"/>
        </w:rPr>
        <w:t xml:space="preserve">Saskaņā ar šī gada izdevumu pārskatīšanas tvērumu tika noteikts </w:t>
      </w:r>
      <w:r w:rsidR="004C3269" w:rsidRPr="00307028">
        <w:rPr>
          <w:rFonts w:eastAsia="Times New Roman"/>
          <w:color w:val="333333"/>
          <w:lang w:eastAsia="en-GB"/>
        </w:rPr>
        <w:t xml:space="preserve">uzdevums </w:t>
      </w:r>
      <w:r w:rsidRPr="00307028">
        <w:rPr>
          <w:rFonts w:eastAsia="Times New Roman"/>
          <w:color w:val="333333"/>
          <w:lang w:eastAsia="en-GB"/>
        </w:rPr>
        <w:t>veikt izvērtējumu par interešu izglītības un profesionālās ievirzes izglītības programmām piešķirto finansējumu un sasniegtajiem rezultātiem. Pēc pavasarī notikušās starpministriju sanāksmes IZM un KM, kā attiecīgās politikas īstenotājas, tika lūgtas sagatavot savstarpēji saskaņotu informāciju par attiecīgo jautājumu un sagatavot priekšlikumus turpmāk veicamajām darbībām.</w:t>
      </w:r>
    </w:p>
    <w:p w14:paraId="16126FEF" w14:textId="77777777" w:rsidR="00AC6DC0" w:rsidRPr="00307028" w:rsidRDefault="00AC6DC0" w:rsidP="00AC6DC0">
      <w:pPr>
        <w:spacing w:after="120" w:line="259" w:lineRule="auto"/>
        <w:ind w:firstLine="720"/>
        <w:rPr>
          <w:b/>
          <w:bCs/>
          <w:i/>
          <w:iCs/>
          <w:lang w:eastAsia="en-GB"/>
        </w:rPr>
      </w:pPr>
      <w:r w:rsidRPr="00307028">
        <w:rPr>
          <w:b/>
          <w:bCs/>
          <w:i/>
          <w:iCs/>
          <w:lang w:eastAsia="en-GB"/>
        </w:rPr>
        <w:t>Interešu izglītība</w:t>
      </w:r>
    </w:p>
    <w:p w14:paraId="5C5CD37A" w14:textId="7258FB74" w:rsidR="00AC6DC0" w:rsidRPr="00307028" w:rsidRDefault="00AC6DC0" w:rsidP="00AC6DC0">
      <w:pPr>
        <w:spacing w:after="120" w:line="259" w:lineRule="auto"/>
        <w:ind w:firstLine="720"/>
        <w:jc w:val="both"/>
        <w:rPr>
          <w:lang w:eastAsia="en-GB"/>
        </w:rPr>
      </w:pPr>
      <w:r w:rsidRPr="00307028">
        <w:t>MK 2001. gada 28. augusta noteikumos Nr. 382 “Interešu izglītības programmu finansēšanas kārtība” ir noteikta kārtība interešu izglītības programmu finansēšanai un paredzēts, ka no v</w:t>
      </w:r>
      <w:r w:rsidRPr="00307028">
        <w:rPr>
          <w:lang w:eastAsia="en-GB"/>
        </w:rPr>
        <w:t xml:space="preserve">alsts budžeta tiek piešķirta mērķdotācija pašvaldībām pedagogu darba </w:t>
      </w:r>
      <w:r w:rsidRPr="00307028">
        <w:rPr>
          <w:lang w:eastAsia="en-GB"/>
        </w:rPr>
        <w:lastRenderedPageBreak/>
        <w:t xml:space="preserve">samaksas daļējai finansēšanai interešu izglītības programmu īstenošanai. Pārējās interešu izglītības programmu īstenošanas izmaksas (mācību līdzekļi, saimnieciskie izdevumi u.c. nepieciešamie izdevumi, tai skaitā pedagogu darba samaksas daļēja finansēšana) tiek segtas no izglītības iestādes dibinātāja, citu juridisko un fizisko personu līdzekļiem. Par interešu izglītības pieejamību un organizatorisko struktūru savā administratīvajā teritorijā ir atbildīga pašvaldība, bet valsts piedalās pedagogu darba samaksas finansēšanā. Valsts budžeta finansējums interešu izglītības pedagogu darba samaksas daļējai finansēšanai tiek plānots 62. resora valsts budžeta programmā </w:t>
      </w:r>
      <w:r w:rsidRPr="00307028">
        <w:t xml:space="preserve">05.00.00. “Mērķdotācijas pašvaldībām – pašvaldību izglītības iestāžu pedagogu darba samaksai un valsts sociālās apdrošināšanas obligātajām iemaksām”. </w:t>
      </w:r>
      <w:r w:rsidRPr="00307028">
        <w:rPr>
          <w:lang w:eastAsia="en-GB"/>
        </w:rPr>
        <w:t>2023. gada plānotais finansējums šim mērķim ir 23,7 milj. </w:t>
      </w:r>
      <w:r w:rsidRPr="00307028">
        <w:rPr>
          <w:i/>
          <w:iCs/>
          <w:lang w:eastAsia="en-GB"/>
        </w:rPr>
        <w:t>euro</w:t>
      </w:r>
      <w:r w:rsidRPr="00307028">
        <w:rPr>
          <w:lang w:eastAsia="en-GB"/>
        </w:rPr>
        <w:t>, kamēr 2024. gadā tas ieplānots 23,5 milj. </w:t>
      </w:r>
      <w:r w:rsidRPr="00307028">
        <w:rPr>
          <w:i/>
          <w:iCs/>
          <w:lang w:eastAsia="en-GB"/>
        </w:rPr>
        <w:t>euro</w:t>
      </w:r>
      <w:r w:rsidRPr="00307028">
        <w:rPr>
          <w:lang w:eastAsia="en-GB"/>
        </w:rPr>
        <w:t>, bet 2025. gadā 26,7 milj. </w:t>
      </w:r>
      <w:r w:rsidRPr="00307028">
        <w:rPr>
          <w:i/>
          <w:iCs/>
          <w:lang w:eastAsia="en-GB"/>
        </w:rPr>
        <w:t>euro</w:t>
      </w:r>
      <w:r w:rsidRPr="00307028">
        <w:rPr>
          <w:lang w:eastAsia="en-GB"/>
        </w:rPr>
        <w:t xml:space="preserve"> apmērā. Pedagogu darba samaksa interešu izglītības programmu īstenošanai izglītības iestādēs tiek finansēta arī no pašvaldību budžetiem. Jānorāda, ka pašvaldību finansējuma īpatsvars ir būtiski atšķirīgs, piemēram, Rīgas valstspilsētas pašvaldība, un Saldus novada pašvaldība līdzfinansē pedagogu darba samaksu ap 40% apmērā no kopējā šim mērķim izlietotā finansējuma, kamēr citās pašvaldībās finansējuma apmērs ir no 1% līdz 30% no kopējā pedagogu darba samaksai nepieciešamā finansējuma. 11 pašvaldībās pedagogu darba samaksai ir tarificēts arī privātais finansējums 0,1% līdz 15,7% apmērā no kopējā finansējuma pedagogu darba samaksai.</w:t>
      </w:r>
    </w:p>
    <w:p w14:paraId="383EC1F2" w14:textId="6B4476DE" w:rsidR="00737292" w:rsidRPr="00307028" w:rsidRDefault="00AC6DC0" w:rsidP="00AE7B9D">
      <w:pPr>
        <w:spacing w:after="120" w:line="259" w:lineRule="auto"/>
        <w:ind w:firstLine="720"/>
        <w:jc w:val="both"/>
        <w:rPr>
          <w:rFonts w:eastAsia="Calibri"/>
          <w:lang w:eastAsia="en-US"/>
          <w14:ligatures w14:val="standardContextual"/>
        </w:rPr>
      </w:pPr>
      <w:r w:rsidRPr="00307028">
        <w:rPr>
          <w:rFonts w:eastAsia="Calibri"/>
          <w:lang w:eastAsia="en-US"/>
          <w14:ligatures w14:val="standardContextual"/>
        </w:rPr>
        <w:t>Saskaņā ar Valsts izglītības informācijas sistēmas (VIIS) operatīvajiem datiem 2022./2023. mācību gadā izglītības iestādē īstenotajās interešu izglītības programmās piedalījās 119 777 izglītojamie (unikālie dalībnieki) jeb 37,43% no izglītojamo kopskaita (5 – 6 gadus veci izglītojamie un 1. – 12. klases izglītojamie), tai skaitā 52 519 izglītojamie piedalās vairāk nekā vienā interešu izglītības programmā. Kopējais izglītojamo skaits interešu izglītības programmās, ja vērtē dalības reizes, ir 224 504 izglītojamie, līdz ar to ir secināms, ka interešu izglītības pieejamība ir nodrošināta. Lielāko īpatsvaru no dalībniekiem veido interešu kultūrizglītības izglītojamie – 55,1%, sporta interešu izglītības programmās piedalās 21,8%, citās interešu izglītības programmās 14,2%, tehniskās jaunrades izglītības programmās 6,5%, bet vides interešu izglītības programmās 2,5% izglītojamo (Attēls Nr. 3.2.3.1.).</w:t>
      </w:r>
    </w:p>
    <w:p w14:paraId="5849F74B" w14:textId="77777777" w:rsidR="00AC6DC0" w:rsidRPr="00307028" w:rsidRDefault="00AC6DC0" w:rsidP="00AC6DC0">
      <w:pPr>
        <w:spacing w:after="120" w:line="259" w:lineRule="auto"/>
        <w:jc w:val="center"/>
        <w:rPr>
          <w:rFonts w:eastAsia="Calibri"/>
          <w:b/>
          <w:bCs/>
          <w:sz w:val="22"/>
          <w:szCs w:val="22"/>
          <w:lang w:eastAsia="en-US"/>
          <w14:ligatures w14:val="standardContextual"/>
        </w:rPr>
      </w:pPr>
      <w:r w:rsidRPr="00307028">
        <w:rPr>
          <w:rFonts w:eastAsia="Calibri"/>
          <w:b/>
          <w:bCs/>
          <w:i/>
          <w:iCs/>
          <w:sz w:val="22"/>
          <w:szCs w:val="22"/>
          <w:lang w:eastAsia="en-US"/>
          <w14:ligatures w14:val="standardContextual"/>
        </w:rPr>
        <w:t>3.2.3.1. attēls</w:t>
      </w:r>
      <w:r w:rsidRPr="00307028">
        <w:rPr>
          <w:rFonts w:eastAsia="Calibri"/>
          <w:b/>
          <w:bCs/>
          <w:sz w:val="22"/>
          <w:szCs w:val="22"/>
          <w:lang w:eastAsia="en-US"/>
          <w14:ligatures w14:val="standardContextual"/>
        </w:rPr>
        <w:t xml:space="preserve"> Dalībnieku sadalījums pa interešu izglītības veidiem</w:t>
      </w:r>
    </w:p>
    <w:p w14:paraId="28A0D562" w14:textId="3B68FE19" w:rsidR="00AC6DC0" w:rsidRPr="00307028" w:rsidRDefault="00060267" w:rsidP="00AC6DC0">
      <w:pPr>
        <w:spacing w:after="120"/>
        <w:jc w:val="center"/>
        <w:rPr>
          <w:rFonts w:eastAsia="Calibri"/>
          <w:lang w:eastAsia="en-US"/>
          <w14:ligatures w14:val="standardContextual"/>
        </w:rPr>
      </w:pPr>
      <w:r w:rsidRPr="00307028">
        <w:rPr>
          <w:rFonts w:eastAsia="Calibri"/>
          <w:noProof/>
          <w:lang w:eastAsia="en-US"/>
          <w14:ligatures w14:val="standardContextual"/>
        </w:rPr>
        <w:drawing>
          <wp:inline distT="0" distB="0" distL="0" distR="0" wp14:anchorId="370B0A60" wp14:editId="365AB737">
            <wp:extent cx="4427286" cy="1709530"/>
            <wp:effectExtent l="0" t="0" r="0" b="5080"/>
            <wp:docPr id="41445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20842" cy="1745655"/>
                    </a:xfrm>
                    <a:prstGeom prst="rect">
                      <a:avLst/>
                    </a:prstGeom>
                    <a:noFill/>
                  </pic:spPr>
                </pic:pic>
              </a:graphicData>
            </a:graphic>
          </wp:inline>
        </w:drawing>
      </w:r>
    </w:p>
    <w:p w14:paraId="17B7F157" w14:textId="3E8C6264" w:rsidR="00AC6DC0" w:rsidRPr="00307028" w:rsidRDefault="00AC6DC0" w:rsidP="00AC6DC0">
      <w:pPr>
        <w:spacing w:after="120" w:line="259" w:lineRule="auto"/>
        <w:ind w:firstLine="709"/>
        <w:jc w:val="both"/>
        <w:rPr>
          <w:rFonts w:eastAsia="Calibri"/>
          <w:lang w:eastAsia="en-US"/>
          <w14:ligatures w14:val="standardContextual"/>
        </w:rPr>
      </w:pPr>
      <w:r w:rsidRPr="00307028">
        <w:rPr>
          <w:rFonts w:eastAsia="Calibri"/>
          <w:lang w:eastAsia="en-US"/>
          <w14:ligatures w14:val="standardContextual"/>
        </w:rPr>
        <w:t xml:space="preserve">Izglītības iestādēs īstenotajās interešu izglītības programmās piedalās visu vecumu izglītojamie, bet būtisks dalībnieku skaita kritums ir 12 – 13 gadu vecumā, kas varētu būt skaidrojams ar attiecīgajam vecumposmam mazāk atbilstošu interešu izglītības programmu piedāvājumu, jo īpaši </w:t>
      </w:r>
      <w:r w:rsidRPr="00307028">
        <w:rPr>
          <w:rFonts w:eastAsia="Calibri"/>
          <w:shd w:val="clear" w:color="auto" w:fill="FFFFFF"/>
          <w:lang w:eastAsia="en-US"/>
          <w14:ligatures w14:val="standardContextual"/>
        </w:rPr>
        <w:t>zinātnes, tehnoloģiju, vides, inženierzinātņu un matemātikas (turpmāk</w:t>
      </w:r>
      <w:r w:rsidR="00612E79">
        <w:rPr>
          <w:rFonts w:eastAsia="Calibri"/>
          <w:shd w:val="clear" w:color="auto" w:fill="FFFFFF"/>
          <w:lang w:eastAsia="en-US"/>
          <w14:ligatures w14:val="standardContextual"/>
        </w:rPr>
        <w:t> </w:t>
      </w:r>
      <w:r w:rsidRPr="00307028">
        <w:rPr>
          <w:rFonts w:eastAsia="Calibri"/>
          <w:shd w:val="clear" w:color="auto" w:fill="FFFFFF"/>
          <w:lang w:eastAsia="en-US"/>
          <w14:ligatures w14:val="standardContextual"/>
        </w:rPr>
        <w:t>–</w:t>
      </w:r>
      <w:r w:rsidR="00612E79">
        <w:rPr>
          <w:rFonts w:eastAsia="Calibri"/>
          <w:shd w:val="clear" w:color="auto" w:fill="FFFFFF"/>
          <w:lang w:eastAsia="en-US"/>
          <w14:ligatures w14:val="standardContextual"/>
        </w:rPr>
        <w:t> </w:t>
      </w:r>
      <w:r w:rsidRPr="00307028">
        <w:rPr>
          <w:rFonts w:eastAsia="Calibri"/>
          <w:shd w:val="clear" w:color="auto" w:fill="FFFFFF"/>
          <w:lang w:eastAsia="en-US"/>
          <w14:ligatures w14:val="standardContextual"/>
        </w:rPr>
        <w:t xml:space="preserve">STEM) </w:t>
      </w:r>
      <w:r w:rsidRPr="00307028">
        <w:rPr>
          <w:rFonts w:eastAsia="Calibri"/>
          <w:lang w:eastAsia="en-US"/>
          <w14:ligatures w14:val="standardContextual"/>
        </w:rPr>
        <w:t>interešu izglītības programmās, kas līdzvērtīgā kvalitātē un apjomā nav pieejamas visās pašvaldībās</w:t>
      </w:r>
      <w:r w:rsidRPr="00307028">
        <w:rPr>
          <w:rFonts w:eastAsia="Calibri"/>
          <w:vertAlign w:val="superscript"/>
          <w:lang w:eastAsia="en-US"/>
          <w14:ligatures w14:val="standardContextual"/>
        </w:rPr>
        <w:footnoteReference w:id="83"/>
      </w:r>
      <w:r w:rsidRPr="00307028">
        <w:rPr>
          <w:rFonts w:eastAsia="Calibri"/>
          <w:lang w:eastAsia="en-US"/>
          <w14:ligatures w14:val="standardContextual"/>
        </w:rPr>
        <w:t xml:space="preserve"> (Attēls Nr. 3.2.3.2.).</w:t>
      </w:r>
    </w:p>
    <w:p w14:paraId="06B24EF5" w14:textId="77777777" w:rsidR="00AC6DC0" w:rsidRPr="00307028" w:rsidRDefault="00AC6DC0" w:rsidP="00AC6DC0">
      <w:pPr>
        <w:spacing w:after="120" w:line="259" w:lineRule="auto"/>
        <w:jc w:val="center"/>
        <w:rPr>
          <w:rFonts w:eastAsia="Calibri"/>
          <w:b/>
          <w:bCs/>
          <w:sz w:val="22"/>
          <w:szCs w:val="22"/>
          <w:lang w:eastAsia="en-US"/>
          <w14:ligatures w14:val="standardContextual"/>
        </w:rPr>
      </w:pPr>
      <w:r w:rsidRPr="00307028">
        <w:rPr>
          <w:rFonts w:eastAsia="Calibri"/>
          <w:b/>
          <w:bCs/>
          <w:i/>
          <w:iCs/>
          <w:sz w:val="22"/>
          <w:szCs w:val="22"/>
          <w:lang w:eastAsia="en-US"/>
          <w14:ligatures w14:val="standardContextual"/>
        </w:rPr>
        <w:lastRenderedPageBreak/>
        <w:t>3.2.3.2. attēls</w:t>
      </w:r>
      <w:r w:rsidRPr="00307028">
        <w:rPr>
          <w:rFonts w:eastAsia="Calibri"/>
          <w:b/>
          <w:bCs/>
          <w:sz w:val="22"/>
          <w:szCs w:val="22"/>
          <w:lang w:eastAsia="en-US"/>
          <w14:ligatures w14:val="standardContextual"/>
        </w:rPr>
        <w:t xml:space="preserve"> Izglītojamo skaits interešu izglītības programmās pēc vecuma (dalības fakts)</w:t>
      </w:r>
    </w:p>
    <w:p w14:paraId="018BB0E6" w14:textId="77777777" w:rsidR="00AC6DC0" w:rsidRPr="00307028" w:rsidRDefault="00AC6DC0" w:rsidP="00AC6DC0">
      <w:pPr>
        <w:spacing w:after="120"/>
        <w:jc w:val="center"/>
        <w:rPr>
          <w:rFonts w:eastAsia="Calibri"/>
          <w:lang w:eastAsia="en-US"/>
          <w14:ligatures w14:val="standardContextual"/>
        </w:rPr>
      </w:pPr>
      <w:r w:rsidRPr="00307028">
        <w:rPr>
          <w:rFonts w:eastAsia="Calibri"/>
          <w:noProof/>
          <w:lang w:eastAsia="en-US"/>
          <w14:ligatures w14:val="standardContextual"/>
        </w:rPr>
        <w:drawing>
          <wp:inline distT="0" distB="0" distL="0" distR="0" wp14:anchorId="5F58063E" wp14:editId="3E8E58FE">
            <wp:extent cx="5160396" cy="2391606"/>
            <wp:effectExtent l="0" t="0" r="2540" b="8890"/>
            <wp:docPr id="506881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186608" cy="2403754"/>
                    </a:xfrm>
                    <a:prstGeom prst="rect">
                      <a:avLst/>
                    </a:prstGeom>
                    <a:noFill/>
                  </pic:spPr>
                </pic:pic>
              </a:graphicData>
            </a:graphic>
          </wp:inline>
        </w:drawing>
      </w:r>
    </w:p>
    <w:p w14:paraId="670E1B41" w14:textId="1B9DEDDF" w:rsidR="00AC6DC0" w:rsidRPr="00307028" w:rsidRDefault="00AC6DC0" w:rsidP="00AC6DC0">
      <w:pPr>
        <w:spacing w:after="120" w:line="259" w:lineRule="auto"/>
        <w:ind w:firstLine="709"/>
        <w:jc w:val="both"/>
      </w:pPr>
      <w:r w:rsidRPr="00307028">
        <w:t>Kvalitatīva interešu izglītības piedāvājuma nodrošināšana var sekmēt vispārējās izglītības satura apguvi, nodrošinot izglītojamo mācīšanās pieredzes paplašināšanu un papildinošu zināšanu un prasmju apguvi, tai skaitā STEM interešu izglītības programmās, līdz ar to arī turpmāk pedagogu darba samaksas finansēšanai ir paredzama valsts budžeta mērķdotācija pašvaldībām. Paredzēts pārskatīt pašreizējo interešu izglītības programmu iedalījumu, pārejot no piecām tematiskajām jomām uz četrām, lai mazinātu interešu izglītības programmu fragmentāciju un uzlabotu interešu izglītības piedāvājuma sasaisti ar vispārējās izglītības satura mācību jomu iedalījumu. Normatīvajos aktos noteiktais finansēšanas modelis ir pilnveidojams, paredzot prioritāšu noteikšanu piešķirtās valsts budžeta mērķdotācijas izmantošanai un noteikta interešu izglītības programmu piedāvājuma, izglītojamo iesaistes apjoma un programmu kvalitātes nodrošināšanu pašvaldībās. IZM vērtējumā ir iespējams uzsākt prioritāšu noteikšanu valsts budžeta mērķdotācijas interešu izglītības programmu īstenošanai jau sākot ar 2023. gada 1. septembri</w:t>
      </w:r>
      <w:r w:rsidR="008508B9" w:rsidRPr="00307028">
        <w:t xml:space="preserve"> (vienlaikus vērtējot iespēju piesaistīt papildu finansējumu STEM jomas interešu izglītības programmu nodrošināšanai)</w:t>
      </w:r>
      <w:r w:rsidRPr="00307028">
        <w:t>, nosakot pakāpeniski pieaugošu STEM interešu izglītības programmu īstenošanai novirzāmās valsts budžeta mērķdotācijas apjomu no 2023./2024. mācību gada sākuma, bet interešu izglītības finansēšanas modeļa pilnveidošana ir veicama vienlaikus ar pedagogu darba samaksas finansēšanas modeļa pilnveidojumiem</w:t>
      </w:r>
      <w:r w:rsidR="00EE2D2F" w:rsidRPr="00307028">
        <w:t xml:space="preserve"> </w:t>
      </w:r>
      <w:r w:rsidRPr="00307028">
        <w:t>pirmsskolā, speciālajā izglītībā, vispārējā izglītībā, profesionālajā izglītībā un profesionālās ievirzes izglītībā</w:t>
      </w:r>
      <w:r w:rsidR="008508B9" w:rsidRPr="00307028">
        <w:t>,</w:t>
      </w:r>
      <w:r w:rsidRPr="00307028">
        <w:t xml:space="preserve"> ko IZM plāno paveikt līdz </w:t>
      </w:r>
      <w:r w:rsidR="004379C8" w:rsidRPr="00307028">
        <w:t>2023</w:t>
      </w:r>
      <w:r w:rsidRPr="00307028">
        <w:t>.</w:t>
      </w:r>
      <w:r w:rsidR="00737292" w:rsidRPr="00307028">
        <w:t xml:space="preserve"> </w:t>
      </w:r>
      <w:r w:rsidRPr="00307028">
        <w:t xml:space="preserve">gada </w:t>
      </w:r>
      <w:r w:rsidR="004379C8" w:rsidRPr="00307028">
        <w:t>1. decembrim</w:t>
      </w:r>
      <w:r w:rsidRPr="00307028">
        <w:t>.</w:t>
      </w:r>
    </w:p>
    <w:p w14:paraId="23387332" w14:textId="77777777" w:rsidR="00AC6DC0" w:rsidRPr="00307028" w:rsidRDefault="00AC6DC0" w:rsidP="00AC6DC0">
      <w:pPr>
        <w:spacing w:after="120" w:line="259" w:lineRule="auto"/>
        <w:ind w:firstLine="709"/>
        <w:jc w:val="both"/>
        <w:rPr>
          <w:rFonts w:eastAsia="Calibri"/>
          <w:b/>
          <w:bCs/>
          <w:i/>
          <w:iCs/>
          <w:lang w:eastAsia="en-US"/>
          <w14:ligatures w14:val="standardContextual"/>
        </w:rPr>
      </w:pPr>
      <w:r w:rsidRPr="00307028">
        <w:rPr>
          <w:rFonts w:eastAsia="Calibri"/>
          <w:b/>
          <w:bCs/>
          <w:i/>
          <w:iCs/>
          <w:lang w:eastAsia="en-US"/>
          <w14:ligatures w14:val="standardContextual"/>
        </w:rPr>
        <w:t>Profesionālās ievirzes izglītība</w:t>
      </w:r>
    </w:p>
    <w:p w14:paraId="47A7F74A" w14:textId="4CEEF1BE" w:rsidR="00AC6DC0" w:rsidRPr="00307028" w:rsidRDefault="00AC6DC0" w:rsidP="00AC6DC0">
      <w:pPr>
        <w:spacing w:after="120" w:line="259" w:lineRule="auto"/>
        <w:ind w:firstLine="709"/>
        <w:jc w:val="both"/>
      </w:pPr>
      <w:r w:rsidRPr="00307028">
        <w:t xml:space="preserve">Saskaņā ar VIIS operatīvajiem datiem 2022./2023. mācību gadā profesionālās ievirzes sporta izglītības programmās iesaistīti 45 860 izglītojamie, </w:t>
      </w:r>
      <w:r w:rsidR="004C3269" w:rsidRPr="00307028">
        <w:t xml:space="preserve">bet </w:t>
      </w:r>
      <w:r w:rsidRPr="00307028">
        <w:t xml:space="preserve">no tiem tikai 453 paralēli ir iesaistīti arī sporta interešu izglītības programmās (lielākā daļa no tiem piedalās vispārējās fiziskās sagatavošanas programmās un apmeklē peldēšanas nodarbības). Profesionālās ievirzes sportā izglītības programmu finansēšanas kārtību nosaka MK 2021. gada 21. decembra noteikumi Nr. 885 “Kārtība, kādā valsts finansē profesionālās ievirzes sporta izglītības programmas”, kas paredz piešķirt valsts budžeta līdzekļus pedagogu darba samaksai akreditētās profesionālās ievirzes sporta izglītības iestādēs, ja tās ir izpildījušas MK noteikumos noteiktos mācību treniņu grupu rezultativitātes kritērijus sportā un nosacījumus attiecībā uz izglītojamo skaitu un vecumu. No valsts budžeta mērķdotācijas ir atļauts finansēt pedagoga darba samaksu tikai par vienas profesionālās ievirzes izglītības programmas apguvi vienā izglītības iestādē, tādējādi nodrošinot piešķirtās valsts budžeta mērķdotācijas novirzīšanu noteiktiem un pārbaudāmiem sasniedzamajiem rezultātiem. IZM budžeta apakšprogrammā 09.19.00 </w:t>
      </w:r>
      <w:r w:rsidRPr="00307028">
        <w:lastRenderedPageBreak/>
        <w:t>“Finansējums profesionālās ievirzes sporta izglītības programmu pedagogu darba samaksai un valsts sociālās apdrošināšanas obligātajām iemaksām” plānotais finansējums 2023. gadā ir 22,4 milj. </w:t>
      </w:r>
      <w:r w:rsidRPr="00307028">
        <w:rPr>
          <w:i/>
          <w:iCs/>
        </w:rPr>
        <w:t>euro</w:t>
      </w:r>
      <w:r w:rsidRPr="00307028">
        <w:t>, 2024. gadā 25,4 milj. </w:t>
      </w:r>
      <w:r w:rsidRPr="00307028">
        <w:rPr>
          <w:i/>
          <w:iCs/>
        </w:rPr>
        <w:t>euro</w:t>
      </w:r>
      <w:r w:rsidRPr="00307028">
        <w:t>, bet 2025. gadā 25,4 milj. </w:t>
      </w:r>
      <w:r w:rsidRPr="00307028">
        <w:rPr>
          <w:i/>
          <w:iCs/>
        </w:rPr>
        <w:t>euro</w:t>
      </w:r>
      <w:r w:rsidRPr="00307028">
        <w:t>.</w:t>
      </w:r>
    </w:p>
    <w:p w14:paraId="11C6BF95" w14:textId="49047F75" w:rsidR="00AC6DC0" w:rsidRPr="00307028" w:rsidRDefault="00AC6DC0" w:rsidP="00AC6DC0">
      <w:pPr>
        <w:spacing w:after="120" w:line="259" w:lineRule="auto"/>
        <w:ind w:firstLine="709"/>
        <w:jc w:val="both"/>
        <w:rPr>
          <w:rFonts w:eastAsia="Calibri"/>
          <w:lang w:eastAsia="en-US"/>
          <w14:ligatures w14:val="standardContextual"/>
        </w:rPr>
      </w:pPr>
      <w:r w:rsidRPr="00307028">
        <w:rPr>
          <w:rFonts w:eastAsia="Calibri"/>
          <w:lang w:eastAsia="en-US"/>
          <w14:ligatures w14:val="standardContextual"/>
        </w:rPr>
        <w:t xml:space="preserve">Savukārt profesionālās ievirzes kultūrā izglītības programmās 2022./2023. mācību gadā ir iesaistīti 27 300 izglītojamie, </w:t>
      </w:r>
      <w:r w:rsidR="004C3269" w:rsidRPr="00307028">
        <w:rPr>
          <w:rFonts w:eastAsia="Calibri"/>
          <w:lang w:eastAsia="en-US"/>
          <w14:ligatures w14:val="standardContextual"/>
        </w:rPr>
        <w:t xml:space="preserve">bet </w:t>
      </w:r>
      <w:r w:rsidRPr="00307028">
        <w:rPr>
          <w:rFonts w:eastAsia="Calibri"/>
          <w:lang w:eastAsia="en-US"/>
          <w14:ligatures w14:val="standardContextual"/>
        </w:rPr>
        <w:t>no tiem paralēli kultūras interešu izglītības programmās ir iesaistīti tikai 627 izglītojamie</w:t>
      </w:r>
      <w:r w:rsidR="004C3269" w:rsidRPr="00307028">
        <w:rPr>
          <w:rFonts w:eastAsia="Calibri"/>
          <w:lang w:eastAsia="en-US"/>
          <w14:ligatures w14:val="standardContextual"/>
        </w:rPr>
        <w:t>.</w:t>
      </w:r>
      <w:r w:rsidRPr="00307028">
        <w:rPr>
          <w:rFonts w:eastAsia="Calibri"/>
          <w:lang w:eastAsia="en-US"/>
          <w14:ligatures w14:val="standardContextual"/>
        </w:rPr>
        <w:t xml:space="preserve"> </w:t>
      </w:r>
      <w:r w:rsidR="004C3269" w:rsidRPr="00307028">
        <w:rPr>
          <w:rFonts w:eastAsia="Calibri"/>
          <w:lang w:eastAsia="en-US"/>
          <w14:ligatures w14:val="standardContextual"/>
        </w:rPr>
        <w:t>L</w:t>
      </w:r>
      <w:r w:rsidRPr="00307028">
        <w:rPr>
          <w:rFonts w:eastAsia="Calibri"/>
          <w:lang w:eastAsia="en-US"/>
          <w14:ligatures w14:val="standardContextual"/>
        </w:rPr>
        <w:t>ielākoties līdztekus instrumentu spēles apguvei profesionālās ievirzes kultūrā izglītības programmā izglītojamie piedalās skolu koros, vokālajos ansambļos un deju kolektīvos, kā arī skolu orķestros un instrumentālajos ansambļos. No valsts budžeta mērķdotācijas ir atļauts finansēt viena izglītojamā dalību vienā profesionālās ievirzes kultūrā izglītības programmā. No VIIS datiem neizriet, ka būtu novērojama izglītojamo vienlaicīga dalība identiskās profesionālās ievirzes kultūrā izglītības programmās un interešu izglītības kultūrā programmās, līdz ar to valsts budžeta finansējums profesionālās ievirzes kultūrā izglītības programmu finansēšanai tiek izmantots atbilstoši MK 2011. gada 27. decembra noteikumos Nr. 1035 “Kārtība, kādā finansē profesionālās ievirzes mākslas, mūzikas un dejas izglītības programmas” noteiktajam mērķim</w:t>
      </w:r>
      <w:r w:rsidR="008508B9" w:rsidRPr="00307028">
        <w:rPr>
          <w:rFonts w:eastAsia="Calibri"/>
          <w:lang w:eastAsia="en-US"/>
          <w14:ligatures w14:val="standardContextual"/>
        </w:rPr>
        <w:t xml:space="preserve"> un finansējuma piešķiršanas kritērijiem</w:t>
      </w:r>
      <w:r w:rsidR="00145AB8" w:rsidRPr="00307028">
        <w:rPr>
          <w:rFonts w:eastAsia="Calibri"/>
          <w:lang w:eastAsia="en-US"/>
          <w14:ligatures w14:val="standardContextual"/>
        </w:rPr>
        <w:t>.</w:t>
      </w:r>
      <w:r w:rsidR="008508B9" w:rsidRPr="00307028">
        <w:rPr>
          <w:rFonts w:eastAsia="Calibri"/>
          <w:lang w:eastAsia="en-US"/>
          <w14:ligatures w14:val="standardContextual"/>
        </w:rPr>
        <w:t xml:space="preserve"> </w:t>
      </w:r>
      <w:r w:rsidR="00145AB8" w:rsidRPr="00307028">
        <w:rPr>
          <w:rFonts w:eastAsia="Calibri"/>
          <w:lang w:eastAsia="en-US"/>
          <w14:ligatures w14:val="standardContextual"/>
        </w:rPr>
        <w:t>P</w:t>
      </w:r>
      <w:r w:rsidR="008508B9" w:rsidRPr="00307028">
        <w:rPr>
          <w:rFonts w:eastAsia="Calibri"/>
          <w:lang w:eastAsia="en-US"/>
          <w14:ligatures w14:val="standardContextual"/>
        </w:rPr>
        <w:t>ie tam mērķdotācija tiek piešķirta pašvaldībām un citiem dibinātājiem pedagogu darba samaksas finansēšanai noteikta audzēkņu skaita (~85% no kopējā mākslu ievirzes izglītojamo skaita) izglītošanai profesionālās ievirzes izglītības programmās. Pedagogu darba samaksa par pārējiem profesionālās ievirzes izglītojamiem, kas netiek nodrošināta no valsts budžeta, un profesionālās ievirzes izglītības programmu īstenošanas izmaksas (mācību līdzekļi, saimnieciskie izdevumi u.c. nepieciešamie izdevumi) tiek segtas no izglītības iestādes dibinātāja līdzekļiem.</w:t>
      </w:r>
      <w:r w:rsidRPr="00307028">
        <w:rPr>
          <w:rFonts w:eastAsia="Calibri"/>
          <w:lang w:eastAsia="en-US"/>
          <w14:ligatures w14:val="standardContextual"/>
        </w:rPr>
        <w:t xml:space="preserve"> KM budžeta programmā 20.00.00 “Kultūrizglītība” plānotais finansējums profesionālās ievirzes kultūrā izglītības programmu finansēšanai pašvaldību un privāto dibinātāju izglītības iestādēs 2023. gadā ir 26,1 milj. </w:t>
      </w:r>
      <w:r w:rsidRPr="00307028">
        <w:rPr>
          <w:rFonts w:eastAsia="Calibri"/>
          <w:i/>
          <w:iCs/>
          <w:lang w:eastAsia="en-US"/>
          <w14:ligatures w14:val="standardContextual"/>
        </w:rPr>
        <w:t>euro</w:t>
      </w:r>
      <w:r w:rsidRPr="00307028">
        <w:rPr>
          <w:rFonts w:eastAsia="Calibri"/>
          <w:lang w:eastAsia="en-US"/>
          <w14:ligatures w14:val="standardContextual"/>
        </w:rPr>
        <w:t>, bet 2024. gadā un turpmākajos gadus ik gadu provizoriski 29,5 milj. </w:t>
      </w:r>
      <w:r w:rsidRPr="00307028">
        <w:rPr>
          <w:rFonts w:eastAsia="Calibri"/>
          <w:i/>
          <w:iCs/>
          <w:lang w:eastAsia="en-US"/>
          <w14:ligatures w14:val="standardContextual"/>
        </w:rPr>
        <w:t>euro</w:t>
      </w:r>
      <w:r w:rsidRPr="00307028">
        <w:rPr>
          <w:rFonts w:eastAsia="Calibri"/>
          <w:lang w:eastAsia="en-US"/>
          <w14:ligatures w14:val="standardContextual"/>
        </w:rPr>
        <w:t>.</w:t>
      </w:r>
    </w:p>
    <w:p w14:paraId="0DFC4667" w14:textId="52F10397" w:rsidR="004379C8" w:rsidRPr="00307028" w:rsidRDefault="00145AB8" w:rsidP="004379C8">
      <w:pPr>
        <w:spacing w:after="120" w:line="259" w:lineRule="auto"/>
        <w:ind w:firstLine="709"/>
        <w:jc w:val="both"/>
      </w:pPr>
      <w:r w:rsidRPr="00307028">
        <w:t>P</w:t>
      </w:r>
      <w:r w:rsidR="00AC6DC0" w:rsidRPr="00307028">
        <w:t>rofesionālās ievirzes izglītības programmu finansēšanas modelis ir vērtējams un pilnveidojams</w:t>
      </w:r>
      <w:r w:rsidR="004379C8" w:rsidRPr="00307028">
        <w:t>, ņemot vērā izmaiņas ārējā normatīvajā regulējumā, piemēram, pedagogu darba samaksu regulējošos normatīvajos aktos, pēc jaunizveidotā valsts profesionālās ievirzes izglītības standarta mākslu jomā apstiprināšanas, kopsakarā ar</w:t>
      </w:r>
      <w:r w:rsidR="00AC6DC0" w:rsidRPr="00307028">
        <w:t xml:space="preserve"> </w:t>
      </w:r>
      <w:bookmarkStart w:id="164" w:name="_Hlk141455607"/>
      <w:r w:rsidR="00AC6DC0" w:rsidRPr="00307028">
        <w:t xml:space="preserve">pedagogu darba samaksas finansēšanas modeļa pilnveidojumiem </w:t>
      </w:r>
      <w:bookmarkEnd w:id="164"/>
      <w:r w:rsidR="00AC6DC0" w:rsidRPr="00307028">
        <w:t>pirmsskolā, speciālajā izglītībā, vispārējā izglītībā, profesionālajā izglītībā un interešu izglītībā</w:t>
      </w:r>
      <w:r w:rsidR="004379C8" w:rsidRPr="00307028">
        <w:t>,</w:t>
      </w:r>
      <w:r w:rsidR="00AC6DC0" w:rsidRPr="00307028">
        <w:t xml:space="preserve"> ko IZM plāno paveikt līdz </w:t>
      </w:r>
      <w:r w:rsidR="004379C8" w:rsidRPr="00307028">
        <w:t>2023</w:t>
      </w:r>
      <w:r w:rsidR="00AC6DC0" w:rsidRPr="00307028">
        <w:t>.</w:t>
      </w:r>
      <w:r w:rsidR="004379C8" w:rsidRPr="00307028">
        <w:t> </w:t>
      </w:r>
      <w:r w:rsidR="00AC6DC0" w:rsidRPr="00307028">
        <w:t xml:space="preserve">gada </w:t>
      </w:r>
      <w:r w:rsidR="004379C8" w:rsidRPr="00307028">
        <w:t>1.</w:t>
      </w:r>
      <w:r w:rsidR="006278A7" w:rsidRPr="00307028">
        <w:t> </w:t>
      </w:r>
      <w:r w:rsidR="004379C8" w:rsidRPr="00307028">
        <w:t>decembrim</w:t>
      </w:r>
      <w:r w:rsidR="00AC6DC0" w:rsidRPr="00307028">
        <w:t>, iesaistot šajā novērtējumā KM kā atbildīgo par profesionālās ievirzes kultūrā izglītības programmu finansēšanu.</w:t>
      </w:r>
    </w:p>
    <w:p w14:paraId="6A9445D3" w14:textId="77777777" w:rsidR="00AE7B9D" w:rsidRPr="00307028" w:rsidRDefault="00AE7B9D" w:rsidP="00612E79">
      <w:pPr>
        <w:spacing w:after="120" w:line="259" w:lineRule="auto"/>
        <w:jc w:val="both"/>
      </w:pPr>
    </w:p>
    <w:p w14:paraId="5FD93696" w14:textId="403120E3" w:rsidR="007917E2" w:rsidRPr="00307028" w:rsidRDefault="00CE3100" w:rsidP="00B00E00">
      <w:pPr>
        <w:pStyle w:val="Heading3"/>
        <w:ind w:left="0"/>
      </w:pPr>
      <w:bookmarkStart w:id="165" w:name="_Toc142492932"/>
      <w:r w:rsidRPr="00307028">
        <w:t xml:space="preserve">3.3. </w:t>
      </w:r>
      <w:r w:rsidR="00C74069" w:rsidRPr="00307028">
        <w:t xml:space="preserve">Valsts budžeta iestāžu IKT </w:t>
      </w:r>
      <w:r w:rsidR="00C842A6" w:rsidRPr="00307028">
        <w:t>izdevumu</w:t>
      </w:r>
      <w:r w:rsidR="00C74069" w:rsidRPr="00307028">
        <w:t xml:space="preserve"> analīze</w:t>
      </w:r>
      <w:bookmarkEnd w:id="155"/>
      <w:bookmarkEnd w:id="165"/>
    </w:p>
    <w:p w14:paraId="40ECBEE1" w14:textId="77777777"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Pieaugot izdevumiem IKT jomā, šo izdevumu analīze un pilnveide ir tikusi iekļauta izdevumu pārskatīšanas tvērumā gan 2017., gan 2020. gadā. Ņemot vērā joprojām pastāvošo IKT jomas aktualitāti, izdevumu apjomus un VRP iekļautos prioritāros virzienus valsts IKT pārvaldības un datu drošības jomā, arī šogad šī tēma ir iekļauta izdevumu pārskatīšanas tvērumā, lai analizētu kādas ir minētās jomas izdevumu tendences, pilnveides iespējas, kā arī nākotnes izaicinājumi. </w:t>
      </w:r>
    </w:p>
    <w:p w14:paraId="55639E3F" w14:textId="6355E0DF"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Atbilstoši MK 2005. gada 27. decembra noteikumiem Nr.1031 “Noteikumi par budžetu izdevumu klasifikāciju atbilstoši ekonomiskajām kategorijām” IKT jomas izdevumiem kopš 2020. gada tiek izmantoti šādi EKK:</w:t>
      </w:r>
    </w:p>
    <w:p w14:paraId="69BAAEED" w14:textId="77777777" w:rsidR="00AB1A9C" w:rsidRPr="00307028" w:rsidRDefault="00AB1A9C" w:rsidP="00183D1A">
      <w:pPr>
        <w:numPr>
          <w:ilvl w:val="0"/>
          <w:numId w:val="21"/>
        </w:numPr>
        <w:spacing w:after="120" w:line="259" w:lineRule="auto"/>
        <w:ind w:left="777"/>
        <w:jc w:val="both"/>
        <w:rPr>
          <w:rFonts w:eastAsiaTheme="minorHAnsi"/>
          <w:kern w:val="2"/>
          <w:lang w:eastAsia="en-US"/>
          <w14:ligatures w14:val="standardContextual"/>
        </w:rPr>
      </w:pPr>
      <w:r w:rsidRPr="00307028">
        <w:rPr>
          <w:rFonts w:eastAsiaTheme="minorHAnsi"/>
          <w:kern w:val="2"/>
          <w:lang w:eastAsia="en-US"/>
          <w14:ligatures w14:val="standardContextual"/>
        </w:rPr>
        <w:t>EKK 2250 “Informācijas tehnoloģiju pakalpojumi”;</w:t>
      </w:r>
    </w:p>
    <w:p w14:paraId="39D5A459" w14:textId="77777777" w:rsidR="00AB1A9C" w:rsidRPr="00307028" w:rsidRDefault="00AB1A9C" w:rsidP="00183D1A">
      <w:pPr>
        <w:numPr>
          <w:ilvl w:val="0"/>
          <w:numId w:val="21"/>
        </w:numPr>
        <w:spacing w:after="120" w:line="259" w:lineRule="auto"/>
        <w:jc w:val="both"/>
        <w:rPr>
          <w:rFonts w:asciiTheme="minorHAnsi" w:eastAsiaTheme="minorHAnsi" w:hAnsiTheme="minorHAnsi" w:cstheme="minorBidi"/>
          <w:kern w:val="2"/>
          <w:sz w:val="22"/>
          <w:szCs w:val="22"/>
          <w:lang w:eastAsia="en-US"/>
          <w14:ligatures w14:val="standardContextual"/>
        </w:rPr>
      </w:pPr>
      <w:r w:rsidRPr="00307028">
        <w:rPr>
          <w:rFonts w:eastAsiaTheme="minorHAnsi"/>
          <w:kern w:val="2"/>
          <w:lang w:eastAsia="en-US"/>
          <w14:ligatures w14:val="standardContextual"/>
        </w:rPr>
        <w:lastRenderedPageBreak/>
        <w:t>EKK 5120 “Licences, koncesijas un patenti, preču zīmes un līdzīgas tiesības”;</w:t>
      </w:r>
    </w:p>
    <w:p w14:paraId="540EB389" w14:textId="77777777" w:rsidR="00AB1A9C" w:rsidRPr="00307028" w:rsidRDefault="00AB1A9C" w:rsidP="00183D1A">
      <w:pPr>
        <w:numPr>
          <w:ilvl w:val="0"/>
          <w:numId w:val="21"/>
        </w:numPr>
        <w:spacing w:after="120" w:line="259" w:lineRule="auto"/>
        <w:jc w:val="both"/>
        <w:rPr>
          <w:rFonts w:eastAsiaTheme="minorHAnsi"/>
          <w:kern w:val="2"/>
          <w:lang w:eastAsia="en-US"/>
          <w14:ligatures w14:val="standardContextual"/>
        </w:rPr>
      </w:pPr>
      <w:r w:rsidRPr="00307028">
        <w:rPr>
          <w:rFonts w:eastAsiaTheme="minorHAnsi"/>
          <w:kern w:val="2"/>
          <w:lang w:eastAsia="en-US"/>
          <w14:ligatures w14:val="standardContextual"/>
        </w:rPr>
        <w:t>EKK 5238 “Datortehnika, sakaru un cita biroja tehnika”.</w:t>
      </w:r>
    </w:p>
    <w:p w14:paraId="530A7A5E" w14:textId="496E1576" w:rsidR="00AB1A9C" w:rsidRPr="00307028" w:rsidRDefault="00AB1A9C" w:rsidP="00B00E00">
      <w:pPr>
        <w:pStyle w:val="ListParagraph"/>
        <w:spacing w:after="120" w:line="259" w:lineRule="auto"/>
        <w:ind w:left="0"/>
        <w:jc w:val="center"/>
        <w:rPr>
          <w:rFonts w:eastAsiaTheme="minorHAnsi"/>
          <w:b/>
          <w:bCs/>
          <w:kern w:val="2"/>
          <w:sz w:val="22"/>
          <w:szCs w:val="22"/>
          <w:lang w:eastAsia="en-US"/>
          <w14:ligatures w14:val="standardContextual"/>
        </w:rPr>
      </w:pPr>
      <w:r w:rsidRPr="00307028">
        <w:rPr>
          <w:rFonts w:eastAsiaTheme="minorHAnsi"/>
          <w:b/>
          <w:bCs/>
          <w:i/>
          <w:iCs/>
          <w:kern w:val="2"/>
          <w:sz w:val="22"/>
          <w:szCs w:val="22"/>
          <w:lang w:eastAsia="en-US"/>
          <w14:ligatures w14:val="standardContextual"/>
        </w:rPr>
        <w:t>3.3.1. attēls</w:t>
      </w:r>
      <w:r w:rsidRPr="00307028">
        <w:rPr>
          <w:rFonts w:eastAsiaTheme="minorHAnsi"/>
          <w:b/>
          <w:bCs/>
          <w:kern w:val="2"/>
          <w:sz w:val="22"/>
          <w:szCs w:val="22"/>
          <w:lang w:eastAsia="en-US"/>
          <w14:ligatures w14:val="standardContextual"/>
        </w:rPr>
        <w:t xml:space="preserve"> Valsts budžeta izdevumi IKT jomai, milj. </w:t>
      </w:r>
      <w:r w:rsidRPr="00307028">
        <w:rPr>
          <w:rFonts w:eastAsiaTheme="minorHAnsi"/>
          <w:b/>
          <w:bCs/>
          <w:i/>
          <w:iCs/>
          <w:kern w:val="2"/>
          <w:sz w:val="22"/>
          <w:szCs w:val="22"/>
          <w:lang w:eastAsia="en-US"/>
          <w14:ligatures w14:val="standardContextual"/>
        </w:rPr>
        <w:t>euro</w:t>
      </w:r>
      <w:r w:rsidRPr="00307028">
        <w:rPr>
          <w:b/>
          <w:bCs/>
          <w:i/>
          <w:iCs/>
          <w:vertAlign w:val="superscript"/>
          <w:lang w:eastAsia="en-US"/>
        </w:rPr>
        <w:footnoteReference w:id="84"/>
      </w:r>
    </w:p>
    <w:p w14:paraId="54053BB1" w14:textId="3D0AC1E1" w:rsidR="00AB1A9C" w:rsidRPr="00307028" w:rsidRDefault="00612E79" w:rsidP="00AB1A9C">
      <w:pPr>
        <w:spacing w:line="259" w:lineRule="auto"/>
        <w:jc w:val="center"/>
        <w:rPr>
          <w:rFonts w:eastAsiaTheme="minorHAnsi"/>
          <w:kern w:val="2"/>
          <w:lang w:eastAsia="en-US"/>
          <w14:ligatures w14:val="standardContextual"/>
        </w:rPr>
      </w:pPr>
      <w:r w:rsidRPr="00612E79">
        <w:rPr>
          <w:rFonts w:eastAsiaTheme="minorHAnsi"/>
          <w:noProof/>
          <w:kern w:val="2"/>
          <w:lang w:eastAsia="en-US"/>
          <w14:ligatures w14:val="standardContextual"/>
        </w:rPr>
        <w:drawing>
          <wp:inline distT="0" distB="0" distL="0" distR="0" wp14:anchorId="60BCA9C8" wp14:editId="70039E64">
            <wp:extent cx="4285753" cy="2375567"/>
            <wp:effectExtent l="0" t="0" r="635" b="5715"/>
            <wp:docPr id="170696526" name="Picture 1" descr="A graph of numbers an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6526" name="Picture 1" descr="A graph of numbers and numbers"/>
                    <pic:cNvPicPr/>
                  </pic:nvPicPr>
                  <pic:blipFill>
                    <a:blip r:embed="rId125"/>
                    <a:stretch>
                      <a:fillRect/>
                    </a:stretch>
                  </pic:blipFill>
                  <pic:spPr>
                    <a:xfrm>
                      <a:off x="0" y="0"/>
                      <a:ext cx="4312055" cy="2390146"/>
                    </a:xfrm>
                    <a:prstGeom prst="rect">
                      <a:avLst/>
                    </a:prstGeom>
                  </pic:spPr>
                </pic:pic>
              </a:graphicData>
            </a:graphic>
          </wp:inline>
        </w:drawing>
      </w:r>
    </w:p>
    <w:p w14:paraId="5F11772A" w14:textId="55E04F59" w:rsidR="00AE7B9D" w:rsidRPr="00612E79" w:rsidRDefault="00AB1A9C" w:rsidP="00612E79">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Attēlā Nr. 3.3.1. atainoti valsts budžeta izdevumi IKT jomai sadalījumā pa budžeta blokiem – ārvalstu finanšu palīdzība un pamatfunkcijas. Izdevumu pamatfunkciju īstenošanai pieaugums tika konstatēts gan 2017., gan 2020. gadā veiktajā izdevumu pārskatīšanā. Joprojām redzams, ka IKT jomas izdevumiem pamatfunkciju īstenošanai ir tendence pieaugt, 2022. gadā sasniedzot 54% pieaugumu pret 2017. gada izdevumiem, kamēr ĀFP īstenošanai izdevumu apmērs bija samērā vienmērīgs līdz 2021. gadam un gandrīz dubultojās 2022. gadā. Kopumā redzams, ka laika periodā no 2017. līdz 2022. gadam izdevumi pamatfunkciju īstenošanai vidēji veido 86% no kopējiem gada izdevumiem IKT jomai. Turpmāk sadaļā tiks aplūkoti izdevumi tikai pamatfunkciju īstenošanai.</w:t>
      </w:r>
    </w:p>
    <w:p w14:paraId="1F854E41" w14:textId="4316DC62" w:rsidR="00AB1A9C" w:rsidRPr="00307028" w:rsidRDefault="00E31B4E" w:rsidP="00AB1A9C">
      <w:pPr>
        <w:spacing w:after="120" w:line="259" w:lineRule="auto"/>
        <w:jc w:val="center"/>
        <w:rPr>
          <w:rFonts w:eastAsiaTheme="minorHAnsi"/>
          <w:kern w:val="2"/>
          <w:lang w:eastAsia="en-US"/>
          <w14:ligatures w14:val="standardContextual"/>
        </w:rPr>
      </w:pPr>
      <w:r w:rsidRPr="00307028">
        <w:rPr>
          <w:rFonts w:eastAsiaTheme="minorHAnsi"/>
          <w:b/>
          <w:bCs/>
          <w:i/>
          <w:iCs/>
          <w:kern w:val="2"/>
          <w:sz w:val="22"/>
          <w:szCs w:val="22"/>
          <w:lang w:eastAsia="en-US"/>
          <w14:ligatures w14:val="standardContextual"/>
        </w:rPr>
        <w:t xml:space="preserve">3.3.2. </w:t>
      </w:r>
      <w:r w:rsidR="00AB1A9C" w:rsidRPr="00307028">
        <w:rPr>
          <w:rFonts w:eastAsiaTheme="minorHAnsi"/>
          <w:b/>
          <w:bCs/>
          <w:i/>
          <w:iCs/>
          <w:kern w:val="2"/>
          <w:sz w:val="22"/>
          <w:szCs w:val="22"/>
          <w:lang w:eastAsia="en-US"/>
          <w14:ligatures w14:val="standardContextual"/>
        </w:rPr>
        <w:t>attēls</w:t>
      </w:r>
      <w:r w:rsidR="00AB1A9C" w:rsidRPr="00307028">
        <w:rPr>
          <w:rFonts w:eastAsiaTheme="minorHAnsi"/>
          <w:b/>
          <w:bCs/>
          <w:kern w:val="2"/>
          <w:sz w:val="22"/>
          <w:szCs w:val="22"/>
          <w:lang w:eastAsia="en-US"/>
          <w14:ligatures w14:val="standardContextual"/>
        </w:rPr>
        <w:t xml:space="preserve"> Valsts pamatbudžeta pamatfunkciju izdevumi resoros IKT jomā 2022. gadā, milj. </w:t>
      </w:r>
      <w:r w:rsidR="00AB1A9C" w:rsidRPr="00307028">
        <w:rPr>
          <w:rFonts w:eastAsiaTheme="minorHAnsi"/>
          <w:b/>
          <w:bCs/>
          <w:i/>
          <w:iCs/>
          <w:kern w:val="2"/>
          <w:sz w:val="22"/>
          <w:szCs w:val="22"/>
          <w:lang w:eastAsia="en-US"/>
          <w14:ligatures w14:val="standardContextual"/>
        </w:rPr>
        <w:t>euro</w:t>
      </w:r>
    </w:p>
    <w:p w14:paraId="5817E416" w14:textId="77777777" w:rsidR="00AB1A9C" w:rsidRPr="00307028" w:rsidRDefault="00AB1A9C" w:rsidP="00AB1A9C">
      <w:pPr>
        <w:spacing w:line="259" w:lineRule="auto"/>
        <w:jc w:val="center"/>
        <w:rPr>
          <w:rFonts w:eastAsiaTheme="minorHAnsi"/>
          <w:kern w:val="2"/>
          <w:lang w:eastAsia="en-US"/>
          <w14:ligatures w14:val="standardContextual"/>
        </w:rPr>
      </w:pPr>
      <w:r w:rsidRPr="00307028">
        <w:rPr>
          <w:rFonts w:eastAsiaTheme="minorHAnsi"/>
          <w:noProof/>
          <w:kern w:val="2"/>
          <w:lang w:eastAsia="en-US"/>
          <w14:ligatures w14:val="standardContextual"/>
        </w:rPr>
        <w:drawing>
          <wp:inline distT="0" distB="0" distL="0" distR="0" wp14:anchorId="6382C110" wp14:editId="0453FEB7">
            <wp:extent cx="5631815" cy="3053301"/>
            <wp:effectExtent l="0" t="0" r="6985" b="0"/>
            <wp:docPr id="1498250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64314" cy="3070920"/>
                    </a:xfrm>
                    <a:prstGeom prst="rect">
                      <a:avLst/>
                    </a:prstGeom>
                    <a:noFill/>
                  </pic:spPr>
                </pic:pic>
              </a:graphicData>
            </a:graphic>
          </wp:inline>
        </w:drawing>
      </w:r>
    </w:p>
    <w:p w14:paraId="492AB27B" w14:textId="3C155EC0" w:rsidR="00A73B4C" w:rsidRPr="00307028" w:rsidRDefault="00AB1A9C" w:rsidP="00AE7B9D">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lastRenderedPageBreak/>
        <w:t>Analizējot 2022. gada faktiskos izdevumus pamatfunkciju īstenošanai IKT jomā sadalījumā pa resoriem (Attēls Nr.</w:t>
      </w:r>
      <w:r w:rsidR="00E31B4E" w:rsidRPr="00307028">
        <w:rPr>
          <w:rFonts w:eastAsiaTheme="minorHAnsi"/>
          <w:kern w:val="2"/>
          <w:lang w:eastAsia="en-US"/>
          <w14:ligatures w14:val="standardContextual"/>
        </w:rPr>
        <w:t xml:space="preserve"> 3.3.2.</w:t>
      </w:r>
      <w:r w:rsidRPr="00307028">
        <w:rPr>
          <w:rFonts w:eastAsiaTheme="minorHAnsi"/>
          <w:kern w:val="2"/>
          <w:lang w:eastAsia="en-US"/>
          <w14:ligatures w14:val="standardContextual"/>
        </w:rPr>
        <w:t xml:space="preserve">), konstatēts, ka lielākie izdevumi veikti AiM budžetā, vairāk ieguldot kapitālajos izdevumos nekā IT pakalpojumos. Turpretī FM izdevumus pamatfunkciju īstenošanai IKT jomā pamatā veidoja IT pakalpojumi (85%). Vislielākie izdevumi pamatfunkciju īstenošanai IKT jomā ir AiM, IeM un FM. </w:t>
      </w:r>
    </w:p>
    <w:p w14:paraId="4016EC9F" w14:textId="5D135181" w:rsidR="00AB1A9C" w:rsidRPr="00307028" w:rsidRDefault="00E31B4E" w:rsidP="00AB1A9C">
      <w:pPr>
        <w:spacing w:after="120" w:line="259" w:lineRule="auto"/>
        <w:jc w:val="center"/>
        <w:rPr>
          <w:rFonts w:eastAsiaTheme="minorHAnsi"/>
          <w:kern w:val="2"/>
          <w:lang w:eastAsia="en-US"/>
          <w14:ligatures w14:val="standardContextual"/>
        </w:rPr>
      </w:pPr>
      <w:r w:rsidRPr="00307028">
        <w:rPr>
          <w:rFonts w:eastAsiaTheme="minorHAnsi"/>
          <w:b/>
          <w:bCs/>
          <w:i/>
          <w:iCs/>
          <w:kern w:val="2"/>
          <w:sz w:val="22"/>
          <w:szCs w:val="22"/>
          <w:lang w:eastAsia="en-US"/>
          <w14:ligatures w14:val="standardContextual"/>
        </w:rPr>
        <w:t xml:space="preserve">3.3.3. </w:t>
      </w:r>
      <w:r w:rsidR="00AB1A9C" w:rsidRPr="00307028">
        <w:rPr>
          <w:rFonts w:eastAsiaTheme="minorHAnsi"/>
          <w:b/>
          <w:bCs/>
          <w:i/>
          <w:iCs/>
          <w:kern w:val="2"/>
          <w:sz w:val="22"/>
          <w:szCs w:val="22"/>
          <w:lang w:eastAsia="en-US"/>
          <w14:ligatures w14:val="standardContextual"/>
        </w:rPr>
        <w:t>attēls</w:t>
      </w:r>
      <w:r w:rsidR="00AB1A9C" w:rsidRPr="00307028">
        <w:rPr>
          <w:rFonts w:eastAsiaTheme="minorHAnsi"/>
          <w:kern w:val="2"/>
          <w:sz w:val="22"/>
          <w:szCs w:val="22"/>
          <w:lang w:eastAsia="en-US"/>
          <w14:ligatures w14:val="standardContextual"/>
        </w:rPr>
        <w:t xml:space="preserve"> </w:t>
      </w:r>
      <w:r w:rsidR="00AB1A9C" w:rsidRPr="00307028">
        <w:rPr>
          <w:rFonts w:eastAsiaTheme="minorHAnsi"/>
          <w:b/>
          <w:bCs/>
          <w:kern w:val="2"/>
          <w:sz w:val="22"/>
          <w:szCs w:val="22"/>
          <w:lang w:eastAsia="en-US"/>
          <w14:ligatures w14:val="standardContextual"/>
        </w:rPr>
        <w:t xml:space="preserve">Valsts pamatbudžeta pamatfunkciju izdevumi resoros IKT jomā 2017. – 2022. gadā, milj. </w:t>
      </w:r>
      <w:r w:rsidR="00AB1A9C" w:rsidRPr="00307028">
        <w:rPr>
          <w:rFonts w:eastAsiaTheme="minorHAnsi"/>
          <w:b/>
          <w:bCs/>
          <w:i/>
          <w:iCs/>
          <w:kern w:val="2"/>
          <w:sz w:val="22"/>
          <w:szCs w:val="22"/>
          <w:lang w:eastAsia="en-US"/>
          <w14:ligatures w14:val="standardContextual"/>
        </w:rPr>
        <w:t>euro</w:t>
      </w:r>
    </w:p>
    <w:p w14:paraId="4A805585" w14:textId="77777777" w:rsidR="00AB1A9C" w:rsidRPr="00307028" w:rsidRDefault="00AB1A9C" w:rsidP="00AB1A9C">
      <w:pPr>
        <w:spacing w:line="259" w:lineRule="auto"/>
        <w:jc w:val="both"/>
        <w:rPr>
          <w:rFonts w:eastAsiaTheme="minorHAnsi"/>
          <w:kern w:val="2"/>
          <w:lang w:eastAsia="en-US"/>
          <w14:ligatures w14:val="standardContextual"/>
        </w:rPr>
      </w:pPr>
      <w:r w:rsidRPr="00307028">
        <w:rPr>
          <w:rFonts w:eastAsiaTheme="minorHAnsi"/>
          <w:noProof/>
          <w:kern w:val="2"/>
          <w:lang w:eastAsia="en-US"/>
          <w14:ligatures w14:val="standardContextual"/>
        </w:rPr>
        <w:drawing>
          <wp:inline distT="0" distB="0" distL="0" distR="0" wp14:anchorId="5F779E93" wp14:editId="0B0B5F12">
            <wp:extent cx="5695296" cy="2844800"/>
            <wp:effectExtent l="0" t="0" r="1270" b="0"/>
            <wp:docPr id="2049900132" name="Picture 3"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00132" name="Picture 3" descr="A graph of blue and white bars&#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20516" cy="2857397"/>
                    </a:xfrm>
                    <a:prstGeom prst="rect">
                      <a:avLst/>
                    </a:prstGeom>
                    <a:noFill/>
                  </pic:spPr>
                </pic:pic>
              </a:graphicData>
            </a:graphic>
          </wp:inline>
        </w:drawing>
      </w:r>
    </w:p>
    <w:p w14:paraId="385DAD47" w14:textId="24F51815"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Analizējot pamatfunkciju izdevumus pa gadiem (Attēls Nr. </w:t>
      </w:r>
      <w:r w:rsidR="00E31B4E" w:rsidRPr="00307028">
        <w:rPr>
          <w:rFonts w:eastAsiaTheme="minorHAnsi"/>
          <w:kern w:val="2"/>
          <w:lang w:eastAsia="en-US"/>
          <w14:ligatures w14:val="standardContextual"/>
        </w:rPr>
        <w:t>3.3.3.</w:t>
      </w:r>
      <w:r w:rsidRPr="00307028">
        <w:rPr>
          <w:rFonts w:eastAsiaTheme="minorHAnsi"/>
          <w:kern w:val="2"/>
          <w:lang w:eastAsia="en-US"/>
          <w14:ligatures w14:val="standardContextual"/>
        </w:rPr>
        <w:t xml:space="preserve">), redzams, ka IKT jomas izdevumiem kopumā ir pieaugoša dinamika. Atsevišķiem resoriem 2020. un 2021. gadā var redzēt ļoti strauju izdevumu kāpumu, kas daļēji ir saistīts ar Covid-19 pandēmijas izraisītajām sekām, kad valsts pārvalde bija spiesta strauji pāriet uz attālināto darbu. </w:t>
      </w:r>
    </w:p>
    <w:p w14:paraId="7CCD4E16" w14:textId="364FD13F"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Analizējot 2022. gada izpildes datus</w:t>
      </w:r>
      <w:r w:rsidR="004C3269"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konstatēts, ka ZM izdevumi IKT jomā par 142% jeb 6,9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pārsniedza 2021. gada izdevumus un pamatā pārsniegums saistīts ar pieaugošiem kapitālajiem izdevumiem. Vienlai</w:t>
      </w:r>
      <w:r w:rsidR="004C3269" w:rsidRPr="00307028">
        <w:rPr>
          <w:rFonts w:eastAsiaTheme="minorHAnsi"/>
          <w:kern w:val="2"/>
          <w:lang w:eastAsia="en-US"/>
          <w14:ligatures w14:val="standardContextual"/>
        </w:rPr>
        <w:t>kus</w:t>
      </w:r>
      <w:r w:rsidRPr="00307028">
        <w:rPr>
          <w:rFonts w:eastAsiaTheme="minorHAnsi"/>
          <w:kern w:val="2"/>
          <w:lang w:eastAsia="en-US"/>
          <w14:ligatures w14:val="standardContextual"/>
        </w:rPr>
        <w:t xml:space="preserve"> arī IeM un VM izdevumi 2022.</w:t>
      </w:r>
      <w:r w:rsidR="004C3269"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gadā strauji pieauga, palielinoties attiecīgi par 78% jeb 7,6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un 45% jeb 2,3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salīdzinājumā ar 2021. gada IKT jomas izdevumiem. IeM konstatēts ievērojams pieaugums tehnikas izdevumiem, veidojot 186% palielinājumu, ka arī IT pakalpojumos, kamēr VM konstatēts IT pakalpojumu izdevumu pieaugums, veidojot 74% pieaugumu.</w:t>
      </w:r>
    </w:p>
    <w:p w14:paraId="6B39A544" w14:textId="1852604F"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ES </w:t>
      </w:r>
      <w:r w:rsidR="001240F8" w:rsidRPr="00307028">
        <w:rPr>
          <w:rFonts w:eastAsiaTheme="minorHAnsi"/>
          <w:kern w:val="2"/>
          <w:lang w:eastAsia="en-US"/>
          <w14:ligatures w14:val="standardContextual"/>
        </w:rPr>
        <w:t>ANM</w:t>
      </w:r>
      <w:r w:rsidRPr="00307028">
        <w:rPr>
          <w:rFonts w:eastAsiaTheme="minorHAnsi"/>
          <w:kern w:val="2"/>
          <w:lang w:eastAsia="en-US"/>
          <w14:ligatures w14:val="standardContextual"/>
        </w:rPr>
        <w:t xml:space="preserve"> plāna ietvaros Latvijai ir iespēja pieteikties finansējumam un īstenot projektus digitālās transformācijas virzienā, kuru rezultātā tiks modernizēta valsts pārvalde, nodrošināta procesu automatizācija un efektivitāte, izveidoti koplietošanas pakalpojumu sniegšanas kompetences centri, nodrošināta datu un pakalpojumu pieejamība un koplietošana. </w:t>
      </w:r>
    </w:p>
    <w:p w14:paraId="1D860489" w14:textId="77777777"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Vienlaikus ir jāatzīmē, ka ANM īstenoto projektu ietvaros izveidojušos uzturēšanas izdevumus ir paredzēts segt pamatā pieprasot papildu finansējumu no valsts budžeta, kas provizoriski varētu veidot apmēram 8,9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gadā</w:t>
      </w:r>
      <w:r w:rsidRPr="00307028">
        <w:rPr>
          <w:rFonts w:eastAsiaTheme="minorHAnsi"/>
          <w:kern w:val="2"/>
          <w:vertAlign w:val="superscript"/>
          <w:lang w:eastAsia="en-US"/>
          <w14:ligatures w14:val="standardContextual"/>
        </w:rPr>
        <w:footnoteReference w:id="85"/>
      </w:r>
      <w:r w:rsidRPr="00307028">
        <w:rPr>
          <w:rFonts w:eastAsiaTheme="minorHAnsi"/>
          <w:kern w:val="2"/>
          <w:lang w:eastAsia="en-US"/>
          <w14:ligatures w14:val="standardContextual"/>
        </w:rPr>
        <w:t xml:space="preserve">. </w:t>
      </w:r>
    </w:p>
    <w:p w14:paraId="38362986" w14:textId="1AE0B316" w:rsidR="00A73B4C" w:rsidRPr="00307028" w:rsidRDefault="00AB1A9C" w:rsidP="00AE7B9D">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Izdevumu pārskatīšanā tika iekļauta analīze par amatu slodzēm un vidējo mēnešalgu ministrijās un to padotības iestādēs IKT jomā (19. amatu saime – atbilstoši Amatu katalogam, kurš bija spēkā līdz 2022. gada 30. jūnijam) par laika periodu no 2018. līdz 2022. gadam.</w:t>
      </w:r>
    </w:p>
    <w:p w14:paraId="03762EC4" w14:textId="1FB9DBE8" w:rsidR="00AB1A9C" w:rsidRPr="00307028" w:rsidRDefault="00B71661" w:rsidP="00AB1A9C">
      <w:pPr>
        <w:spacing w:after="120" w:line="259" w:lineRule="auto"/>
        <w:jc w:val="center"/>
        <w:rPr>
          <w:rFonts w:eastAsiaTheme="minorHAnsi"/>
          <w:kern w:val="2"/>
          <w:lang w:eastAsia="en-US"/>
          <w14:ligatures w14:val="standardContextual"/>
        </w:rPr>
      </w:pPr>
      <w:r w:rsidRPr="00307028">
        <w:rPr>
          <w:rFonts w:eastAsiaTheme="minorHAnsi"/>
          <w:b/>
          <w:bCs/>
          <w:i/>
          <w:iCs/>
          <w:kern w:val="2"/>
          <w:sz w:val="22"/>
          <w:szCs w:val="22"/>
          <w:lang w:eastAsia="en-US"/>
          <w14:ligatures w14:val="standardContextual"/>
        </w:rPr>
        <w:lastRenderedPageBreak/>
        <w:t xml:space="preserve">3.3.4. </w:t>
      </w:r>
      <w:r w:rsidR="00AB1A9C" w:rsidRPr="00307028">
        <w:rPr>
          <w:rFonts w:eastAsiaTheme="minorHAnsi"/>
          <w:b/>
          <w:bCs/>
          <w:i/>
          <w:iCs/>
          <w:kern w:val="2"/>
          <w:sz w:val="22"/>
          <w:szCs w:val="22"/>
          <w:lang w:eastAsia="en-US"/>
          <w14:ligatures w14:val="standardContextual"/>
        </w:rPr>
        <w:t>attēls</w:t>
      </w:r>
      <w:r w:rsidR="00AB1A9C" w:rsidRPr="00307028">
        <w:rPr>
          <w:rFonts w:eastAsiaTheme="minorHAnsi"/>
          <w:b/>
          <w:bCs/>
          <w:kern w:val="2"/>
          <w:sz w:val="22"/>
          <w:szCs w:val="22"/>
          <w:lang w:eastAsia="en-US"/>
          <w14:ligatures w14:val="standardContextual"/>
        </w:rPr>
        <w:t xml:space="preserve"> Valsts budžeta finansējums IKT jomā strādājošajiem sadalījumā pa resoriem 2022. gadā</w:t>
      </w:r>
      <w:r w:rsidR="00AB1A9C" w:rsidRPr="00307028">
        <w:rPr>
          <w:rFonts w:eastAsiaTheme="minorHAnsi"/>
          <w:b/>
          <w:bCs/>
          <w:kern w:val="2"/>
          <w:sz w:val="22"/>
          <w:szCs w:val="22"/>
          <w:vertAlign w:val="superscript"/>
          <w:lang w:eastAsia="en-US"/>
          <w14:ligatures w14:val="standardContextual"/>
        </w:rPr>
        <w:footnoteReference w:id="86"/>
      </w:r>
    </w:p>
    <w:p w14:paraId="67ECBF89" w14:textId="77777777" w:rsidR="00AB1A9C" w:rsidRPr="00307028" w:rsidRDefault="00AB1A9C" w:rsidP="00AB1A9C">
      <w:pPr>
        <w:spacing w:line="259" w:lineRule="auto"/>
        <w:jc w:val="center"/>
        <w:rPr>
          <w:rFonts w:eastAsiaTheme="minorHAnsi"/>
          <w:kern w:val="2"/>
          <w:lang w:eastAsia="en-US"/>
          <w14:ligatures w14:val="standardContextual"/>
        </w:rPr>
      </w:pPr>
      <w:r w:rsidRPr="00307028">
        <w:rPr>
          <w:rFonts w:eastAsiaTheme="minorHAnsi"/>
          <w:noProof/>
          <w:kern w:val="2"/>
          <w:lang w:eastAsia="en-US"/>
          <w14:ligatures w14:val="standardContextual"/>
        </w:rPr>
        <w:drawing>
          <wp:inline distT="0" distB="0" distL="0" distR="0" wp14:anchorId="4E4AFE12" wp14:editId="2E01CBC9">
            <wp:extent cx="5642909" cy="2794000"/>
            <wp:effectExtent l="0" t="0" r="0" b="6350"/>
            <wp:docPr id="1995981614" name="Picture 3" descr="A graph with a blue line and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81614" name="Picture 3" descr="A graph with a blue line and a blue line&#10;&#10;Description automatically generat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67023" cy="2805940"/>
                    </a:xfrm>
                    <a:prstGeom prst="rect">
                      <a:avLst/>
                    </a:prstGeom>
                    <a:noFill/>
                  </pic:spPr>
                </pic:pic>
              </a:graphicData>
            </a:graphic>
          </wp:inline>
        </w:drawing>
      </w:r>
    </w:p>
    <w:p w14:paraId="18254C02" w14:textId="255F582C" w:rsidR="00F7258A" w:rsidRPr="00612E79" w:rsidRDefault="00AB1A9C" w:rsidP="00612E79">
      <w:pPr>
        <w:spacing w:after="120" w:line="259" w:lineRule="auto"/>
        <w:jc w:val="both"/>
        <w:rPr>
          <w:rFonts w:eastAsiaTheme="minorHAnsi"/>
          <w:kern w:val="2"/>
          <w:lang w:eastAsia="en-US"/>
          <w14:ligatures w14:val="standardContextual"/>
        </w:rPr>
      </w:pPr>
      <w:r w:rsidRPr="00307028">
        <w:rPr>
          <w:rFonts w:eastAsiaTheme="minorHAnsi"/>
          <w:kern w:val="2"/>
          <w:lang w:eastAsia="en-US"/>
          <w14:ligatures w14:val="standardContextual"/>
        </w:rPr>
        <w:tab/>
        <w:t>Attēlā</w:t>
      </w:r>
      <w:r w:rsidR="00371B8D" w:rsidRPr="00307028">
        <w:rPr>
          <w:rFonts w:eastAsiaTheme="minorHAnsi"/>
          <w:kern w:val="2"/>
          <w:lang w:eastAsia="en-US"/>
          <w14:ligatures w14:val="standardContextual"/>
        </w:rPr>
        <w:t xml:space="preserve"> Nr. 3.3.4.</w:t>
      </w:r>
      <w:r w:rsidRPr="00307028">
        <w:rPr>
          <w:rFonts w:eastAsiaTheme="minorHAnsi"/>
          <w:kern w:val="2"/>
          <w:lang w:eastAsia="en-US"/>
          <w14:ligatures w14:val="standardContextual"/>
        </w:rPr>
        <w:t xml:space="preserve"> ir norādīts valsts budžeta finansējums atlīdzībai un VSAOI IKT jomā strādājošiem darbiniekiem un to vidējais mēneša atalgojums (neiekļaujot piemaksas un pabalstus) sadalījumā pa resoriem. IKT jomā strādājošiem 2022. gadā atlīdzībai tika novirzīts par 57% lielāks finansējums nekā 2017. gadā, jeb 30,1 milj.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No attēla datiem izriet, ka IKT jomas speciālisti vislabāk tiek atalgoti SM resorā, vidēji saņemot 1 848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mēnesī, bet viszemāk atalgoti IZM resora darbinieki, saņemot vidēji 1 001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mēnesī. Vienas slodzes vidējais IKT jomas atalgojums 2022. gadā ir 1 398 </w:t>
      </w:r>
      <w:r w:rsidRPr="00307028">
        <w:rPr>
          <w:rFonts w:eastAsiaTheme="minorHAnsi"/>
          <w:i/>
          <w:iCs/>
          <w:kern w:val="2"/>
          <w:lang w:eastAsia="en-US"/>
          <w14:ligatures w14:val="standardContextual"/>
        </w:rPr>
        <w:t>euro</w:t>
      </w:r>
      <w:r w:rsidRPr="00307028">
        <w:rPr>
          <w:rFonts w:eastAsiaTheme="minorHAnsi"/>
          <w:kern w:val="2"/>
          <w:lang w:eastAsia="en-US"/>
          <w14:ligatures w14:val="standardContextual"/>
        </w:rPr>
        <w:t xml:space="preserve"> mēnesī.</w:t>
      </w:r>
    </w:p>
    <w:p w14:paraId="57A0DE43" w14:textId="0DBC9ED0" w:rsidR="00AB1A9C" w:rsidRPr="00307028" w:rsidRDefault="00371B8D" w:rsidP="00AB1A9C">
      <w:pPr>
        <w:spacing w:after="120" w:line="259" w:lineRule="auto"/>
        <w:jc w:val="center"/>
        <w:rPr>
          <w:rFonts w:eastAsiaTheme="minorHAnsi"/>
          <w:kern w:val="2"/>
          <w:lang w:eastAsia="en-US"/>
          <w14:ligatures w14:val="standardContextual"/>
        </w:rPr>
      </w:pPr>
      <w:r w:rsidRPr="00307028">
        <w:rPr>
          <w:rFonts w:eastAsiaTheme="minorHAnsi"/>
          <w:b/>
          <w:bCs/>
          <w:i/>
          <w:iCs/>
          <w:kern w:val="2"/>
          <w:sz w:val="22"/>
          <w:szCs w:val="22"/>
          <w:lang w:eastAsia="en-US"/>
          <w14:ligatures w14:val="standardContextual"/>
        </w:rPr>
        <w:t xml:space="preserve">3.3.5. </w:t>
      </w:r>
      <w:r w:rsidR="00AB1A9C" w:rsidRPr="00307028">
        <w:rPr>
          <w:rFonts w:eastAsiaTheme="minorHAnsi"/>
          <w:b/>
          <w:bCs/>
          <w:i/>
          <w:iCs/>
          <w:kern w:val="2"/>
          <w:sz w:val="22"/>
          <w:szCs w:val="22"/>
          <w:lang w:eastAsia="en-US"/>
          <w14:ligatures w14:val="standardContextual"/>
        </w:rPr>
        <w:t>attēls</w:t>
      </w:r>
      <w:r w:rsidR="00AB1A9C" w:rsidRPr="00307028">
        <w:rPr>
          <w:rFonts w:eastAsiaTheme="minorHAnsi"/>
          <w:b/>
          <w:bCs/>
          <w:kern w:val="2"/>
          <w:sz w:val="22"/>
          <w:szCs w:val="22"/>
          <w:lang w:eastAsia="en-US"/>
          <w14:ligatures w14:val="standardContextual"/>
        </w:rPr>
        <w:t xml:space="preserve"> Slodžu skaits IKT jomā sadalījumā pa resoriem 2018. – 2022. gadā</w:t>
      </w:r>
      <w:r w:rsidR="00AB1A9C" w:rsidRPr="00307028">
        <w:rPr>
          <w:rFonts w:eastAsiaTheme="minorHAnsi"/>
          <w:b/>
          <w:bCs/>
          <w:kern w:val="2"/>
          <w:sz w:val="22"/>
          <w:szCs w:val="22"/>
          <w:vertAlign w:val="superscript"/>
          <w:lang w:eastAsia="en-US"/>
          <w14:ligatures w14:val="standardContextual"/>
        </w:rPr>
        <w:footnoteReference w:id="87"/>
      </w:r>
    </w:p>
    <w:p w14:paraId="517B8F33" w14:textId="77777777" w:rsidR="00AB1A9C" w:rsidRPr="00307028" w:rsidRDefault="00AB1A9C" w:rsidP="00AB1A9C">
      <w:pPr>
        <w:spacing w:line="259" w:lineRule="auto"/>
        <w:jc w:val="center"/>
        <w:rPr>
          <w:rFonts w:eastAsiaTheme="minorHAnsi"/>
          <w:kern w:val="2"/>
          <w:lang w:eastAsia="en-US"/>
          <w14:ligatures w14:val="standardContextual"/>
        </w:rPr>
      </w:pPr>
      <w:r w:rsidRPr="00307028">
        <w:rPr>
          <w:rFonts w:eastAsiaTheme="minorHAnsi"/>
          <w:noProof/>
          <w:kern w:val="2"/>
          <w:lang w:eastAsia="en-US"/>
          <w14:ligatures w14:val="standardContextual"/>
        </w:rPr>
        <w:drawing>
          <wp:inline distT="0" distB="0" distL="0" distR="0" wp14:anchorId="15F3B04B" wp14:editId="40BEF1A8">
            <wp:extent cx="5692595" cy="2254250"/>
            <wp:effectExtent l="0" t="0" r="3810" b="0"/>
            <wp:docPr id="411807987"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07987" name="Picture 2" descr="A graph of different colored bars&#10;&#10;Description automatically generate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30439" cy="2269236"/>
                    </a:xfrm>
                    <a:prstGeom prst="rect">
                      <a:avLst/>
                    </a:prstGeom>
                    <a:noFill/>
                  </pic:spPr>
                </pic:pic>
              </a:graphicData>
            </a:graphic>
          </wp:inline>
        </w:drawing>
      </w:r>
    </w:p>
    <w:p w14:paraId="0C316FB9" w14:textId="4DAE4F84" w:rsidR="00AB1A9C" w:rsidRPr="00307028" w:rsidRDefault="00AB1A9C" w:rsidP="00AB1A9C">
      <w:pPr>
        <w:spacing w:before="120"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Aplūkojot kopējo slodžu skaitu ministrijās un to padotības iestādēs</w:t>
      </w:r>
      <w:r w:rsidR="004C3269"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ir redzams, ka pēdējo gadu laikā visos resoros (izņemot ZM) IKT jomā strādājošo skaits ir pieaudzis vidēji par 13%</w:t>
      </w:r>
      <w:r w:rsidR="004C3269"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sasniedzot 1 431 slodz</w:t>
      </w:r>
      <w:r w:rsidR="00371B8D" w:rsidRPr="00307028">
        <w:rPr>
          <w:rFonts w:eastAsiaTheme="minorHAnsi"/>
          <w:kern w:val="2"/>
          <w:lang w:eastAsia="en-US"/>
          <w14:ligatures w14:val="standardContextual"/>
        </w:rPr>
        <w:t>i</w:t>
      </w:r>
      <w:r w:rsidRPr="00307028">
        <w:rPr>
          <w:rFonts w:eastAsiaTheme="minorHAnsi"/>
          <w:kern w:val="2"/>
          <w:lang w:eastAsia="en-US"/>
          <w14:ligatures w14:val="standardContextual"/>
        </w:rPr>
        <w:t xml:space="preserve">. </w:t>
      </w:r>
    </w:p>
    <w:p w14:paraId="5F97B7AA" w14:textId="77777777"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Analīzes rezultātā secināms, ka ministrijām un to padotības iestādēm nepieciešams vērtēt iespēju konsolidēt IKT jomas slodzes vismaz resoru līmenī vai izmantot koplietošanas pakalpojumu centrus. IKT jomas darba specifika pamatā ļauj attālināti veikt nepieciešamās </w:t>
      </w:r>
      <w:r w:rsidRPr="00307028">
        <w:rPr>
          <w:rFonts w:eastAsiaTheme="minorHAnsi"/>
          <w:kern w:val="2"/>
          <w:lang w:eastAsia="en-US"/>
          <w14:ligatures w14:val="standardContextual"/>
        </w:rPr>
        <w:lastRenderedPageBreak/>
        <w:t xml:space="preserve">darbības, līdz ar to minētās jomas speciālists var būt atsaistīts no kādas konkrētas iestādes un veiksmīgi pildīt darba pienākumus, nodrošinot atbalsta funkcijas vairākām iestādēm vienlaicīgi. </w:t>
      </w:r>
    </w:p>
    <w:p w14:paraId="5A6DDC15" w14:textId="4193EBFE"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Ieteikum</w:t>
      </w:r>
      <w:r w:rsidR="004C3269" w:rsidRPr="00307028">
        <w:rPr>
          <w:rFonts w:eastAsiaTheme="minorHAnsi"/>
          <w:kern w:val="2"/>
          <w:lang w:eastAsia="en-US"/>
          <w14:ligatures w14:val="standardContextual"/>
        </w:rPr>
        <w:t>u</w:t>
      </w:r>
      <w:r w:rsidRPr="00307028">
        <w:rPr>
          <w:rFonts w:eastAsiaTheme="minorHAnsi"/>
          <w:kern w:val="2"/>
          <w:lang w:eastAsia="en-US"/>
          <w14:ligatures w14:val="standardContextual"/>
        </w:rPr>
        <w:t xml:space="preserve"> par IKT jomas slodžu konsolidāciju resoru līmenī sāka attīstīt jau 2013. gadā un saskaņā ar MK 2013. gada 19. februāra rīkojumu Nr.57 “Par koncepciju “Valsts informācijas un komunikācijas tehnoloģiju pārvaldības organizatoriskais modelis”” visām ministrijām tika uzdots izveidot centralizētu IKT pārvaldības organizāciju savā resorā</w:t>
      </w:r>
      <w:r w:rsidRPr="00307028">
        <w:rPr>
          <w:rFonts w:eastAsiaTheme="minorHAnsi"/>
          <w:kern w:val="2"/>
          <w:vertAlign w:val="superscript"/>
          <w:lang w:eastAsia="en-US"/>
          <w14:ligatures w14:val="standardContextual"/>
        </w:rPr>
        <w:footnoteReference w:id="88"/>
      </w:r>
      <w:r w:rsidRPr="00307028">
        <w:rPr>
          <w:rFonts w:eastAsiaTheme="minorHAnsi"/>
          <w:kern w:val="2"/>
          <w:lang w:eastAsia="en-US"/>
          <w14:ligatures w14:val="standardContextual"/>
        </w:rPr>
        <w:t xml:space="preserve">. Analīzes rezultātā </w:t>
      </w:r>
      <w:r w:rsidR="004C3269" w:rsidRPr="00307028">
        <w:rPr>
          <w:rFonts w:eastAsiaTheme="minorHAnsi"/>
          <w:kern w:val="2"/>
          <w:lang w:eastAsia="en-US"/>
          <w14:ligatures w14:val="standardContextual"/>
        </w:rPr>
        <w:t xml:space="preserve">konstatēts, ka </w:t>
      </w:r>
      <w:r w:rsidRPr="00307028">
        <w:rPr>
          <w:rFonts w:eastAsiaTheme="minorHAnsi"/>
          <w:kern w:val="2"/>
          <w:lang w:eastAsia="en-US"/>
          <w14:ligatures w14:val="standardContextual"/>
        </w:rPr>
        <w:t xml:space="preserve">minētais uzdevums joprojām nav īstenots. </w:t>
      </w:r>
    </w:p>
    <w:p w14:paraId="43A0FDFA" w14:textId="77777777"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Digitālās transformācijas pamatnostādnēs 2021.–2027. gadam</w:t>
      </w:r>
      <w:r w:rsidRPr="00307028">
        <w:rPr>
          <w:rFonts w:eastAsiaTheme="minorHAnsi"/>
          <w:kern w:val="2"/>
          <w:vertAlign w:val="superscript"/>
          <w:lang w:eastAsia="en-US"/>
          <w14:ligatures w14:val="standardContextual"/>
        </w:rPr>
        <w:footnoteReference w:id="89"/>
      </w:r>
      <w:r w:rsidRPr="00307028">
        <w:rPr>
          <w:rFonts w:eastAsiaTheme="minorHAnsi"/>
          <w:kern w:val="2"/>
          <w:lang w:eastAsia="en-US"/>
          <w14:ligatures w14:val="standardContextual"/>
        </w:rPr>
        <w:t xml:space="preserve">, kas tika apstiprinātas ar MK 2021. gada 7. jūlija rīkojumu Nr. 490, kā viena no attīstības jomām ir izvēlēta “Tautsaimniecības (t.sk valsts pārvaldes) digitālā transformācija”. Tās ietvaros ir noteikts rīcības virziens “Racionāls valsts pārvaldes tehnoloģiju atbalsts” un tam pakārtots apakšvirziens “4.4.10.1. Cilvēkresursi – IKT prasmju un kompetenču konsolidācija”, nosakot vīziju, ka iestādes nenoslogo sevi ar IKT atbalsta pakalpojumiem, bet koncentrējas un resursus uztur tikai pamatdarbības attīstībai. IKT attīstības un atbalsta kompetences tiek mērķtiecīgi konsolidētas, efektīvi izmantojot pieejamos cilvēkresursus un kompetences, tās grupējot pēc līdzīgām uzdevumu pazīmēm. </w:t>
      </w:r>
    </w:p>
    <w:p w14:paraId="123C2C53" w14:textId="77F6F94F" w:rsidR="00AB1A9C" w:rsidRPr="00307028" w:rsidRDefault="00AB1A9C" w:rsidP="00AB1A9C">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Jāatzīmē, ka</w:t>
      </w:r>
      <w:r w:rsidR="004C3269"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pamatojoties uz IKT jomas slodžu datiem ministrijās un to padotības iestādēs, redzams, ka gandrīz ikvienā iestādē ir nodarbināts viens vai vairāki IKT jomas </w:t>
      </w:r>
      <w:r w:rsidR="00840A54" w:rsidRPr="00307028">
        <w:rPr>
          <w:rFonts w:eastAsiaTheme="minorHAnsi"/>
          <w:kern w:val="2"/>
          <w:lang w:eastAsia="en-US"/>
          <w14:ligatures w14:val="standardContextual"/>
        </w:rPr>
        <w:t>d</w:t>
      </w:r>
      <w:r w:rsidRPr="00307028">
        <w:rPr>
          <w:rFonts w:eastAsiaTheme="minorHAnsi"/>
          <w:kern w:val="2"/>
          <w:lang w:eastAsia="en-US"/>
          <w14:ligatures w14:val="standardContextual"/>
        </w:rPr>
        <w:t xml:space="preserve">arbinieki, kas liecina par to, ka IKT jomas darbinieku konsolidācija nenotiek nedz resoru līmenī, nedz koplietošanas datu centros. </w:t>
      </w:r>
    </w:p>
    <w:p w14:paraId="297D3117" w14:textId="294059FA" w:rsidR="00AB1A9C" w:rsidRPr="00307028" w:rsidRDefault="005B7D78" w:rsidP="00AB1A9C">
      <w:pPr>
        <w:spacing w:after="120" w:line="259" w:lineRule="auto"/>
        <w:jc w:val="center"/>
        <w:rPr>
          <w:rFonts w:eastAsiaTheme="minorHAnsi"/>
          <w:kern w:val="2"/>
          <w:lang w:eastAsia="en-US"/>
          <w14:ligatures w14:val="standardContextual"/>
        </w:rPr>
      </w:pPr>
      <w:r w:rsidRPr="00307028">
        <w:rPr>
          <w:rFonts w:eastAsiaTheme="minorHAnsi"/>
          <w:b/>
          <w:bCs/>
          <w:i/>
          <w:iCs/>
          <w:kern w:val="2"/>
          <w:sz w:val="22"/>
          <w:szCs w:val="22"/>
          <w:lang w:eastAsia="en-US"/>
          <w14:ligatures w14:val="standardContextual"/>
        </w:rPr>
        <w:t xml:space="preserve">3.3.6. </w:t>
      </w:r>
      <w:r w:rsidR="00AB1A9C" w:rsidRPr="00307028">
        <w:rPr>
          <w:rFonts w:eastAsiaTheme="minorHAnsi"/>
          <w:b/>
          <w:bCs/>
          <w:i/>
          <w:iCs/>
          <w:kern w:val="2"/>
          <w:sz w:val="22"/>
          <w:szCs w:val="22"/>
          <w:lang w:eastAsia="en-US"/>
          <w14:ligatures w14:val="standardContextual"/>
        </w:rPr>
        <w:t>attēls</w:t>
      </w:r>
      <w:r w:rsidR="00AB1A9C" w:rsidRPr="00307028">
        <w:rPr>
          <w:rFonts w:eastAsiaTheme="minorHAnsi"/>
          <w:kern w:val="2"/>
          <w:sz w:val="22"/>
          <w:szCs w:val="22"/>
          <w:lang w:eastAsia="en-US"/>
          <w14:ligatures w14:val="standardContextual"/>
        </w:rPr>
        <w:t xml:space="preserve"> </w:t>
      </w:r>
      <w:r w:rsidR="00AB1A9C" w:rsidRPr="00307028">
        <w:rPr>
          <w:rFonts w:eastAsiaTheme="minorHAnsi"/>
          <w:b/>
          <w:bCs/>
          <w:kern w:val="2"/>
          <w:sz w:val="22"/>
          <w:szCs w:val="22"/>
          <w:lang w:eastAsia="en-US"/>
          <w14:ligatures w14:val="standardContextual"/>
        </w:rPr>
        <w:t>Centrālā aparāta IKT jomas slodžu skaits un to darbinieku skaits uz vienu IKT jomas slodzi</w:t>
      </w:r>
      <w:r w:rsidR="00AB1A9C" w:rsidRPr="00307028">
        <w:rPr>
          <w:rFonts w:eastAsiaTheme="minorHAnsi"/>
          <w:b/>
          <w:bCs/>
          <w:kern w:val="2"/>
          <w:sz w:val="22"/>
          <w:szCs w:val="22"/>
          <w:vertAlign w:val="superscript"/>
          <w:lang w:eastAsia="en-US"/>
          <w14:ligatures w14:val="standardContextual"/>
        </w:rPr>
        <w:footnoteReference w:id="90"/>
      </w:r>
      <w:r w:rsidR="00AB1A9C" w:rsidRPr="00307028">
        <w:rPr>
          <w:rFonts w:eastAsiaTheme="minorHAnsi"/>
          <w:b/>
          <w:bCs/>
          <w:noProof/>
          <w:kern w:val="2"/>
          <w:sz w:val="22"/>
          <w:szCs w:val="22"/>
          <w:lang w:eastAsia="en-US"/>
          <w14:ligatures w14:val="standardContextual"/>
        </w:rPr>
        <w:drawing>
          <wp:inline distT="0" distB="0" distL="0" distR="0" wp14:anchorId="78498DA6" wp14:editId="38CC0E6B">
            <wp:extent cx="5598942" cy="2643053"/>
            <wp:effectExtent l="0" t="0" r="1905" b="5080"/>
            <wp:docPr id="296312833" name="Picture 2" descr="A graph of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12833" name="Picture 2" descr="A graph of numbers and a number of people&#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19816" cy="2652907"/>
                    </a:xfrm>
                    <a:prstGeom prst="rect">
                      <a:avLst/>
                    </a:prstGeom>
                    <a:noFill/>
                  </pic:spPr>
                </pic:pic>
              </a:graphicData>
            </a:graphic>
          </wp:inline>
        </w:drawing>
      </w:r>
    </w:p>
    <w:p w14:paraId="42D0F707" w14:textId="65652852" w:rsidR="00AB1A9C" w:rsidRPr="00307028" w:rsidRDefault="00AB1A9C" w:rsidP="005B7D78">
      <w:pPr>
        <w:spacing w:after="120" w:line="259" w:lineRule="auto"/>
        <w:jc w:val="both"/>
        <w:rPr>
          <w:rFonts w:eastAsiaTheme="minorHAnsi"/>
          <w:kern w:val="2"/>
          <w:lang w:eastAsia="en-US"/>
          <w14:ligatures w14:val="standardContextual"/>
        </w:rPr>
      </w:pPr>
      <w:r w:rsidRPr="00307028">
        <w:rPr>
          <w:rFonts w:eastAsiaTheme="minorHAnsi"/>
          <w:kern w:val="2"/>
          <w:lang w:eastAsia="en-US"/>
          <w14:ligatures w14:val="standardContextual"/>
        </w:rPr>
        <w:tab/>
        <w:t xml:space="preserve">Ņemot vērā to, ka ministriju centrālie aparāti nodrošina ministrijas pamatdarbību un veic funkciju administrēšanu, tie pakļaujas savstarpējai salīdzināšanai. Līdz ar to ir lietderīgi veikt IKT jomas slodžu korelāciju ar ministrijas centrālā aparāta darbinieku skaitu. Attēls </w:t>
      </w:r>
      <w:r w:rsidR="005B7D78" w:rsidRPr="00307028">
        <w:rPr>
          <w:rFonts w:eastAsiaTheme="minorHAnsi"/>
          <w:kern w:val="2"/>
          <w:lang w:eastAsia="en-US"/>
          <w14:ligatures w14:val="standardContextual"/>
        </w:rPr>
        <w:t xml:space="preserve">Nr. 3.3.6. </w:t>
      </w:r>
      <w:r w:rsidRPr="00307028">
        <w:rPr>
          <w:rFonts w:eastAsiaTheme="minorHAnsi"/>
          <w:kern w:val="2"/>
          <w:lang w:eastAsia="en-US"/>
          <w14:ligatures w14:val="standardContextual"/>
        </w:rPr>
        <w:t xml:space="preserve">parāda IKT jomas slodžu skaita izmaiņas ministriju centrālajos aparātos no 2018. līdz 2022. gadam un ministrijas darbinieku skaitu uz vienu IKT jomas slodzi 2022. gadā. Starp visām ministrijām izceļas VARAM ar 31% IKT jomas slodžu pieaugumu kopš 2018. gada, </w:t>
      </w:r>
      <w:r w:rsidRPr="00307028">
        <w:rPr>
          <w:rFonts w:eastAsiaTheme="minorHAnsi"/>
          <w:kern w:val="2"/>
          <w:lang w:eastAsia="en-US"/>
          <w14:ligatures w14:val="standardContextual"/>
        </w:rPr>
        <w:lastRenderedPageBreak/>
        <w:t xml:space="preserve">sasniedzot 38 slodzes 2022. gadā. </w:t>
      </w:r>
      <w:r w:rsidR="004C3269" w:rsidRPr="00307028">
        <w:rPr>
          <w:rFonts w:eastAsiaTheme="minorHAnsi"/>
          <w:kern w:val="2"/>
          <w:lang w:eastAsia="en-US"/>
          <w14:ligatures w14:val="standardContextual"/>
        </w:rPr>
        <w:t>VARAM</w:t>
      </w:r>
      <w:r w:rsidRPr="00307028">
        <w:rPr>
          <w:rFonts w:eastAsiaTheme="minorHAnsi"/>
          <w:kern w:val="2"/>
          <w:lang w:eastAsia="en-US"/>
          <w14:ligatures w14:val="standardContextual"/>
        </w:rPr>
        <w:t xml:space="preserve"> izdevumu pārskatīšanas darba grupas sanāksmes laikā norādīja, </w:t>
      </w:r>
      <w:r w:rsidR="009D0EE6" w:rsidRPr="00307028">
        <w:rPr>
          <w:rFonts w:eastAsiaTheme="minorHAnsi"/>
          <w:kern w:val="2"/>
          <w:lang w:eastAsia="en-US"/>
          <w14:ligatures w14:val="standardContextual"/>
        </w:rPr>
        <w:t xml:space="preserve">ka </w:t>
      </w:r>
      <w:r w:rsidRPr="00307028">
        <w:rPr>
          <w:rFonts w:eastAsiaTheme="minorHAnsi"/>
          <w:kern w:val="2"/>
          <w:lang w:eastAsia="en-US"/>
          <w14:ligatures w14:val="standardContextual"/>
        </w:rPr>
        <w:t xml:space="preserve">slodžu pieaugums ir saistīts </w:t>
      </w:r>
      <w:r w:rsidR="005B7D78" w:rsidRPr="00307028">
        <w:rPr>
          <w:rFonts w:eastAsiaTheme="minorHAnsi"/>
          <w:kern w:val="2"/>
          <w:lang w:eastAsia="en-US"/>
          <w14:ligatures w14:val="standardContextual"/>
        </w:rPr>
        <w:t xml:space="preserve">ar </w:t>
      </w:r>
      <w:r w:rsidRPr="00307028">
        <w:rPr>
          <w:rFonts w:eastAsiaTheme="minorHAnsi"/>
          <w:kern w:val="2"/>
          <w:lang w:eastAsia="en-US"/>
          <w14:ligatures w14:val="standardContextual"/>
        </w:rPr>
        <w:t>jauniem IKT projektiem, kur</w:t>
      </w:r>
      <w:r w:rsidR="009D0EE6" w:rsidRPr="00307028">
        <w:rPr>
          <w:rFonts w:eastAsiaTheme="minorHAnsi"/>
          <w:kern w:val="2"/>
          <w:lang w:eastAsia="en-US"/>
          <w14:ligatures w14:val="standardContextual"/>
        </w:rPr>
        <w:t>u dēļ</w:t>
      </w:r>
      <w:r w:rsidRPr="00307028">
        <w:rPr>
          <w:rFonts w:eastAsiaTheme="minorHAnsi"/>
          <w:kern w:val="2"/>
          <w:lang w:eastAsia="en-US"/>
          <w14:ligatures w14:val="standardContextual"/>
        </w:rPr>
        <w:t xml:space="preserve"> tiek veidotas </w:t>
      </w:r>
      <w:r w:rsidR="009D0EE6" w:rsidRPr="00307028">
        <w:rPr>
          <w:rFonts w:eastAsiaTheme="minorHAnsi"/>
          <w:kern w:val="2"/>
          <w:lang w:eastAsia="en-US"/>
          <w14:ligatures w14:val="standardContextual"/>
        </w:rPr>
        <w:t xml:space="preserve">normēta laika </w:t>
      </w:r>
      <w:r w:rsidRPr="00307028">
        <w:rPr>
          <w:rFonts w:eastAsiaTheme="minorHAnsi"/>
          <w:kern w:val="2"/>
          <w:lang w:eastAsia="en-US"/>
          <w14:ligatures w14:val="standardContextual"/>
        </w:rPr>
        <w:t>amata vietas, kā arī kompetences paplašināšanos VRAA, kur saskaņā ar MK apstiprinātiem informatīviem ziņojumiem bija plānots nodot citiem ministriju resoriem amata vietas valsts koplietošanas risinājumu apkalpošanai un attīstībai. Izdevumu pārskatīšanas darba grupas sanāksmē ar IZM, IZM pārstāvji atzīmēja, ka IZM pakāpeniski pāriet uz IKT atbalstu ārpakalpojumā. Tomēr tāpat lielākai daļai ministriju IKT jomas slodžu skaits pēdējos piecos gados ir audzis, kas lielākoties skaidrojams ar informācijas sistēmu attīstību un uzturēšanas izmaksu pieaugumu.</w:t>
      </w:r>
    </w:p>
    <w:p w14:paraId="65A19FCE" w14:textId="10B7C0BD" w:rsidR="00AB1A9C" w:rsidRPr="00307028" w:rsidRDefault="00AB1A9C" w:rsidP="005B7D78">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Neskatoties uz to, ka noteikta virzība uz modernu, efektīvu un mazu valsts pārvaldi, un tiek īstenoti vairāki ES fondu projekti digitalizācijas virzienā, resoros joprojām pieaug gan IKT jomas darbinieku skaits, gan IKT izdevumi. Kā iemeslus IKT izdevumu pieaugumam AiM norādījusi, ka projekti un risinājumi tiek plānoti un uzturēti atbilstoši specifiskajiem noteikumiem un drošības iestāžu izvirzītajām prasībām, kas ir būtiski stingrākas un attiecīgi prasa būtiski lielāku resursu visās fāzēs – gan plānošanā, gan ieviešanā, gan arī uzturēšanā. EM savukārt norādīja, ka ar IKT saistīto izdevumu pieaugums objektīvi saistīts kā ar iekšējiem</w:t>
      </w:r>
      <w:r w:rsidR="009D0EE6"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tā ar ārējiem apstākļiem. Ārējie apstākļi ir saistīti ar iegādājamo preču un pakalpojumu cenu pieaugumu. Iekšējie apstākļi – arvien vairāk visās resora iestādēs tiek ieviestas informācijas sistēmas, kas cita starpā nodrošina attālinātu pakalpojumu saņemšanu, nodrošina efektīvu elektronisku datu apmaiņu un digitālos risinājumus.</w:t>
      </w:r>
    </w:p>
    <w:p w14:paraId="047CA0FE" w14:textId="77777777" w:rsidR="00AB1A9C" w:rsidRPr="00307028" w:rsidRDefault="00AB1A9C" w:rsidP="00AB1A9C">
      <w:pPr>
        <w:spacing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ZM izdevumu pieaugumu skaidroja ar to, ka 2022. gadā tika veikta investīciju finansējuma apgūšana, pilnveidojot resora iestāžu informācijas sistēmas divu Atveseļošanas finansējuma projektu vajadzībām. Papildus tam tika veikta nozares datu centra modernizācija, lai veiktu priekšdarbus tā iekļaušanai valsts federētā mākoņa attīstības vīzijā.</w:t>
      </w:r>
    </w:p>
    <w:p w14:paraId="6EED5E41" w14:textId="598F1DD6" w:rsidR="00AB1A9C" w:rsidRPr="00307028" w:rsidRDefault="005B7D78" w:rsidP="00AB1A9C">
      <w:pPr>
        <w:spacing w:line="259" w:lineRule="auto"/>
        <w:jc w:val="both"/>
        <w:rPr>
          <w:rFonts w:eastAsiaTheme="minorHAnsi"/>
          <w:b/>
          <w:bCs/>
          <w:kern w:val="2"/>
          <w:lang w:eastAsia="en-US"/>
          <w14:ligatures w14:val="standardContextual"/>
        </w:rPr>
      </w:pPr>
      <w:r w:rsidRPr="00307028">
        <w:rPr>
          <w:noProof/>
          <w:lang w:eastAsia="en-US"/>
        </w:rPr>
        <mc:AlternateContent>
          <mc:Choice Requires="wps">
            <w:drawing>
              <wp:anchor distT="0" distB="0" distL="114300" distR="114300" simplePos="0" relativeHeight="251739136" behindDoc="0" locked="0" layoutInCell="1" allowOverlap="1" wp14:anchorId="71C31924" wp14:editId="64A85E41">
                <wp:simplePos x="0" y="0"/>
                <wp:positionH relativeFrom="margin">
                  <wp:posOffset>0</wp:posOffset>
                </wp:positionH>
                <wp:positionV relativeFrom="paragraph">
                  <wp:posOffset>189865</wp:posOffset>
                </wp:positionV>
                <wp:extent cx="5762625" cy="314325"/>
                <wp:effectExtent l="0" t="0" r="9525" b="9525"/>
                <wp:wrapTopAndBottom/>
                <wp:docPr id="685377531" name="Rectangle 685377531"/>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26846176" w14:textId="77777777" w:rsidR="005B7D78" w:rsidRPr="00307028" w:rsidRDefault="005B7D78" w:rsidP="005B7D78">
                            <w:pPr>
                              <w:rPr>
                                <w:b/>
                                <w:bCs/>
                                <w:color w:val="000000" w:themeColor="text1"/>
                              </w:rPr>
                            </w:pPr>
                            <w:r w:rsidRPr="00307028">
                              <w:rPr>
                                <w:b/>
                                <w:bCs/>
                              </w:rPr>
                              <w:t>SECINĀJUMI:</w:t>
                            </w:r>
                          </w:p>
                          <w:p w14:paraId="3F9BA0B1" w14:textId="77777777" w:rsidR="008A578D" w:rsidRPr="00307028" w:rsidRDefault="008A578D"/>
                          <w:p w14:paraId="50708250" w14:textId="77777777" w:rsidR="005B7D78" w:rsidRPr="00307028" w:rsidRDefault="005B7D78" w:rsidP="005B7D78">
                            <w:pPr>
                              <w:rPr>
                                <w:b/>
                                <w:bCs/>
                                <w:color w:val="000000" w:themeColor="text1"/>
                              </w:rPr>
                            </w:pPr>
                            <w:r w:rsidRPr="00307028">
                              <w:rPr>
                                <w:b/>
                                <w:bCs/>
                              </w:rPr>
                              <w:t>SECINĀJUMI:</w:t>
                            </w:r>
                          </w:p>
                          <w:p w14:paraId="07441301" w14:textId="77777777" w:rsidR="008A578D" w:rsidRPr="00307028" w:rsidRDefault="008A578D"/>
                          <w:p w14:paraId="1804D0FE" w14:textId="5999BBF8" w:rsidR="005B7D78" w:rsidRPr="00307028" w:rsidRDefault="005B7D78" w:rsidP="005B7D78">
                            <w:pPr>
                              <w:rPr>
                                <w:b/>
                                <w:bCs/>
                                <w:color w:val="000000" w:themeColor="text1"/>
                              </w:rPr>
                            </w:pPr>
                            <w:r w:rsidRPr="00307028">
                              <w:rPr>
                                <w:b/>
                                <w:bCs/>
                              </w:rPr>
                              <w:t>SECINĀJUMI:</w:t>
                            </w:r>
                          </w:p>
                          <w:p w14:paraId="0BD25194" w14:textId="77777777" w:rsidR="008A578D" w:rsidRPr="00307028" w:rsidRDefault="008A578D"/>
                          <w:p w14:paraId="09E7EFD1" w14:textId="1E90622D" w:rsidR="005B7D78" w:rsidRPr="00307028" w:rsidRDefault="005B7D78" w:rsidP="005B7D78">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31924" id="Rectangle 685377531" o:spid="_x0000_s1043" style="position:absolute;left:0;text-align:left;margin-left:0;margin-top:14.95pt;width:453.75pt;height:24.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" fillcolor="#85c2e0" stroked="f" strokeweight="2pt">
                <v:textbox>
                  <w:txbxContent>
                    <w:p w14:paraId="26846176" w14:textId="77777777" w:rsidR="005B7D78" w:rsidRPr="00307028" w:rsidRDefault="005B7D78" w:rsidP="005B7D78">
                      <w:pPr>
                        <w:rPr>
                          <w:b/>
                          <w:bCs/>
                          <w:color w:val="000000" w:themeColor="text1"/>
                        </w:rPr>
                      </w:pPr>
                      <w:r w:rsidRPr="00307028">
                        <w:rPr>
                          <w:b/>
                          <w:bCs/>
                        </w:rPr>
                        <w:t>SECINĀJUMI:</w:t>
                      </w:r>
                    </w:p>
                    <w:p w14:paraId="3F9BA0B1" w14:textId="77777777" w:rsidR="008A578D" w:rsidRPr="00307028" w:rsidRDefault="008A578D"/>
                    <w:p w14:paraId="50708250" w14:textId="77777777" w:rsidR="005B7D78" w:rsidRPr="00307028" w:rsidRDefault="005B7D78" w:rsidP="005B7D78">
                      <w:pPr>
                        <w:rPr>
                          <w:b/>
                          <w:bCs/>
                          <w:color w:val="000000" w:themeColor="text1"/>
                        </w:rPr>
                      </w:pPr>
                      <w:r w:rsidRPr="00307028">
                        <w:rPr>
                          <w:b/>
                          <w:bCs/>
                        </w:rPr>
                        <w:t>SECINĀJUMI:</w:t>
                      </w:r>
                    </w:p>
                    <w:p w14:paraId="07441301" w14:textId="77777777" w:rsidR="008A578D" w:rsidRPr="00307028" w:rsidRDefault="008A578D"/>
                    <w:p w14:paraId="1804D0FE" w14:textId="5999BBF8" w:rsidR="005B7D78" w:rsidRPr="00307028" w:rsidRDefault="005B7D78" w:rsidP="005B7D78">
                      <w:pPr>
                        <w:rPr>
                          <w:b/>
                          <w:bCs/>
                          <w:color w:val="000000" w:themeColor="text1"/>
                        </w:rPr>
                      </w:pPr>
                      <w:r w:rsidRPr="00307028">
                        <w:rPr>
                          <w:b/>
                          <w:bCs/>
                        </w:rPr>
                        <w:t>SECINĀJUMI:</w:t>
                      </w:r>
                    </w:p>
                    <w:p w14:paraId="0BD25194" w14:textId="77777777" w:rsidR="008A578D" w:rsidRPr="00307028" w:rsidRDefault="008A578D"/>
                    <w:p w14:paraId="09E7EFD1" w14:textId="1E90622D" w:rsidR="005B7D78" w:rsidRPr="00307028" w:rsidRDefault="005B7D78" w:rsidP="005B7D78">
                      <w:pPr>
                        <w:rPr>
                          <w:b/>
                          <w:bCs/>
                          <w:color w:val="000000" w:themeColor="text1"/>
                        </w:rPr>
                      </w:pPr>
                      <w:r w:rsidRPr="00307028">
                        <w:rPr>
                          <w:b/>
                          <w:bCs/>
                        </w:rPr>
                        <w:t>SECINĀJUMI:</w:t>
                      </w:r>
                    </w:p>
                  </w:txbxContent>
                </v:textbox>
                <w10:wrap type="topAndBottom" anchorx="margin"/>
              </v:rect>
            </w:pict>
          </mc:Fallback>
        </mc:AlternateContent>
      </w:r>
    </w:p>
    <w:p w14:paraId="2345D2F5" w14:textId="77777777" w:rsidR="00AB1A9C" w:rsidRPr="00307028" w:rsidRDefault="00AB1A9C" w:rsidP="00183D1A">
      <w:pPr>
        <w:numPr>
          <w:ilvl w:val="0"/>
          <w:numId w:val="21"/>
        </w:numPr>
        <w:spacing w:after="120" w:line="259" w:lineRule="auto"/>
        <w:ind w:left="771" w:hanging="357"/>
        <w:jc w:val="both"/>
        <w:rPr>
          <w:rFonts w:eastAsiaTheme="minorHAnsi"/>
          <w:kern w:val="2"/>
          <w:lang w:eastAsia="en-US"/>
          <w14:ligatures w14:val="standardContextual"/>
        </w:rPr>
      </w:pPr>
      <w:r w:rsidRPr="00307028">
        <w:rPr>
          <w:rFonts w:eastAsiaTheme="minorHAnsi"/>
          <w:kern w:val="2"/>
          <w:lang w:eastAsia="en-US"/>
          <w14:ligatures w14:val="standardContextual"/>
        </w:rPr>
        <w:t>IKT jomas izdevumi gadu gaitā saglabā pieaugošu dinamiku, pārsvarā veidojot izdevumus IT pakalpojumos, ko veicina tai skaitā arī ES fondu īstenoto projektu uzturēšanas izdevumi.</w:t>
      </w:r>
    </w:p>
    <w:p w14:paraId="48BAD7D8" w14:textId="49355500" w:rsidR="00AB1A9C" w:rsidRPr="00307028" w:rsidRDefault="00AB1A9C" w:rsidP="00183D1A">
      <w:pPr>
        <w:numPr>
          <w:ilvl w:val="0"/>
          <w:numId w:val="21"/>
        </w:numPr>
        <w:spacing w:after="120" w:line="259" w:lineRule="auto"/>
        <w:ind w:left="771" w:hanging="357"/>
        <w:jc w:val="both"/>
        <w:rPr>
          <w:rFonts w:eastAsiaTheme="minorHAnsi"/>
          <w:kern w:val="2"/>
          <w:lang w:eastAsia="en-US"/>
          <w14:ligatures w14:val="standardContextual"/>
        </w:rPr>
      </w:pPr>
      <w:r w:rsidRPr="00307028">
        <w:rPr>
          <w:rFonts w:eastAsiaTheme="minorHAnsi"/>
          <w:kern w:val="2"/>
          <w:lang w:eastAsia="en-US"/>
          <w14:ligatures w14:val="standardContextual"/>
        </w:rPr>
        <w:t>Konstatēts, ka pēdējo gadu laikā visos resoros (izņemot ZM) IKT jomas slodžu skaits ir pieaudzis vidēji par 13%</w:t>
      </w:r>
      <w:r w:rsidR="009D0EE6" w:rsidRPr="00307028">
        <w:rPr>
          <w:rFonts w:eastAsiaTheme="minorHAnsi"/>
          <w:kern w:val="2"/>
          <w:lang w:eastAsia="en-US"/>
          <w14:ligatures w14:val="standardContextual"/>
        </w:rPr>
        <w:t>,</w:t>
      </w:r>
      <w:r w:rsidRPr="00307028">
        <w:rPr>
          <w:rFonts w:eastAsiaTheme="minorHAnsi"/>
          <w:kern w:val="2"/>
          <w:lang w:eastAsia="en-US"/>
          <w14:ligatures w14:val="standardContextual"/>
        </w:rPr>
        <w:t xml:space="preserve"> sasniedzot 1 431 slodzi.</w:t>
      </w:r>
    </w:p>
    <w:p w14:paraId="42F76750" w14:textId="77777777" w:rsidR="00AB1A9C" w:rsidRPr="00307028" w:rsidRDefault="00AB1A9C" w:rsidP="00183D1A">
      <w:pPr>
        <w:numPr>
          <w:ilvl w:val="0"/>
          <w:numId w:val="21"/>
        </w:numPr>
        <w:spacing w:after="120" w:line="259" w:lineRule="auto"/>
        <w:ind w:left="771" w:hanging="357"/>
        <w:jc w:val="both"/>
        <w:rPr>
          <w:rFonts w:eastAsiaTheme="minorHAnsi"/>
          <w:kern w:val="2"/>
          <w:lang w:eastAsia="en-US"/>
          <w14:ligatures w14:val="standardContextual"/>
        </w:rPr>
      </w:pPr>
      <w:r w:rsidRPr="00307028">
        <w:rPr>
          <w:rFonts w:eastAsiaTheme="minorHAnsi"/>
          <w:kern w:val="2"/>
          <w:lang w:eastAsia="en-US"/>
          <w14:ligatures w14:val="standardContextual"/>
        </w:rPr>
        <w:t>Joprojām tiek konstatēts, ka IKT pārvaldība ir decentralizēta, atsevišķi pārvaldot savus resursus katras iestādes ietvaros.</w:t>
      </w:r>
    </w:p>
    <w:p w14:paraId="38E7B9B6" w14:textId="380A7823" w:rsidR="00AB1A9C" w:rsidRPr="00307028" w:rsidRDefault="005B7D78" w:rsidP="00AB1A9C">
      <w:pPr>
        <w:spacing w:line="259" w:lineRule="auto"/>
        <w:jc w:val="both"/>
        <w:rPr>
          <w:rFonts w:eastAsiaTheme="minorHAnsi"/>
          <w:b/>
          <w:bCs/>
          <w:kern w:val="2"/>
          <w:lang w:eastAsia="en-US"/>
          <w14:ligatures w14:val="standardContextual"/>
        </w:rPr>
      </w:pPr>
      <w:r w:rsidRPr="00307028">
        <w:rPr>
          <w:noProof/>
          <w:lang w:eastAsia="en-US"/>
        </w:rPr>
        <mc:AlternateContent>
          <mc:Choice Requires="wps">
            <w:drawing>
              <wp:anchor distT="0" distB="0" distL="114300" distR="114300" simplePos="0" relativeHeight="251741184" behindDoc="0" locked="0" layoutInCell="1" allowOverlap="1" wp14:anchorId="25F40344" wp14:editId="1D2DFD94">
                <wp:simplePos x="0" y="0"/>
                <wp:positionH relativeFrom="margin">
                  <wp:posOffset>0</wp:posOffset>
                </wp:positionH>
                <wp:positionV relativeFrom="paragraph">
                  <wp:posOffset>189230</wp:posOffset>
                </wp:positionV>
                <wp:extent cx="5762625" cy="314325"/>
                <wp:effectExtent l="0" t="0" r="9525" b="9525"/>
                <wp:wrapTopAndBottom/>
                <wp:docPr id="938543266" name="Rectangle 938543266"/>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0919ECCB" w14:textId="75196ED9" w:rsidR="005B7D78" w:rsidRPr="00307028" w:rsidRDefault="005B7D78" w:rsidP="005B7D78">
                            <w:pPr>
                              <w:rPr>
                                <w:b/>
                                <w:bCs/>
                                <w:color w:val="000000" w:themeColor="text1"/>
                              </w:rPr>
                            </w:pPr>
                            <w:r w:rsidRPr="00307028">
                              <w:rPr>
                                <w:b/>
                                <w:bCs/>
                              </w:rPr>
                              <w:t>PRIEKŠLIKUMI:</w:t>
                            </w:r>
                          </w:p>
                          <w:p w14:paraId="429DCC03" w14:textId="77777777" w:rsidR="008A578D" w:rsidRPr="00307028" w:rsidRDefault="008A578D"/>
                          <w:p w14:paraId="3AA865A2" w14:textId="77777777"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p w14:paraId="694FC9D2" w14:textId="77777777" w:rsidR="008A578D" w:rsidRPr="00307028" w:rsidRDefault="008A578D"/>
                          <w:p w14:paraId="10555964" w14:textId="34FE728E"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p w14:paraId="35531B22" w14:textId="77777777" w:rsidR="008A578D" w:rsidRPr="00307028" w:rsidRDefault="008A578D"/>
                          <w:p w14:paraId="399888E5" w14:textId="5044BDF8"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40344" id="Rectangle 938543266" o:spid="_x0000_s1044" style="position:absolute;left:0;text-align:left;margin-left:0;margin-top:14.9pt;width:453.75pt;height:24.7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" fillcolor="#85c2e0" stroked="f" strokeweight="2pt">
                <v:textbox>
                  <w:txbxContent>
                    <w:p w14:paraId="0919ECCB" w14:textId="75196ED9" w:rsidR="005B7D78" w:rsidRPr="00307028" w:rsidRDefault="005B7D78" w:rsidP="005B7D78">
                      <w:pPr>
                        <w:rPr>
                          <w:b/>
                          <w:bCs/>
                          <w:color w:val="000000" w:themeColor="text1"/>
                        </w:rPr>
                      </w:pPr>
                      <w:r w:rsidRPr="00307028">
                        <w:rPr>
                          <w:b/>
                          <w:bCs/>
                        </w:rPr>
                        <w:t>PRIEKŠLIKUMI:</w:t>
                      </w:r>
                    </w:p>
                    <w:p w14:paraId="429DCC03" w14:textId="77777777" w:rsidR="008A578D" w:rsidRPr="00307028" w:rsidRDefault="008A578D"/>
                    <w:p w14:paraId="3AA865A2" w14:textId="77777777"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p w14:paraId="694FC9D2" w14:textId="77777777" w:rsidR="008A578D" w:rsidRPr="00307028" w:rsidRDefault="008A578D"/>
                    <w:p w14:paraId="10555964" w14:textId="34FE728E"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p w14:paraId="35531B22" w14:textId="77777777" w:rsidR="008A578D" w:rsidRPr="00307028" w:rsidRDefault="008A578D"/>
                    <w:p w14:paraId="399888E5" w14:textId="5044BDF8" w:rsidR="005B7D78" w:rsidRPr="00307028" w:rsidRDefault="00C74069" w:rsidP="005B7D78">
                      <w:pPr>
                        <w:rPr>
                          <w:b/>
                          <w:bCs/>
                          <w:color w:val="000000" w:themeColor="text1"/>
                        </w:rPr>
                      </w:pPr>
                      <w:r w:rsidRPr="00307028">
                        <w:t xml:space="preserve">4. </w:t>
                      </w:r>
                      <w:r w:rsidR="00D362D4" w:rsidRPr="00307028">
                        <w:tab/>
                      </w:r>
                      <w:r w:rsidR="00C846A4" w:rsidRPr="00307028">
                        <w:t>Ministriju, to padotībā esošo valsts budžeta iestāžu, citu centrālo valsts iestāžu un neatkarīgo iestāžu vajadzībām izmantotā nekustamā īpašuma (biroja ēku) reģionos un tā apsaimniekošanas izdevumu izvērtējums</w:t>
                      </w:r>
                      <w:r w:rsidR="005B7D78" w:rsidRPr="00307028">
                        <w:rPr>
                          <w:b/>
                          <w:bCs/>
                        </w:rPr>
                        <w:t>PRIEKŠLIKUMI:</w:t>
                      </w:r>
                    </w:p>
                  </w:txbxContent>
                </v:textbox>
                <w10:wrap type="topAndBottom" anchorx="margin"/>
              </v:rect>
            </w:pict>
          </mc:Fallback>
        </mc:AlternateContent>
      </w:r>
    </w:p>
    <w:p w14:paraId="7C47CB15" w14:textId="46810834" w:rsidR="005B7D78" w:rsidRPr="00307028" w:rsidRDefault="00AB1A9C" w:rsidP="00183D1A">
      <w:pPr>
        <w:numPr>
          <w:ilvl w:val="0"/>
          <w:numId w:val="21"/>
        </w:numPr>
        <w:spacing w:after="120" w:line="259" w:lineRule="auto"/>
        <w:ind w:left="771" w:hanging="357"/>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Ar mērķi izmantot resursus efektīvāk un kvalitatīvāk, kā arī ietaupīt amata slodzes, ministrijām un to padotības iestādēm ir nepieciešams konsolidēt resursus vismaz resora līmenī vai koplietošanas pakalpojumu centros. </w:t>
      </w:r>
    </w:p>
    <w:p w14:paraId="6B130612" w14:textId="73B9887F" w:rsidR="00A73B4C" w:rsidRPr="00307028" w:rsidRDefault="00AB1A9C" w:rsidP="00183D1A">
      <w:pPr>
        <w:numPr>
          <w:ilvl w:val="0"/>
          <w:numId w:val="21"/>
        </w:numPr>
        <w:spacing w:after="120" w:line="259" w:lineRule="auto"/>
        <w:ind w:left="771" w:hanging="357"/>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VARAM kā vadošai iestādei valsts IKT pārvaldības politikas veidošanā un uzraudzībā ir jāizvērtē esošo resursu izmantošana un jāveido aktīva IKT jomas attīstība, līdzsvarojot valsts pārvaldes vajadzības un iespējas. </w:t>
      </w:r>
    </w:p>
    <w:p w14:paraId="787B5A13" w14:textId="65B6335D" w:rsidR="00A73B4C" w:rsidRPr="00307028" w:rsidRDefault="00A73B4C" w:rsidP="00925688">
      <w:pPr>
        <w:spacing w:after="120" w:line="259" w:lineRule="auto"/>
        <w:ind w:firstLine="720"/>
        <w:jc w:val="both"/>
      </w:pPr>
    </w:p>
    <w:bookmarkStart w:id="166" w:name="_Toc142492933"/>
    <w:p w14:paraId="5C4AB496" w14:textId="19DD5B7E" w:rsidR="00F7258A" w:rsidRPr="00F7258A" w:rsidRDefault="00612E79" w:rsidP="00F7258A">
      <w:pPr>
        <w:pStyle w:val="Heading2"/>
        <w:ind w:left="-709" w:right="-427"/>
        <w:jc w:val="both"/>
        <w:rPr>
          <w:color w:val="000000" w:themeColor="text1"/>
          <w:sz w:val="32"/>
          <w:szCs w:val="28"/>
        </w:rPr>
      </w:pPr>
      <w:r>
        <w:rPr>
          <w:noProof/>
          <w14:ligatures w14:val="standardContextual"/>
        </w:rPr>
        <w:lastRenderedPageBreak/>
        <mc:AlternateContent>
          <mc:Choice Requires="wps">
            <w:drawing>
              <wp:anchor distT="0" distB="0" distL="114300" distR="114300" simplePos="0" relativeHeight="251764736" behindDoc="1" locked="0" layoutInCell="1" allowOverlap="1" wp14:anchorId="107EDF4C" wp14:editId="309790DF">
                <wp:simplePos x="0" y="0"/>
                <wp:positionH relativeFrom="page">
                  <wp:posOffset>430917</wp:posOffset>
                </wp:positionH>
                <wp:positionV relativeFrom="paragraph">
                  <wp:posOffset>-104720</wp:posOffset>
                </wp:positionV>
                <wp:extent cx="7128290" cy="890546"/>
                <wp:effectExtent l="0" t="0" r="15875" b="24130"/>
                <wp:wrapNone/>
                <wp:docPr id="1576715867" name="Rectangle 3"/>
                <wp:cNvGraphicFramePr/>
                <a:graphic xmlns:a="http://schemas.openxmlformats.org/drawingml/2006/main">
                  <a:graphicData uri="http://schemas.microsoft.com/office/word/2010/wordprocessingShape">
                    <wps:wsp>
                      <wps:cNvSpPr/>
                      <wps:spPr>
                        <a:xfrm>
                          <a:off x="0" y="0"/>
                          <a:ext cx="7128290" cy="890546"/>
                        </a:xfrm>
                        <a:prstGeom prst="rect">
                          <a:avLst/>
                        </a:prstGeom>
                        <a:solidFill>
                          <a:srgbClr val="85C2E0"/>
                        </a:solidFill>
                        <a:ln>
                          <a:solidFill>
                            <a:srgbClr val="85C2E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6B07DD" id="Rectangle 3" o:spid="_x0000_s1026" style="position:absolute;margin-left:33.95pt;margin-top:-8.25pt;width:561.3pt;height:70.1pt;z-index:-25155174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" fillcolor="#85c2e0" strokecolor="#85c2e0" strokeweight="1pt">
                <w10:wrap anchorx="page"/>
              </v:rect>
            </w:pict>
          </mc:Fallback>
        </mc:AlternateContent>
      </w:r>
      <w:r w:rsidR="00F7258A" w:rsidRPr="00F7258A">
        <w:rPr>
          <w:sz w:val="32"/>
          <w:szCs w:val="28"/>
        </w:rPr>
        <w:t xml:space="preserve">4. </w:t>
      </w:r>
      <w:r w:rsidR="00F7258A" w:rsidRPr="00F7258A">
        <w:rPr>
          <w:sz w:val="32"/>
          <w:szCs w:val="28"/>
        </w:rPr>
        <w:tab/>
        <w:t>Ministriju, to padotībā esošo valsts budžeta iestāžu, citu centrālo valsts iestāžu un neatkarīgo iestāžu vajadzībām izmantotā nekustamā īpašuma (biroja ēku) reģionos un tā apsaimniekošanas izdevumu izvērtējums</w:t>
      </w:r>
      <w:bookmarkEnd w:id="166"/>
    </w:p>
    <w:p w14:paraId="5436EF2D" w14:textId="77777777" w:rsidR="00F7258A" w:rsidRPr="00307028" w:rsidRDefault="00F7258A" w:rsidP="00F7258A">
      <w:pPr>
        <w:spacing w:after="120" w:line="259" w:lineRule="auto"/>
        <w:jc w:val="both"/>
      </w:pPr>
    </w:p>
    <w:p w14:paraId="4FCD1A7F" w14:textId="5CC33037" w:rsidR="00925688" w:rsidRPr="00307028" w:rsidRDefault="00925688" w:rsidP="000500E3">
      <w:pPr>
        <w:spacing w:before="120" w:after="120" w:line="259" w:lineRule="auto"/>
        <w:ind w:firstLine="720"/>
        <w:jc w:val="both"/>
        <w:rPr>
          <w:rFonts w:eastAsiaTheme="minorHAnsi"/>
          <w:kern w:val="2"/>
          <w:lang w:eastAsia="en-US"/>
          <w14:ligatures w14:val="standardContextual"/>
        </w:rPr>
      </w:pPr>
      <w:r w:rsidRPr="00307028">
        <w:rPr>
          <w:rFonts w:eastAsiaTheme="minorHAnsi" w:cstheme="minorBidi"/>
          <w:kern w:val="2"/>
          <w:szCs w:val="28"/>
          <w:lang w:eastAsia="en-US"/>
          <w14:ligatures w14:val="standardContextual"/>
        </w:rPr>
        <w:t xml:space="preserve">2020. gadā Covid-19 izraisītās pandēmijas ieviesto epidemioloģisko ierobežojumu ietekmē valsts pārvaldē strādājošo darba organizācija piedzīvoja izmaiņas – darbu ofisos nomainīja attālinātais darbs, sanāksmes un dalība dažādās mācībās un konferencēs noritēja attālināti. </w:t>
      </w:r>
      <w:r w:rsidRPr="00307028">
        <w:rPr>
          <w:rFonts w:eastAsiaTheme="minorHAnsi"/>
          <w:kern w:val="2"/>
          <w:lang w:eastAsia="en-US"/>
          <w14:ligatures w14:val="standardContextual"/>
        </w:rPr>
        <w:t>Ņemot vērā, ka valsts pārvaldes iestādēs darbs galvenokārt noritēja klātienē, pāreja uz attālināto darbu bija liels izaicinājums, jo iestādēm bija nepieciešams pielāgot tehniskos un drošības risinājumus, vienlaikus nodrošinot darbības nepārtrauktību. VK veiktās aptaujas “Par darba organizāciju ārkārtējās situācijas laikā”</w:t>
      </w:r>
      <w:r w:rsidRPr="00307028">
        <w:rPr>
          <w:rFonts w:eastAsiaTheme="minorHAnsi"/>
          <w:kern w:val="2"/>
          <w:vertAlign w:val="superscript"/>
          <w:lang w:eastAsia="en-US"/>
          <w14:ligatures w14:val="standardContextual"/>
        </w:rPr>
        <w:footnoteReference w:id="91"/>
      </w:r>
      <w:r w:rsidRPr="00307028">
        <w:rPr>
          <w:rFonts w:eastAsiaTheme="minorHAnsi"/>
          <w:kern w:val="2"/>
          <w:lang w:eastAsia="en-US"/>
          <w14:ligatures w14:val="standardContextual"/>
        </w:rPr>
        <w:t xml:space="preserve"> rezultāti liecina, ka 97% iestāžu savu darbu ārkārtējās situācijas laikā organizēja attālināti. </w:t>
      </w:r>
      <w:r w:rsidR="009D0EE6" w:rsidRPr="00307028">
        <w:rPr>
          <w:rFonts w:eastAsiaTheme="minorHAnsi"/>
          <w:kern w:val="2"/>
          <w:lang w:eastAsia="en-US"/>
          <w14:ligatures w14:val="standardContextual"/>
        </w:rPr>
        <w:t>V</w:t>
      </w:r>
      <w:r w:rsidRPr="00307028">
        <w:rPr>
          <w:rFonts w:eastAsiaTheme="minorHAnsi"/>
          <w:kern w:val="2"/>
          <w:lang w:eastAsia="en-US"/>
          <w14:ligatures w14:val="standardContextual"/>
        </w:rPr>
        <w:t>alsts pārvalde</w:t>
      </w:r>
      <w:r w:rsidR="009D0EE6" w:rsidRPr="00307028">
        <w:rPr>
          <w:rFonts w:eastAsiaTheme="minorHAnsi"/>
          <w:kern w:val="2"/>
          <w:lang w:eastAsia="en-US"/>
          <w14:ligatures w14:val="standardContextual"/>
        </w:rPr>
        <w:t xml:space="preserve">s funkcionēšana </w:t>
      </w:r>
      <w:r w:rsidRPr="00307028">
        <w:rPr>
          <w:rFonts w:eastAsiaTheme="minorHAnsi"/>
          <w:kern w:val="2"/>
          <w:lang w:eastAsia="en-US"/>
          <w14:ligatures w14:val="standardContextual"/>
        </w:rPr>
        <w:t xml:space="preserve">ārkārtējās situācijas laikā, apstiprināja, ka </w:t>
      </w:r>
      <w:r w:rsidR="009D0EE6" w:rsidRPr="00307028">
        <w:rPr>
          <w:rFonts w:eastAsiaTheme="minorHAnsi"/>
          <w:kern w:val="2"/>
          <w:lang w:eastAsia="en-US"/>
          <w14:ligatures w14:val="standardContextual"/>
        </w:rPr>
        <w:t>tā</w:t>
      </w:r>
      <w:r w:rsidRPr="00307028">
        <w:rPr>
          <w:rFonts w:eastAsiaTheme="minorHAnsi"/>
          <w:kern w:val="2"/>
          <w:lang w:eastAsia="en-US"/>
          <w14:ligatures w14:val="standardContextual"/>
        </w:rPr>
        <w:t xml:space="preserve"> var strādāt attālināti un arī šobrīd, pēc epidemioloģisko ierobežojumu atcelšanas, liela daļa valsts pārvaldes iestāžu turpina pielietot šo </w:t>
      </w:r>
      <w:r w:rsidR="009D0EE6" w:rsidRPr="00307028">
        <w:rPr>
          <w:rFonts w:eastAsiaTheme="minorHAnsi"/>
          <w:kern w:val="2"/>
          <w:lang w:eastAsia="en-US"/>
          <w14:ligatures w14:val="standardContextual"/>
        </w:rPr>
        <w:t>darba organizēšanas modeli</w:t>
      </w:r>
      <w:r w:rsidRPr="00307028">
        <w:rPr>
          <w:rFonts w:eastAsiaTheme="minorHAnsi"/>
          <w:kern w:val="2"/>
          <w:lang w:eastAsia="en-US"/>
          <w14:ligatures w14:val="standardContextual"/>
        </w:rPr>
        <w:t xml:space="preserve">. </w:t>
      </w:r>
      <w:r w:rsidRPr="00307028">
        <w:rPr>
          <w:rFonts w:eastAsiaTheme="minorHAnsi" w:cstheme="minorBidi"/>
          <w:kern w:val="2"/>
          <w:lang w:eastAsia="en-US"/>
          <w14:ligatures w14:val="standardContextual"/>
        </w:rPr>
        <w:t>VK izstrādātajās Vadlīnijās elastīgā darba nodrošin</w:t>
      </w:r>
      <w:r w:rsidRPr="00307028">
        <w:rPr>
          <w:rFonts w:eastAsiaTheme="minorHAnsi"/>
          <w:kern w:val="2"/>
          <w:lang w:eastAsia="en-US"/>
          <w14:ligatures w14:val="standardContextual"/>
        </w:rPr>
        <w:t>āšanai</w:t>
      </w:r>
      <w:r w:rsidRPr="00307028">
        <w:rPr>
          <w:rFonts w:eastAsiaTheme="minorHAnsi"/>
          <w:kern w:val="2"/>
          <w:sz w:val="22"/>
          <w:szCs w:val="22"/>
          <w:vertAlign w:val="superscript"/>
          <w:lang w:eastAsia="en-US"/>
          <w14:ligatures w14:val="standardContextual"/>
        </w:rPr>
        <w:footnoteReference w:id="92"/>
      </w:r>
      <w:r w:rsidRPr="00307028">
        <w:rPr>
          <w:rFonts w:eastAsiaTheme="minorHAnsi" w:cstheme="minorBidi"/>
          <w:kern w:val="2"/>
          <w:vertAlign w:val="superscript"/>
          <w:lang w:eastAsia="en-US"/>
          <w14:ligatures w14:val="standardContextual"/>
        </w:rPr>
        <w:t xml:space="preserve"> </w:t>
      </w:r>
      <w:r w:rsidRPr="00307028">
        <w:rPr>
          <w:rFonts w:eastAsiaTheme="minorHAnsi" w:cstheme="minorBidi"/>
          <w:kern w:val="2"/>
          <w:lang w:eastAsia="en-US"/>
          <w14:ligatures w14:val="standardContextual"/>
        </w:rPr>
        <w:t xml:space="preserve">minēts, </w:t>
      </w:r>
      <w:r w:rsidRPr="00307028">
        <w:rPr>
          <w:rFonts w:eastAsiaTheme="minorHAnsi" w:cstheme="minorBidi"/>
          <w:kern w:val="2"/>
          <w:u w:val="single"/>
          <w:lang w:eastAsia="en-US"/>
          <w14:ligatures w14:val="standardContextual"/>
        </w:rPr>
        <w:t>ka nepamatotu ierobežojumu ieviešana attālinātā darba veikšanai mazina iestādes kā darba devēja pievilcību nodarbināto skatījumā</w:t>
      </w:r>
      <w:r w:rsidRPr="00307028">
        <w:rPr>
          <w:rFonts w:eastAsiaTheme="minorHAnsi" w:cstheme="minorBidi"/>
          <w:kern w:val="2"/>
          <w:lang w:eastAsia="en-US"/>
          <w14:ligatures w14:val="standardContextual"/>
        </w:rPr>
        <w:t xml:space="preserve">, ja citas iestādes būs atvērtākas šādu risinājumu izmantošanai. </w:t>
      </w:r>
      <w:r w:rsidRPr="00307028">
        <w:rPr>
          <w:rFonts w:eastAsiaTheme="minorHAnsi"/>
          <w:kern w:val="2"/>
          <w:lang w:eastAsia="en-US"/>
          <w14:ligatures w14:val="standardContextual"/>
        </w:rPr>
        <w:t xml:space="preserve">Jāatzīmē, ka daļai valsts pārvaldē nodarbināto darba pienākumu specifika nepieļauj attālinātā darba veikšanu. </w:t>
      </w:r>
    </w:p>
    <w:p w14:paraId="2C9EE187" w14:textId="592128DE" w:rsidR="00925688" w:rsidRPr="00307028" w:rsidRDefault="00925688" w:rsidP="001F5284">
      <w:pPr>
        <w:spacing w:after="120" w:line="259" w:lineRule="auto"/>
        <w:ind w:firstLine="720"/>
        <w:jc w:val="both"/>
        <w:rPr>
          <w:rFonts w:eastAsiaTheme="minorHAnsi"/>
          <w:kern w:val="2"/>
          <w:lang w:eastAsia="en-US"/>
          <w14:ligatures w14:val="standardContextual"/>
        </w:rPr>
      </w:pPr>
      <w:bookmarkStart w:id="167" w:name="_Hlk141270838"/>
      <w:r w:rsidRPr="00307028">
        <w:rPr>
          <w:rFonts w:eastAsiaTheme="minorHAnsi"/>
          <w:kern w:val="2"/>
          <w:lang w:eastAsia="en-US"/>
          <w14:ligatures w14:val="standardContextual"/>
        </w:rPr>
        <w:t>Pagājušā gada izdevumu pārskatīšanas ietvaros tika vērtēti ministriju, to padotībā esošo valsts budžeta iestāžu</w:t>
      </w:r>
      <w:r w:rsidRPr="00307028">
        <w:rPr>
          <w:rFonts w:eastAsiaTheme="minorHAnsi"/>
          <w:kern w:val="2"/>
          <w:vertAlign w:val="superscript"/>
          <w:lang w:eastAsia="en-US"/>
          <w14:ligatures w14:val="standardContextual"/>
        </w:rPr>
        <w:footnoteReference w:id="93"/>
      </w:r>
      <w:r w:rsidRPr="00307028">
        <w:rPr>
          <w:rFonts w:eastAsiaTheme="minorHAnsi"/>
          <w:kern w:val="2"/>
          <w:lang w:eastAsia="en-US"/>
          <w14:ligatures w14:val="standardContextual"/>
        </w:rPr>
        <w:t>, citu centrālo valsts iestāžu un neatkarīgo iestāžu (turpmāk – iestādes) vajadzībām izmantotie nekustamie īpašumi Rīgā, bet šogad tika vērtēti</w:t>
      </w:r>
      <w:r w:rsidR="009D0EE6"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to vajadzībām izmantotie nekustamie īpašumi reģionos.</w:t>
      </w:r>
      <w:r w:rsidR="001F5284" w:rsidRPr="00307028">
        <w:rPr>
          <w:rFonts w:eastAsiaTheme="minorHAnsi"/>
          <w:kern w:val="2"/>
          <w:lang w:eastAsia="en-US"/>
          <w14:ligatures w14:val="standardContextual"/>
        </w:rPr>
        <w:t xml:space="preserve"> </w:t>
      </w:r>
      <w:r w:rsidRPr="00307028">
        <w:rPr>
          <w:rFonts w:eastAsiaTheme="minorHAnsi"/>
          <w:kern w:val="2"/>
          <w:lang w:eastAsia="en-US"/>
          <w14:ligatures w14:val="standardContextual"/>
        </w:rPr>
        <w:t xml:space="preserve">Lai gūtu priekšstatu par iestāžu vajadzībām izmantoto nekustamo īpašumu (biroja ēkām) reģionos, to uzturēšanas izdevumiem, darba organizācijas modeli, telpu noslodzi, ieņēmumiem no telpu nomas un iespējamo nekustamā īpašuma (biroja ēku) optimizācijas modeli, FM sagatavoja un </w:t>
      </w:r>
      <w:r w:rsidR="001F5284" w:rsidRPr="00307028">
        <w:rPr>
          <w:rFonts w:eastAsiaTheme="minorHAnsi"/>
          <w:kern w:val="2"/>
          <w:lang w:eastAsia="en-US"/>
          <w14:ligatures w14:val="standardContextual"/>
        </w:rPr>
        <w:t xml:space="preserve">iestādēm </w:t>
      </w:r>
      <w:r w:rsidRPr="00307028">
        <w:rPr>
          <w:rFonts w:eastAsiaTheme="minorHAnsi"/>
          <w:kern w:val="2"/>
          <w:lang w:eastAsia="en-US"/>
          <w14:ligatures w14:val="standardContextual"/>
        </w:rPr>
        <w:t>nosūtīja anketu.</w:t>
      </w:r>
    </w:p>
    <w:p w14:paraId="5168C67F" w14:textId="39430379" w:rsidR="00A73B4C" w:rsidRPr="00307028" w:rsidRDefault="00925688" w:rsidP="00AE7B9D">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Apkopojot anketās sniegto informāciju, secināts, ka </w:t>
      </w:r>
      <w:r w:rsidRPr="00307028">
        <w:rPr>
          <w:rFonts w:eastAsiaTheme="minorHAnsi"/>
          <w:b/>
          <w:bCs/>
          <w:kern w:val="2"/>
          <w:lang w:eastAsia="en-US"/>
          <w14:ligatures w14:val="standardContextual"/>
        </w:rPr>
        <w:t>reģionos iestāžu vajadzībām 2023. gadā tiek izmantoti 559 nekustamie īpašumi (biroja ēkas), kuru kopējā platība ir aptuveni 244,8 tūkst. m</w:t>
      </w:r>
      <w:r w:rsidRPr="00307028">
        <w:rPr>
          <w:rFonts w:eastAsiaTheme="minorHAnsi"/>
          <w:b/>
          <w:bCs/>
          <w:kern w:val="2"/>
          <w:vertAlign w:val="superscript"/>
          <w:lang w:eastAsia="en-US"/>
          <w14:ligatures w14:val="standardContextual"/>
        </w:rPr>
        <w:t>2</w:t>
      </w:r>
      <w:r w:rsidRPr="00307028">
        <w:rPr>
          <w:rFonts w:eastAsiaTheme="minorHAnsi"/>
          <w:b/>
          <w:bCs/>
          <w:kern w:val="2"/>
          <w:lang w:eastAsia="en-US"/>
          <w14:ligatures w14:val="standardContextual"/>
        </w:rPr>
        <w:t>, kopējie plānotie uzturēšanas izdevumi 2023. gadā veido 20,2 milj. </w:t>
      </w:r>
      <w:r w:rsidRPr="00307028">
        <w:rPr>
          <w:rFonts w:eastAsiaTheme="minorHAnsi"/>
          <w:b/>
          <w:bCs/>
          <w:i/>
          <w:iCs/>
          <w:kern w:val="2"/>
          <w:lang w:eastAsia="en-US"/>
          <w14:ligatures w14:val="standardContextual"/>
        </w:rPr>
        <w:t>euro</w:t>
      </w:r>
      <w:r w:rsidRPr="00307028">
        <w:rPr>
          <w:rFonts w:eastAsiaTheme="minorHAnsi"/>
          <w:b/>
          <w:bCs/>
          <w:kern w:val="2"/>
          <w:lang w:eastAsia="en-US"/>
          <w14:ligatures w14:val="standardContextual"/>
        </w:rPr>
        <w:t>.</w:t>
      </w:r>
      <w:r w:rsidRPr="00307028">
        <w:rPr>
          <w:rFonts w:eastAsiaTheme="minorHAnsi"/>
          <w:kern w:val="2"/>
          <w:lang w:eastAsia="en-US"/>
          <w14:ligatures w14:val="standardContextual"/>
        </w:rPr>
        <w:t xml:space="preserve"> Nekustamo īpašumu (biroja ēku) lietošanas tiesiskais pamats galvenokārt ir nomas līgums </w:t>
      </w:r>
      <w:bookmarkEnd w:id="167"/>
      <w:r w:rsidRPr="00307028">
        <w:rPr>
          <w:rFonts w:eastAsiaTheme="minorHAnsi"/>
          <w:kern w:val="2"/>
          <w:lang w:eastAsia="en-US"/>
          <w14:ligatures w14:val="standardContextual"/>
        </w:rPr>
        <w:t>(Attēls Nr. 4.1.).</w:t>
      </w:r>
    </w:p>
    <w:p w14:paraId="54926A4F"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3176950F"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3691C6A8"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4C5459E7"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21A2246B"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346574B3"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707A5CB1"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1DE88CDC"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63FB23B6" w14:textId="77777777" w:rsidR="00612E79" w:rsidRDefault="00612E79" w:rsidP="00925688">
      <w:pPr>
        <w:spacing w:after="120" w:line="259" w:lineRule="auto"/>
        <w:contextualSpacing/>
        <w:jc w:val="center"/>
        <w:rPr>
          <w:rFonts w:eastAsiaTheme="minorHAnsi"/>
          <w:b/>
          <w:bCs/>
          <w:i/>
          <w:iCs/>
          <w:kern w:val="2"/>
          <w:sz w:val="22"/>
          <w:szCs w:val="22"/>
          <w:lang w:eastAsia="en-US"/>
          <w14:ligatures w14:val="standardContextual"/>
        </w:rPr>
      </w:pPr>
    </w:p>
    <w:p w14:paraId="63D42AAF" w14:textId="7D709B1A" w:rsidR="00925688" w:rsidRPr="00307028" w:rsidRDefault="00925688" w:rsidP="00925688">
      <w:pPr>
        <w:spacing w:after="120" w:line="259" w:lineRule="auto"/>
        <w:contextualSpacing/>
        <w:jc w:val="center"/>
        <w:rPr>
          <w:rFonts w:eastAsiaTheme="minorHAnsi"/>
          <w:b/>
          <w:bCs/>
          <w:kern w:val="2"/>
          <w:sz w:val="22"/>
          <w:szCs w:val="22"/>
          <w:lang w:eastAsia="en-US"/>
          <w14:ligatures w14:val="standardContextual"/>
        </w:rPr>
      </w:pPr>
      <w:r w:rsidRPr="00307028">
        <w:rPr>
          <w:rFonts w:eastAsiaTheme="minorHAnsi"/>
          <w:b/>
          <w:bCs/>
          <w:i/>
          <w:iCs/>
          <w:kern w:val="2"/>
          <w:sz w:val="22"/>
          <w:szCs w:val="22"/>
          <w:lang w:eastAsia="en-US"/>
          <w14:ligatures w14:val="standardContextual"/>
        </w:rPr>
        <w:lastRenderedPageBreak/>
        <w:t>4.1. attēls</w:t>
      </w:r>
      <w:r w:rsidRPr="00307028">
        <w:rPr>
          <w:rFonts w:eastAsiaTheme="minorHAnsi"/>
          <w:b/>
          <w:bCs/>
          <w:kern w:val="2"/>
          <w:sz w:val="22"/>
          <w:szCs w:val="22"/>
          <w:lang w:eastAsia="en-US"/>
          <w14:ligatures w14:val="standardContextual"/>
        </w:rPr>
        <w:t xml:space="preserve"> Nekustamo īpašumu (biroja ēku) reģionos iedalījums</w:t>
      </w:r>
    </w:p>
    <w:p w14:paraId="0C98690B" w14:textId="77777777" w:rsidR="00612E79" w:rsidRDefault="00925688" w:rsidP="00612E79">
      <w:pPr>
        <w:spacing w:after="120" w:line="259" w:lineRule="auto"/>
        <w:contextualSpacing/>
        <w:jc w:val="center"/>
        <w:rPr>
          <w:rFonts w:eastAsiaTheme="minorHAnsi"/>
          <w:b/>
          <w:bCs/>
          <w:kern w:val="2"/>
          <w:sz w:val="22"/>
          <w:szCs w:val="2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4320" behindDoc="0" locked="0" layoutInCell="1" allowOverlap="1" wp14:anchorId="4566B2BE" wp14:editId="509260F9">
            <wp:simplePos x="0" y="0"/>
            <wp:positionH relativeFrom="margin">
              <wp:align>left</wp:align>
            </wp:positionH>
            <wp:positionV relativeFrom="paragraph">
              <wp:posOffset>211455</wp:posOffset>
            </wp:positionV>
            <wp:extent cx="5676900" cy="1216025"/>
            <wp:effectExtent l="0" t="0" r="0" b="3175"/>
            <wp:wrapThrough wrapText="bothSides">
              <wp:wrapPolygon edited="0">
                <wp:start x="0" y="0"/>
                <wp:lineTo x="0" y="21318"/>
                <wp:lineTo x="21528" y="21318"/>
                <wp:lineTo x="21528" y="0"/>
                <wp:lineTo x="0" y="0"/>
              </wp:wrapPolygon>
            </wp:wrapThrough>
            <wp:docPr id="464902220" name="Chart 1">
              <a:extLst xmlns:a="http://schemas.openxmlformats.org/drawingml/2006/main">
                <a:ext uri="{FF2B5EF4-FFF2-40B4-BE49-F238E27FC236}">
                  <a16:creationId xmlns:a16="http://schemas.microsoft.com/office/drawing/2014/main" id="{83C11EBC-B38D-4B58-AE7E-99E1E1211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14:sizeRelH relativeFrom="margin">
              <wp14:pctWidth>0</wp14:pctWidth>
            </wp14:sizeRelH>
            <wp14:sizeRelV relativeFrom="margin">
              <wp14:pctHeight>0</wp14:pctHeight>
            </wp14:sizeRelV>
          </wp:anchor>
        </w:drawing>
      </w:r>
      <w:r w:rsidRPr="00307028">
        <w:rPr>
          <w:rFonts w:eastAsiaTheme="minorHAnsi"/>
          <w:b/>
          <w:bCs/>
          <w:kern w:val="2"/>
          <w:sz w:val="22"/>
          <w:szCs w:val="22"/>
          <w:lang w:eastAsia="en-US"/>
          <w14:ligatures w14:val="standardContextual"/>
        </w:rPr>
        <w:t>pēc to lietošanas tiesiskā pamata</w:t>
      </w:r>
      <w:r w:rsidRPr="00307028">
        <w:rPr>
          <w:rFonts w:eastAsiaTheme="minorHAnsi"/>
          <w:b/>
          <w:bCs/>
          <w:kern w:val="2"/>
          <w:sz w:val="22"/>
          <w:szCs w:val="22"/>
          <w:vertAlign w:val="superscript"/>
          <w:lang w:eastAsia="en-US"/>
          <w14:ligatures w14:val="standardContextual"/>
        </w:rPr>
        <w:footnoteReference w:id="94"/>
      </w:r>
    </w:p>
    <w:p w14:paraId="1FE872FC" w14:textId="0CCF6D15" w:rsidR="00925688" w:rsidRPr="00612E79" w:rsidRDefault="00925688" w:rsidP="00612E79">
      <w:pPr>
        <w:spacing w:after="120" w:line="259" w:lineRule="auto"/>
        <w:ind w:firstLine="720"/>
        <w:contextualSpacing/>
        <w:jc w:val="both"/>
        <w:rPr>
          <w:rFonts w:eastAsiaTheme="minorHAnsi"/>
          <w:b/>
          <w:bCs/>
          <w:kern w:val="2"/>
          <w:sz w:val="22"/>
          <w:szCs w:val="22"/>
          <w:lang w:eastAsia="en-US"/>
          <w14:ligatures w14:val="standardContextual"/>
        </w:rPr>
      </w:pPr>
      <w:r w:rsidRPr="00307028">
        <w:rPr>
          <w:rFonts w:eastAsiaTheme="minorHAnsi"/>
          <w:kern w:val="2"/>
          <w:lang w:eastAsia="en-US"/>
          <w14:ligatures w14:val="standardContextual"/>
        </w:rPr>
        <w:t xml:space="preserve">Aplūkojot iestāžu izvietojumu pa reģioniem, secināts, ka </w:t>
      </w:r>
      <w:bookmarkStart w:id="168" w:name="_Hlk138770643"/>
      <w:r w:rsidRPr="00307028">
        <w:rPr>
          <w:rFonts w:eastAsiaTheme="minorHAnsi"/>
          <w:kern w:val="2"/>
          <w:lang w:eastAsia="en-US"/>
          <w14:ligatures w14:val="standardContextual"/>
        </w:rPr>
        <w:t xml:space="preserve">visvairāk iestāžu nekustamo īpašumu (biroja ēku) atrodas piecās valstspilsētās – Daugavpilī (36), Jelgavā (35), Rēzeknē (35), Valmieras novadā (34) un Liepājā (32), bet neviena nav Varakļānu novadā un Jelgavas novadā </w:t>
      </w:r>
      <w:bookmarkEnd w:id="168"/>
      <w:r w:rsidRPr="00307028">
        <w:rPr>
          <w:rFonts w:eastAsiaTheme="minorHAnsi"/>
          <w:kern w:val="2"/>
          <w:lang w:eastAsia="en-US"/>
          <w14:ligatures w14:val="standardContextual"/>
        </w:rPr>
        <w:t>(kas visticamāk skaidrojams ar to, ka Jelgavas novadā, salīdzinot ar citiem novadiem, ir lielākais VPVKAC skaits, kā arī salīdzinoši daudz iestāžu ir izvietotas Jelgavas valstspilsētā). Tāpat novērojams, ka salīdzinoši maz iestāžu nekustamie īpašumi (biroja ēkas) atrodas Rīgas plānošanas reģionā – Jūrmalā (14), Siguldas novadā (11), Mārupes novadā (4), Salaspils novadā (2), Olaines novadā (2), Ķekavas novadā (2), Ropažu novadā (1) un Ādažu novadā (1) (Attēls Nr. 4.2.).</w:t>
      </w:r>
    </w:p>
    <w:p w14:paraId="338FE73E" w14:textId="77777777" w:rsidR="00925688" w:rsidRPr="00307028" w:rsidRDefault="00925688" w:rsidP="00925688">
      <w:pPr>
        <w:spacing w:after="160" w:line="259" w:lineRule="auto"/>
        <w:jc w:val="center"/>
        <w:rPr>
          <w:rFonts w:eastAsiaTheme="minorHAnsi"/>
          <w:b/>
          <w:bCs/>
          <w:kern w:val="2"/>
          <w:sz w:val="22"/>
          <w:szCs w:val="22"/>
          <w:lang w:eastAsia="en-US"/>
          <w14:ligatures w14:val="standardContextual"/>
        </w:rPr>
      </w:pPr>
      <w:r w:rsidRPr="00307028">
        <w:rPr>
          <w:rFonts w:eastAsiaTheme="minorHAnsi"/>
          <w:b/>
          <w:bCs/>
          <w:noProof/>
          <w:kern w:val="2"/>
          <w:sz w:val="28"/>
          <w:szCs w:val="28"/>
          <w:lang w:eastAsia="en-US"/>
          <w14:ligatures w14:val="standardContextual"/>
        </w:rPr>
        <w:drawing>
          <wp:anchor distT="0" distB="0" distL="114300" distR="114300" simplePos="0" relativeHeight="251703296" behindDoc="0" locked="0" layoutInCell="1" allowOverlap="1" wp14:anchorId="368591AF" wp14:editId="3D32C1C3">
            <wp:simplePos x="0" y="0"/>
            <wp:positionH relativeFrom="column">
              <wp:posOffset>-6350</wp:posOffset>
            </wp:positionH>
            <wp:positionV relativeFrom="paragraph">
              <wp:posOffset>236855</wp:posOffset>
            </wp:positionV>
            <wp:extent cx="5715635" cy="3484880"/>
            <wp:effectExtent l="0" t="0" r="0" b="1270"/>
            <wp:wrapThrough wrapText="bothSides">
              <wp:wrapPolygon edited="0">
                <wp:start x="0" y="0"/>
                <wp:lineTo x="0" y="21490"/>
                <wp:lineTo x="21526" y="21490"/>
                <wp:lineTo x="21526" y="0"/>
                <wp:lineTo x="0" y="0"/>
              </wp:wrapPolygon>
            </wp:wrapThrough>
            <wp:docPr id="478528154"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28154" name="Picture 1" descr="A map of a country&#10;&#10;Description automatically generated"/>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3739" t="12452" r="3739" b="5172"/>
                    <a:stretch/>
                  </pic:blipFill>
                  <pic:spPr bwMode="auto">
                    <a:xfrm>
                      <a:off x="0" y="0"/>
                      <a:ext cx="5715635" cy="3484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028">
        <w:rPr>
          <w:rFonts w:eastAsiaTheme="minorHAnsi"/>
          <w:b/>
          <w:bCs/>
          <w:i/>
          <w:iCs/>
          <w:kern w:val="2"/>
          <w:sz w:val="22"/>
          <w:szCs w:val="22"/>
          <w:lang w:eastAsia="en-US"/>
          <w14:ligatures w14:val="standardContextual"/>
        </w:rPr>
        <w:t>4.2. attēls</w:t>
      </w:r>
      <w:r w:rsidRPr="00307028">
        <w:rPr>
          <w:rFonts w:eastAsiaTheme="minorHAnsi"/>
          <w:b/>
          <w:bCs/>
          <w:kern w:val="2"/>
          <w:sz w:val="22"/>
          <w:szCs w:val="22"/>
          <w:lang w:eastAsia="en-US"/>
          <w14:ligatures w14:val="standardContextual"/>
        </w:rPr>
        <w:t xml:space="preserve"> Nekustamo īpašumu (biroja ēku) reģionos izvietojums </w:t>
      </w:r>
    </w:p>
    <w:p w14:paraId="32A70A1E" w14:textId="7D25DB10" w:rsidR="00925688" w:rsidRPr="00307028" w:rsidRDefault="00925688" w:rsidP="00247C4C">
      <w:pPr>
        <w:spacing w:after="160" w:line="259" w:lineRule="auto"/>
        <w:ind w:firstLine="720"/>
        <w:jc w:val="both"/>
        <w:rPr>
          <w:rFonts w:eastAsiaTheme="minorHAnsi"/>
          <w:kern w:val="2"/>
          <w:lang w:eastAsia="en-US"/>
          <w14:ligatures w14:val="standardContextual"/>
        </w:rPr>
      </w:pPr>
      <w:r w:rsidRPr="00307028">
        <w:rPr>
          <w:rFonts w:eastAsiaTheme="minorHAnsi" w:cstheme="minorBidi"/>
          <w:kern w:val="2"/>
          <w:lang w:eastAsia="en-US"/>
          <w14:ligatures w14:val="standardContextual"/>
        </w:rPr>
        <w:t xml:space="preserve">Aplūkojot plānoto telpu noslodzes novērtējumu procentos 2023. gadam, secināms, ka </w:t>
      </w:r>
      <w:bookmarkStart w:id="169" w:name="_Hlk138770740"/>
      <w:r w:rsidRPr="00307028">
        <w:rPr>
          <w:rFonts w:eastAsiaTheme="minorHAnsi" w:cstheme="minorBidi"/>
          <w:kern w:val="2"/>
          <w:lang w:eastAsia="en-US"/>
          <w14:ligatures w14:val="standardContextual"/>
        </w:rPr>
        <w:t>lielākajai daļai (348) jeb 62% nekustamo īpašumu (biroja ēku) telpu noslodze novērtēta 100%</w:t>
      </w:r>
      <w:r w:rsidR="009D0EE6" w:rsidRPr="00307028">
        <w:rPr>
          <w:rFonts w:eastAsiaTheme="minorHAnsi" w:cstheme="minorBidi"/>
          <w:kern w:val="2"/>
          <w:lang w:eastAsia="en-US"/>
          <w14:ligatures w14:val="standardContextual"/>
        </w:rPr>
        <w:t xml:space="preserve"> apmērā</w:t>
      </w:r>
      <w:r w:rsidRPr="00307028">
        <w:rPr>
          <w:rFonts w:eastAsiaTheme="minorHAnsi" w:cstheme="minorBidi"/>
          <w:kern w:val="2"/>
          <w:lang w:eastAsia="en-US"/>
          <w14:ligatures w14:val="standardContextual"/>
        </w:rPr>
        <w:t>.</w:t>
      </w:r>
      <w:bookmarkEnd w:id="169"/>
      <w:r w:rsidRPr="00307028">
        <w:rPr>
          <w:rFonts w:eastAsiaTheme="minorHAnsi" w:cstheme="minorBidi"/>
          <w:kern w:val="2"/>
          <w:lang w:eastAsia="en-US"/>
          <w14:ligatures w14:val="standardContextual"/>
        </w:rPr>
        <w:t xml:space="preserve"> Atsevišķiem (11) nekustamajiem īpašumiem (biroja ēkām) t</w:t>
      </w:r>
      <w:r w:rsidR="009D0EE6" w:rsidRPr="00307028">
        <w:rPr>
          <w:rFonts w:eastAsiaTheme="minorHAnsi" w:cstheme="minorBidi"/>
          <w:kern w:val="2"/>
          <w:lang w:eastAsia="en-US"/>
          <w14:ligatures w14:val="standardContextual"/>
        </w:rPr>
        <w:t>ā</w:t>
      </w:r>
      <w:r w:rsidRPr="00307028">
        <w:rPr>
          <w:rFonts w:eastAsiaTheme="minorHAnsi" w:cstheme="minorBidi"/>
          <w:kern w:val="2"/>
          <w:lang w:eastAsia="en-US"/>
          <w14:ligatures w14:val="standardContextual"/>
        </w:rPr>
        <w:t xml:space="preserve"> ir mainīg</w:t>
      </w:r>
      <w:r w:rsidR="009D0EE6" w:rsidRPr="00307028">
        <w:rPr>
          <w:rFonts w:eastAsiaTheme="minorHAnsi" w:cstheme="minorBidi"/>
          <w:kern w:val="2"/>
          <w:lang w:eastAsia="en-US"/>
          <w14:ligatures w14:val="standardContextual"/>
        </w:rPr>
        <w:t>a</w:t>
      </w:r>
      <w:r w:rsidRPr="00307028">
        <w:rPr>
          <w:rFonts w:eastAsiaTheme="minorHAnsi" w:cstheme="minorBidi"/>
          <w:kern w:val="2"/>
          <w:lang w:eastAsia="en-US"/>
          <w14:ligatures w14:val="standardContextual"/>
        </w:rPr>
        <w:t xml:space="preserve">, ņemot vērā dažādus apstākļus, piemēram, tās ir kopstrādes telpas, vai tajās tiek organizētas mācības </w:t>
      </w:r>
      <w:r w:rsidRPr="00307028">
        <w:rPr>
          <w:rFonts w:eastAsiaTheme="minorHAnsi"/>
          <w:kern w:val="2"/>
          <w:lang w:eastAsia="en-US"/>
          <w14:ligatures w14:val="standardContextual"/>
        </w:rPr>
        <w:t xml:space="preserve">(Attēls Nr. 4.3.). </w:t>
      </w:r>
    </w:p>
    <w:p w14:paraId="1179518D" w14:textId="55FB874B" w:rsidR="00925688" w:rsidRPr="00307028" w:rsidRDefault="00925688" w:rsidP="00247C4C">
      <w:pPr>
        <w:spacing w:before="120" w:after="120"/>
        <w:ind w:firstLine="720"/>
        <w:jc w:val="both"/>
        <w:rPr>
          <w:rFonts w:eastAsiaTheme="minorHAnsi" w:cstheme="minorBidi"/>
          <w:kern w:val="2"/>
          <w:lang w:eastAsia="en-US"/>
          <w14:ligatures w14:val="standardContextual"/>
        </w:rPr>
      </w:pPr>
      <w:r w:rsidRPr="00307028">
        <w:rPr>
          <w:rFonts w:eastAsiaTheme="minorHAnsi"/>
          <w:kern w:val="2"/>
          <w:lang w:eastAsia="en-US"/>
          <w14:ligatures w14:val="standardContextual"/>
        </w:rPr>
        <w:lastRenderedPageBreak/>
        <w:t xml:space="preserve">Zemākais telpu noslodzes novērtējums (8%, 16% un 20%) ir VM padotībā esošajam NMPD, ko VM skaidro ar to, ka šajās telpās papildus administratīvā darba veicējiem strādā arī Brigāžu atbalsta centra un NMPD brigāžu darbinieki, līdz ar to tajās tiek uzglabāti nepieciešamie līdzekļi NMPD darbības nodrošināšanai, tajā skaitā izvietotas medikamentu noliktavas, telpas operatīvā medicīniskā transporta uzturēšanai, kā arī telpas praktisko treniņu veikšanai. </w:t>
      </w:r>
      <w:r w:rsidRPr="00307028">
        <w:rPr>
          <w:rFonts w:eastAsiaTheme="minorHAnsi" w:cstheme="minorBidi"/>
          <w:kern w:val="2"/>
          <w:lang w:eastAsia="en-US"/>
          <w14:ligatures w14:val="standardContextual"/>
        </w:rPr>
        <w:t>Iestādes darba specifika neļauj samazināt brigāžu punktus, jo iestādei jānodrošina funkcijas diennakts režīmā ar pieejamību iedzīvotājiem visā Latvijas teritorijā.</w:t>
      </w:r>
    </w:p>
    <w:p w14:paraId="763A4238" w14:textId="77777777" w:rsidR="00925688" w:rsidRPr="00307028" w:rsidRDefault="00925688" w:rsidP="00925688">
      <w:pPr>
        <w:spacing w:after="160" w:line="259" w:lineRule="auto"/>
        <w:jc w:val="center"/>
        <w:rPr>
          <w:rFonts w:eastAsiaTheme="minorHAnsi"/>
          <w:kern w:val="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5344" behindDoc="0" locked="0" layoutInCell="1" allowOverlap="1" wp14:anchorId="5F4031DA" wp14:editId="26ED7047">
            <wp:simplePos x="0" y="0"/>
            <wp:positionH relativeFrom="column">
              <wp:posOffset>8890</wp:posOffset>
            </wp:positionH>
            <wp:positionV relativeFrom="paragraph">
              <wp:posOffset>266700</wp:posOffset>
            </wp:positionV>
            <wp:extent cx="5702935" cy="2210435"/>
            <wp:effectExtent l="0" t="0" r="12065" b="18415"/>
            <wp:wrapThrough wrapText="bothSides">
              <wp:wrapPolygon edited="0">
                <wp:start x="0" y="0"/>
                <wp:lineTo x="0" y="21594"/>
                <wp:lineTo x="21574" y="21594"/>
                <wp:lineTo x="21574" y="0"/>
                <wp:lineTo x="0" y="0"/>
              </wp:wrapPolygon>
            </wp:wrapThrough>
            <wp:docPr id="2047157748" name="Chart 1">
              <a:extLst xmlns:a="http://schemas.openxmlformats.org/drawingml/2006/main">
                <a:ext uri="{FF2B5EF4-FFF2-40B4-BE49-F238E27FC236}">
                  <a16:creationId xmlns:a16="http://schemas.microsoft.com/office/drawing/2014/main" id="{83E37295-0DEC-4CBF-B5C5-0E8B4F5A2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14:sizeRelH relativeFrom="margin">
              <wp14:pctWidth>0</wp14:pctWidth>
            </wp14:sizeRelH>
            <wp14:sizeRelV relativeFrom="margin">
              <wp14:pctHeight>0</wp14:pctHeight>
            </wp14:sizeRelV>
          </wp:anchor>
        </w:drawing>
      </w:r>
      <w:r w:rsidRPr="00307028">
        <w:rPr>
          <w:rFonts w:eastAsiaTheme="minorHAnsi"/>
          <w:b/>
          <w:bCs/>
          <w:i/>
          <w:iCs/>
          <w:kern w:val="2"/>
          <w:lang w:eastAsia="en-US"/>
          <w14:ligatures w14:val="standardContextual"/>
        </w:rPr>
        <w:t>4.3. attēls</w:t>
      </w:r>
      <w:r w:rsidRPr="00307028">
        <w:rPr>
          <w:rFonts w:eastAsiaTheme="minorHAnsi"/>
          <w:kern w:val="2"/>
          <w:lang w:eastAsia="en-US"/>
          <w14:ligatures w14:val="standardContextual"/>
        </w:rPr>
        <w:t xml:space="preserve"> </w:t>
      </w:r>
      <w:r w:rsidRPr="00307028">
        <w:rPr>
          <w:rFonts w:eastAsiaTheme="minorHAnsi" w:cstheme="minorBidi"/>
          <w:b/>
          <w:bCs/>
          <w:kern w:val="2"/>
          <w:sz w:val="22"/>
          <w:szCs w:val="22"/>
          <w:lang w:eastAsia="en-US"/>
          <w14:ligatures w14:val="standardContextual"/>
        </w:rPr>
        <w:t>Iestāžu plānotais telpu noslodzes novērtējums 2023. gadā</w:t>
      </w:r>
    </w:p>
    <w:p w14:paraId="4A466D63" w14:textId="55C9918A" w:rsidR="00925688" w:rsidRPr="00307028" w:rsidRDefault="00925688" w:rsidP="00931049">
      <w:pPr>
        <w:spacing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No reģion</w:t>
      </w:r>
      <w:r w:rsidR="009D0EE6" w:rsidRPr="00307028">
        <w:rPr>
          <w:rFonts w:eastAsiaTheme="minorHAnsi" w:cstheme="minorBidi"/>
          <w:kern w:val="2"/>
          <w:lang w:eastAsia="en-US"/>
          <w14:ligatures w14:val="standardContextual"/>
        </w:rPr>
        <w:t>u</w:t>
      </w:r>
      <w:r w:rsidRPr="00307028">
        <w:rPr>
          <w:rFonts w:eastAsiaTheme="minorHAnsi" w:cstheme="minorBidi"/>
          <w:kern w:val="2"/>
          <w:lang w:eastAsia="en-US"/>
          <w14:ligatures w14:val="standardContextual"/>
        </w:rPr>
        <w:t xml:space="preserve"> iestāžu vajadzībām 2023. gadā izmantoto nekustamo īpašumu (biroja ēkas) kopējās platības vidēji 16,1% tiek izmantoti klientu apkalpošanai. 2022. gadā klātienē apkalpoti 23,4% klientu, savukārt attālināti – 76,6% (Attēls Nr. 4.4.).</w:t>
      </w:r>
    </w:p>
    <w:p w14:paraId="0ADF4450" w14:textId="77777777" w:rsidR="00925688" w:rsidRPr="00307028" w:rsidRDefault="00925688" w:rsidP="00925688">
      <w:pPr>
        <w:spacing w:before="120" w:line="259" w:lineRule="auto"/>
        <w:jc w:val="center"/>
        <w:rPr>
          <w:rFonts w:eastAsiaTheme="minorHAnsi" w:cstheme="minorBidi"/>
          <w:kern w:val="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6368" behindDoc="0" locked="0" layoutInCell="1" allowOverlap="1" wp14:anchorId="79397151" wp14:editId="644C396B">
            <wp:simplePos x="0" y="0"/>
            <wp:positionH relativeFrom="column">
              <wp:posOffset>311040</wp:posOffset>
            </wp:positionH>
            <wp:positionV relativeFrom="paragraph">
              <wp:posOffset>319074</wp:posOffset>
            </wp:positionV>
            <wp:extent cx="5239385" cy="2106930"/>
            <wp:effectExtent l="0" t="0" r="0" b="7620"/>
            <wp:wrapThrough wrapText="bothSides">
              <wp:wrapPolygon edited="0">
                <wp:start x="0" y="0"/>
                <wp:lineTo x="0" y="21483"/>
                <wp:lineTo x="21519" y="21483"/>
                <wp:lineTo x="21519" y="0"/>
                <wp:lineTo x="0" y="0"/>
              </wp:wrapPolygon>
            </wp:wrapThrough>
            <wp:docPr id="126522429" name="Chart 1">
              <a:extLst xmlns:a="http://schemas.openxmlformats.org/drawingml/2006/main">
                <a:ext uri="{FF2B5EF4-FFF2-40B4-BE49-F238E27FC236}">
                  <a16:creationId xmlns:a16="http://schemas.microsoft.com/office/drawing/2014/main" id="{BE1F9EAF-417B-2776-85AA-BAD14FE6D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14:sizeRelH relativeFrom="margin">
              <wp14:pctWidth>0</wp14:pctWidth>
            </wp14:sizeRelH>
            <wp14:sizeRelV relativeFrom="margin">
              <wp14:pctHeight>0</wp14:pctHeight>
            </wp14:sizeRelV>
          </wp:anchor>
        </w:drawing>
      </w:r>
      <w:r w:rsidRPr="00307028">
        <w:rPr>
          <w:rFonts w:eastAsiaTheme="minorHAnsi"/>
          <w:b/>
          <w:bCs/>
          <w:i/>
          <w:iCs/>
          <w:kern w:val="2"/>
          <w:lang w:eastAsia="en-US"/>
          <w14:ligatures w14:val="standardContextual"/>
        </w:rPr>
        <w:t>4.4. attēls</w:t>
      </w:r>
      <w:r w:rsidRPr="00307028">
        <w:rPr>
          <w:rFonts w:eastAsiaTheme="minorHAnsi"/>
          <w:kern w:val="2"/>
          <w:lang w:eastAsia="en-US"/>
          <w14:ligatures w14:val="standardContextual"/>
        </w:rPr>
        <w:t xml:space="preserve"> </w:t>
      </w:r>
      <w:r w:rsidRPr="00307028">
        <w:rPr>
          <w:rFonts w:eastAsiaTheme="minorHAnsi" w:cstheme="minorBidi"/>
          <w:b/>
          <w:bCs/>
          <w:kern w:val="2"/>
          <w:sz w:val="22"/>
          <w:szCs w:val="22"/>
          <w:lang w:eastAsia="en-US"/>
          <w14:ligatures w14:val="standardContextual"/>
        </w:rPr>
        <w:t>Klātienē un attālināti apkalpoto klientu īpatsvars 2022. gadā</w:t>
      </w:r>
    </w:p>
    <w:p w14:paraId="324C6045" w14:textId="77777777" w:rsidR="00925688" w:rsidRPr="00307028" w:rsidRDefault="00925688" w:rsidP="009D0EE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Visvairāk jeb 94,1% klientu klātienē 2022. gadā apkalpoja IeM resors, kas skaidrojams ar to, ka PMLP darba specifika paredz klātienes apkalpošanu saistībā ar personu apliecinošo un ceļošanas dokumentu izdošanu. Salīdzinoši daudz (74,7%) klientu klātienē apkalpoja arī ZM resors, kas skaidrojams ar to, ka VAAD un VTUA darba specifika paredz klientu apkalpošanu klātienē, respektīvi, apkalpojot klientus Klientu apkalpošanas centros vai dodoties pārbaudēs uz objektiem.</w:t>
      </w:r>
    </w:p>
    <w:p w14:paraId="3715FB2D" w14:textId="4D389340" w:rsidR="00925688" w:rsidRPr="00307028" w:rsidRDefault="00925688" w:rsidP="009D0EE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Savukārt vismazāk (1,1%) klātienē apkalpoto klientu 2022. gadā bija FM resoram, kas skaidrojams ar to, ka VID arvien vairāk attīsta attālināto klientu apkalpošanu. Tāpat salīdzinoši maz (2,7%) klientu klātienē ir apkalpoti arī TM resorā, kas pamatā skaidrojams ar to, ka VZD lielākā daļa klientu tiek apkalpoti attālināti.</w:t>
      </w:r>
    </w:p>
    <w:p w14:paraId="6151CB75" w14:textId="62F2C3D0" w:rsidR="00925688" w:rsidRPr="00307028" w:rsidRDefault="00925688" w:rsidP="00860BD7">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lastRenderedPageBreak/>
        <w:t xml:space="preserve">Pie jautājuma par plānoto darba organizācijas modeli </w:t>
      </w:r>
      <w:bookmarkStart w:id="170" w:name="_Hlk138770917"/>
      <w:r w:rsidRPr="00307028">
        <w:rPr>
          <w:rFonts w:eastAsiaTheme="minorHAnsi" w:cstheme="minorBidi"/>
          <w:kern w:val="2"/>
          <w:lang w:eastAsia="en-US"/>
          <w14:ligatures w14:val="standardContextual"/>
        </w:rPr>
        <w:t>2023. gadā secināts, ka 66%</w:t>
      </w:r>
      <w:r w:rsidR="007760F6">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nekustamo īpašumu plānots strādāt tikai klātienē, 25% nekustamo īpašumu plānots strādāt 3</w:t>
      </w:r>
      <w:r w:rsidR="00272A4B" w:rsidRPr="00307028">
        <w:rPr>
          <w:rFonts w:eastAsiaTheme="minorHAnsi" w:cstheme="minorBidi"/>
          <w:kern w:val="2"/>
          <w:lang w:eastAsia="en-US"/>
          <w14:ligatures w14:val="standardContextual"/>
        </w:rPr>
        <w:t> – </w:t>
      </w:r>
      <w:r w:rsidRPr="00307028">
        <w:rPr>
          <w:rFonts w:eastAsiaTheme="minorHAnsi" w:cstheme="minorBidi"/>
          <w:kern w:val="2"/>
          <w:lang w:eastAsia="en-US"/>
          <w14:ligatures w14:val="standardContextual"/>
        </w:rPr>
        <w:t>4</w:t>
      </w:r>
      <w:r w:rsidR="007760F6">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dienas klātienē, 6% nekustamo īpašumu plānots strādāt 1</w:t>
      </w:r>
      <w:r w:rsidR="00272A4B" w:rsidRPr="00307028">
        <w:rPr>
          <w:rFonts w:eastAsiaTheme="minorHAnsi" w:cstheme="minorBidi"/>
          <w:kern w:val="2"/>
          <w:lang w:eastAsia="en-US"/>
          <w14:ligatures w14:val="standardContextual"/>
        </w:rPr>
        <w:t xml:space="preserve"> – </w:t>
      </w:r>
      <w:r w:rsidRPr="00307028">
        <w:rPr>
          <w:rFonts w:eastAsiaTheme="minorHAnsi" w:cstheme="minorBidi"/>
          <w:kern w:val="2"/>
          <w:lang w:eastAsia="en-US"/>
          <w14:ligatures w14:val="standardContextual"/>
        </w:rPr>
        <w:t xml:space="preserve">2 dienas klātienē, savukārt 3% nekustamo īpašumu tiek pielietots hibrīda darba organizācijas modelis, kas iekļauj strādāšanu gan tikai attālināti, gan daļēji attālināti, gan tikai klātienē </w:t>
      </w:r>
      <w:r w:rsidRPr="00307028">
        <w:rPr>
          <w:rFonts w:eastAsiaTheme="minorHAnsi"/>
          <w:kern w:val="2"/>
          <w:lang w:eastAsia="en-US"/>
          <w14:ligatures w14:val="standardContextual"/>
        </w:rPr>
        <w:t>(Attēls Nr. 4.5.).</w:t>
      </w:r>
      <w:r w:rsidRPr="00307028">
        <w:rPr>
          <w:rFonts w:eastAsiaTheme="minorHAnsi" w:cstheme="minorBidi"/>
          <w:kern w:val="2"/>
          <w:lang w:eastAsia="en-US"/>
          <w14:ligatures w14:val="standardContextual"/>
        </w:rPr>
        <w:t xml:space="preserve"> </w:t>
      </w:r>
    </w:p>
    <w:bookmarkEnd w:id="170"/>
    <w:p w14:paraId="48F17B18" w14:textId="77777777" w:rsidR="00925688" w:rsidRPr="00307028" w:rsidRDefault="00925688" w:rsidP="00925688">
      <w:pPr>
        <w:spacing w:after="160" w:line="259" w:lineRule="auto"/>
        <w:jc w:val="center"/>
        <w:rPr>
          <w:rFonts w:eastAsiaTheme="minorHAnsi"/>
          <w:kern w:val="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8416" behindDoc="0" locked="0" layoutInCell="1" allowOverlap="1" wp14:anchorId="13E2A388" wp14:editId="4C06CA3F">
            <wp:simplePos x="0" y="0"/>
            <wp:positionH relativeFrom="margin">
              <wp:align>left</wp:align>
            </wp:positionH>
            <wp:positionV relativeFrom="paragraph">
              <wp:posOffset>248285</wp:posOffset>
            </wp:positionV>
            <wp:extent cx="5639435" cy="2371725"/>
            <wp:effectExtent l="0" t="0" r="18415" b="9525"/>
            <wp:wrapThrough wrapText="bothSides">
              <wp:wrapPolygon edited="0">
                <wp:start x="0" y="0"/>
                <wp:lineTo x="0" y="21513"/>
                <wp:lineTo x="21598" y="21513"/>
                <wp:lineTo x="21598" y="0"/>
                <wp:lineTo x="0" y="0"/>
              </wp:wrapPolygon>
            </wp:wrapThrough>
            <wp:docPr id="265241445" name="Chart 1">
              <a:extLst xmlns:a="http://schemas.openxmlformats.org/drawingml/2006/main">
                <a:ext uri="{FF2B5EF4-FFF2-40B4-BE49-F238E27FC236}">
                  <a16:creationId xmlns:a16="http://schemas.microsoft.com/office/drawing/2014/main" id="{8DDEF38E-452E-478E-ACF6-6C33A560C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14:sizeRelH relativeFrom="margin">
              <wp14:pctWidth>0</wp14:pctWidth>
            </wp14:sizeRelH>
            <wp14:sizeRelV relativeFrom="margin">
              <wp14:pctHeight>0</wp14:pctHeight>
            </wp14:sizeRelV>
          </wp:anchor>
        </w:drawing>
      </w:r>
      <w:r w:rsidRPr="00307028">
        <w:rPr>
          <w:rFonts w:eastAsiaTheme="minorHAnsi"/>
          <w:b/>
          <w:bCs/>
          <w:i/>
          <w:iCs/>
          <w:kern w:val="2"/>
          <w:lang w:eastAsia="en-US"/>
          <w14:ligatures w14:val="standardContextual"/>
        </w:rPr>
        <w:t>4.5. attēls</w:t>
      </w:r>
      <w:r w:rsidRPr="00307028">
        <w:rPr>
          <w:rFonts w:eastAsiaTheme="minorHAnsi"/>
          <w:kern w:val="2"/>
          <w:lang w:eastAsia="en-US"/>
          <w14:ligatures w14:val="standardContextual"/>
        </w:rPr>
        <w:t xml:space="preserve"> </w:t>
      </w:r>
      <w:r w:rsidRPr="00307028">
        <w:rPr>
          <w:rFonts w:eastAsiaTheme="minorHAnsi" w:cstheme="minorBidi"/>
          <w:b/>
          <w:bCs/>
          <w:kern w:val="2"/>
          <w:sz w:val="22"/>
          <w:szCs w:val="22"/>
          <w:lang w:eastAsia="en-US"/>
          <w14:ligatures w14:val="standardContextual"/>
        </w:rPr>
        <w:t>Iestāžu plānotais darba organizācijas modelis 2023. gadā</w:t>
      </w:r>
    </w:p>
    <w:p w14:paraId="730C30EA" w14:textId="6E95873C" w:rsidR="00925688" w:rsidRPr="00307028" w:rsidRDefault="00925688" w:rsidP="000E0906">
      <w:pPr>
        <w:spacing w:after="120" w:line="259" w:lineRule="auto"/>
        <w:ind w:firstLine="720"/>
        <w:jc w:val="both"/>
        <w:rPr>
          <w:rFonts w:eastAsiaTheme="minorHAnsi"/>
          <w:color w:val="212529"/>
          <w:kern w:val="2"/>
          <w:shd w:val="clear" w:color="auto" w:fill="FFFFFF"/>
          <w:lang w:eastAsia="en-US"/>
          <w14:ligatures w14:val="standardContextual"/>
        </w:rPr>
      </w:pPr>
      <w:bookmarkStart w:id="171" w:name="_Hlk138770847"/>
      <w:r w:rsidRPr="00307028">
        <w:rPr>
          <w:rFonts w:eastAsiaTheme="minorHAnsi" w:cstheme="minorBidi"/>
          <w:kern w:val="2"/>
          <w:lang w:eastAsia="en-US"/>
          <w14:ligatures w14:val="standardContextual"/>
        </w:rPr>
        <w:t>Lai gan 33 iestādes norādījušas, ka plāno strādāt daļēji attālināti</w:t>
      </w:r>
      <w:bookmarkEnd w:id="171"/>
      <w:r w:rsidRPr="00307028">
        <w:rPr>
          <w:rFonts w:eastAsiaTheme="minorHAnsi" w:cstheme="minorBidi"/>
          <w:kern w:val="2"/>
          <w:lang w:eastAsia="en-US"/>
          <w14:ligatures w14:val="standardContextual"/>
        </w:rPr>
        <w:t>, telpu noslodzes novērtējums norādīts 100%</w:t>
      </w:r>
      <w:r w:rsidR="00272A4B" w:rsidRPr="00307028">
        <w:rPr>
          <w:rFonts w:eastAsiaTheme="minorHAnsi" w:cstheme="minorBidi"/>
          <w:kern w:val="2"/>
          <w:lang w:eastAsia="en-US"/>
          <w14:ligatures w14:val="standardContextual"/>
        </w:rPr>
        <w:t xml:space="preserve"> apmērā</w:t>
      </w:r>
      <w:r w:rsidRPr="00307028">
        <w:rPr>
          <w:rFonts w:eastAsiaTheme="minorHAnsi" w:cstheme="minorBidi"/>
          <w:kern w:val="2"/>
          <w:lang w:eastAsia="en-US"/>
          <w14:ligatures w14:val="standardContextual"/>
        </w:rPr>
        <w:t xml:space="preserve">, </w:t>
      </w:r>
      <w:r w:rsidR="00272A4B" w:rsidRPr="00307028">
        <w:rPr>
          <w:rFonts w:eastAsiaTheme="minorHAnsi" w:cstheme="minorBidi"/>
          <w:kern w:val="2"/>
          <w:lang w:eastAsia="en-US"/>
          <w14:ligatures w14:val="standardContextual"/>
        </w:rPr>
        <w:t>līdz ar to šīm iestādēm</w:t>
      </w:r>
      <w:r w:rsidRPr="00307028">
        <w:rPr>
          <w:rFonts w:eastAsiaTheme="minorHAnsi" w:cstheme="minorBidi"/>
          <w:kern w:val="2"/>
          <w:lang w:eastAsia="en-US"/>
          <w14:ligatures w14:val="standardContextual"/>
        </w:rPr>
        <w:t xml:space="preserve"> telpu noslodze būtu atkārtoti pārskatāma. Iestādēm, kuras strādā daļēji attālināti (telpu noslodze ir no 35% līdz 99%), būtu jāizvērtē iespēja optimizēt biroja telpas </w:t>
      </w:r>
      <w:r w:rsidRPr="00307028">
        <w:rPr>
          <w:rFonts w:eastAsiaTheme="minorHAnsi"/>
          <w:kern w:val="2"/>
          <w:lang w:eastAsia="en-US"/>
          <w14:ligatures w14:val="standardContextual"/>
        </w:rPr>
        <w:t>–</w:t>
      </w:r>
      <w:r w:rsidRPr="00307028">
        <w:rPr>
          <w:rFonts w:eastAsiaTheme="minorHAnsi" w:cstheme="minorBidi"/>
          <w:kern w:val="2"/>
          <w:lang w:eastAsia="en-US"/>
          <w14:ligatures w14:val="standardContextual"/>
        </w:rPr>
        <w:t xml:space="preserve"> a</w:t>
      </w:r>
      <w:r w:rsidRPr="00307028">
        <w:rPr>
          <w:rFonts w:eastAsiaTheme="minorHAnsi" w:cstheme="minorBidi"/>
          <w:color w:val="212529"/>
          <w:kern w:val="2"/>
          <w:shd w:val="clear" w:color="auto" w:fill="FFFFFF"/>
          <w:lang w:eastAsia="en-US"/>
          <w14:ligatures w14:val="standardContextual"/>
        </w:rPr>
        <w:t xml:space="preserve">ttālinātais darbs sniedz iespēju iestādēm ietaupīt finanšu līdzekļus, ņemot vērā, ka samazinoties faktiskajai telpu noslodzei, iespējams samazināt izmantoto biroja telpu platību (atsakoties no daļas biroja telpu vai daļu biroja telpu nododot nomā, apvienojot biroja telpas ar citu iestādi) un samazināt komunālo pakalpojumu, apsaimniekošanas un citu pakalpojumu izdevumus, kas ļautu ilgtermiņā optimizēt kopējās apsaimniekošanas un </w:t>
      </w:r>
      <w:r w:rsidRPr="00307028">
        <w:rPr>
          <w:rFonts w:eastAsiaTheme="minorHAnsi"/>
          <w:kern w:val="2"/>
          <w:lang w:eastAsia="en-US"/>
          <w14:ligatures w14:val="standardContextual"/>
        </w:rPr>
        <w:t>nekustamo īpašumu (biroja ēku)</w:t>
      </w:r>
      <w:r w:rsidRPr="00307028">
        <w:rPr>
          <w:rFonts w:eastAsiaTheme="minorHAnsi" w:cstheme="minorBidi"/>
          <w:color w:val="212529"/>
          <w:kern w:val="2"/>
          <w:shd w:val="clear" w:color="auto" w:fill="FFFFFF"/>
          <w:lang w:eastAsia="en-US"/>
          <w14:ligatures w14:val="standardContextual"/>
        </w:rPr>
        <w:t xml:space="preserve"> uzturēšanas izmaksas.</w:t>
      </w:r>
      <w:r w:rsidR="000E0906" w:rsidRPr="00307028">
        <w:rPr>
          <w:rFonts w:eastAsiaTheme="minorHAnsi" w:cstheme="minorBidi"/>
          <w:color w:val="212529"/>
          <w:kern w:val="2"/>
          <w:shd w:val="clear" w:color="auto" w:fill="FFFFFF"/>
          <w:lang w:eastAsia="en-US"/>
          <w14:ligatures w14:val="standardContextual"/>
        </w:rPr>
        <w:t xml:space="preserve"> </w:t>
      </w:r>
      <w:r w:rsidRPr="00307028">
        <w:rPr>
          <w:rFonts w:eastAsiaTheme="minorHAnsi" w:cstheme="minorBidi"/>
          <w:b/>
          <w:bCs/>
          <w:color w:val="212529"/>
          <w:kern w:val="2"/>
          <w:shd w:val="clear" w:color="auto" w:fill="FFFFFF"/>
          <w:lang w:eastAsia="en-US"/>
          <w14:ligatures w14:val="standardContextual"/>
        </w:rPr>
        <w:t xml:space="preserve">Iestāžu vajadzībām izmantoto </w:t>
      </w:r>
      <w:r w:rsidRPr="00307028">
        <w:rPr>
          <w:rFonts w:eastAsiaTheme="minorHAnsi"/>
          <w:b/>
          <w:bCs/>
          <w:kern w:val="2"/>
          <w:lang w:eastAsia="en-US"/>
          <w14:ligatures w14:val="standardContextual"/>
        </w:rPr>
        <w:t>nekustamo īpašumu (biroja ēku)</w:t>
      </w:r>
      <w:r w:rsidRPr="00307028">
        <w:rPr>
          <w:rFonts w:eastAsiaTheme="minorHAnsi" w:cstheme="minorBidi"/>
          <w:b/>
          <w:bCs/>
          <w:color w:val="212529"/>
          <w:kern w:val="2"/>
          <w:shd w:val="clear" w:color="auto" w:fill="FFFFFF"/>
          <w:lang w:eastAsia="en-US"/>
          <w14:ligatures w14:val="standardContextual"/>
        </w:rPr>
        <w:t xml:space="preserve"> optimizācija un efektīva lietošana ilgtermiņā </w:t>
      </w:r>
      <w:r w:rsidR="00272A4B" w:rsidRPr="00307028">
        <w:rPr>
          <w:rFonts w:eastAsiaTheme="minorHAnsi" w:cstheme="minorBidi"/>
          <w:b/>
          <w:bCs/>
          <w:color w:val="212529"/>
          <w:kern w:val="2"/>
          <w:shd w:val="clear" w:color="auto" w:fill="FFFFFF"/>
          <w:lang w:eastAsia="en-US"/>
          <w14:ligatures w14:val="standardContextual"/>
        </w:rPr>
        <w:t xml:space="preserve">radītu </w:t>
      </w:r>
      <w:r w:rsidRPr="00307028">
        <w:rPr>
          <w:rFonts w:eastAsiaTheme="minorHAnsi" w:cstheme="minorBidi"/>
          <w:b/>
          <w:bCs/>
          <w:color w:val="212529"/>
          <w:kern w:val="2"/>
          <w:shd w:val="clear" w:color="auto" w:fill="FFFFFF"/>
          <w:lang w:eastAsia="en-US"/>
          <w14:ligatures w14:val="standardContextual"/>
        </w:rPr>
        <w:t>ietaupījumu valsts budžetā.</w:t>
      </w:r>
      <w:r w:rsidRPr="00307028">
        <w:rPr>
          <w:rFonts w:eastAsiaTheme="minorHAnsi"/>
          <w:b/>
          <w:bCs/>
          <w:color w:val="212529"/>
          <w:kern w:val="2"/>
          <w:shd w:val="clear" w:color="auto" w:fill="FFFFFF"/>
          <w:lang w:eastAsia="en-US"/>
          <w14:ligatures w14:val="standardContextual"/>
        </w:rPr>
        <w:t xml:space="preserve"> </w:t>
      </w:r>
    </w:p>
    <w:p w14:paraId="35BD821C" w14:textId="7E5657D5" w:rsidR="00925688" w:rsidRPr="00307028" w:rsidRDefault="00925688" w:rsidP="000E0906">
      <w:pPr>
        <w:spacing w:after="120" w:line="259" w:lineRule="auto"/>
        <w:ind w:firstLine="720"/>
        <w:jc w:val="both"/>
        <w:rPr>
          <w:rFonts w:eastAsiaTheme="minorHAnsi" w:cstheme="minorBidi"/>
          <w:color w:val="212529"/>
          <w:kern w:val="2"/>
          <w:shd w:val="clear" w:color="auto" w:fill="FFFFFF"/>
          <w:lang w:eastAsia="en-US"/>
          <w14:ligatures w14:val="standardContextual"/>
        </w:rPr>
      </w:pPr>
      <w:r w:rsidRPr="00307028">
        <w:rPr>
          <w:rFonts w:eastAsiaTheme="minorHAnsi" w:cstheme="minorBidi"/>
          <w:color w:val="212529"/>
          <w:kern w:val="2"/>
          <w:shd w:val="clear" w:color="auto" w:fill="FFFFFF"/>
          <w:lang w:eastAsia="en-US"/>
          <w14:ligatures w14:val="standardContextual"/>
        </w:rPr>
        <w:t>Tāpat attālinātā darba iespējas iestādē</w:t>
      </w:r>
      <w:r w:rsidRPr="00307028">
        <w:rPr>
          <w:rFonts w:eastAsiaTheme="minorHAnsi"/>
          <w:kern w:val="2"/>
          <w:lang w:eastAsia="en-US"/>
          <w14:ligatures w14:val="standardContextual"/>
        </w:rPr>
        <w:t>, ja darba pienākumi un tehnoloģiskie risinājumi to pieļauj,</w:t>
      </w:r>
      <w:r w:rsidRPr="00307028">
        <w:rPr>
          <w:rFonts w:eastAsiaTheme="minorHAnsi" w:cstheme="minorBidi"/>
          <w:color w:val="212529"/>
          <w:kern w:val="2"/>
          <w:shd w:val="clear" w:color="auto" w:fill="FFFFFF"/>
          <w:lang w:eastAsia="en-US"/>
          <w14:ligatures w14:val="standardContextual"/>
        </w:rPr>
        <w:t xml:space="preserve"> var radīt arī nozīmīgu ietekmi attiecībā uz kvalificētu darbinieku piesaisti, piemēram, nodarbinot darbiniekus, kuru dzīvesvieta ir citā reģionā, un darbinieku apmierinātību – strādājot no mājām, nodarbinātajiem ir iespēja ieekonomēt laiku, kas līdz šim tika pavadīts ceļā uz un no darba, </w:t>
      </w:r>
      <w:r w:rsidR="00272A4B" w:rsidRPr="00307028">
        <w:rPr>
          <w:rFonts w:eastAsiaTheme="minorHAnsi" w:cstheme="minorBidi"/>
          <w:color w:val="212529"/>
          <w:kern w:val="2"/>
          <w:shd w:val="clear" w:color="auto" w:fill="FFFFFF"/>
          <w:lang w:eastAsia="en-US"/>
          <w14:ligatures w14:val="standardContextual"/>
        </w:rPr>
        <w:t xml:space="preserve">kā arī </w:t>
      </w:r>
      <w:r w:rsidRPr="00307028">
        <w:rPr>
          <w:rFonts w:eastAsiaTheme="minorHAnsi" w:cstheme="minorBidi"/>
          <w:color w:val="212529"/>
          <w:kern w:val="2"/>
          <w:shd w:val="clear" w:color="auto" w:fill="FFFFFF"/>
          <w:lang w:eastAsia="en-US"/>
          <w14:ligatures w14:val="standardContextual"/>
        </w:rPr>
        <w:t>samazināt transporta izdevumus.</w:t>
      </w:r>
    </w:p>
    <w:p w14:paraId="423544D0" w14:textId="25F03DAC" w:rsidR="00925688" w:rsidRPr="00307028" w:rsidRDefault="00272A4B" w:rsidP="000E0906">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J</w:t>
      </w:r>
      <w:r w:rsidR="00925688" w:rsidRPr="00307028">
        <w:rPr>
          <w:rFonts w:eastAsiaTheme="minorHAnsi" w:cstheme="minorBidi"/>
          <w:kern w:val="2"/>
          <w:lang w:eastAsia="en-US"/>
          <w14:ligatures w14:val="standardContextual"/>
        </w:rPr>
        <w:t>autājum</w:t>
      </w:r>
      <w:r w:rsidRPr="00307028">
        <w:rPr>
          <w:rFonts w:eastAsiaTheme="minorHAnsi" w:cstheme="minorBidi"/>
          <w:kern w:val="2"/>
          <w:lang w:eastAsia="en-US"/>
          <w14:ligatures w14:val="standardContextual"/>
        </w:rPr>
        <w:t>ā</w:t>
      </w:r>
      <w:r w:rsidR="00925688" w:rsidRPr="00307028">
        <w:rPr>
          <w:rFonts w:eastAsiaTheme="minorHAnsi" w:cstheme="minorBidi"/>
          <w:kern w:val="2"/>
          <w:lang w:eastAsia="en-US"/>
          <w14:ligatures w14:val="standardContextual"/>
        </w:rPr>
        <w:t xml:space="preserve"> par iestāžu pieeju darba organizācijā secināts, ka iestādes galvenokārt (77%</w:t>
      </w:r>
      <w:r w:rsidR="007760F6">
        <w:rPr>
          <w:rFonts w:eastAsiaTheme="minorHAnsi" w:cstheme="minorBidi"/>
          <w:kern w:val="2"/>
          <w:lang w:eastAsia="en-US"/>
          <w14:ligatures w14:val="standardContextual"/>
        </w:rPr>
        <w:t> </w:t>
      </w:r>
      <w:r w:rsidR="00925688" w:rsidRPr="00307028">
        <w:rPr>
          <w:rFonts w:eastAsiaTheme="minorHAnsi" w:cstheme="minorBidi"/>
          <w:kern w:val="2"/>
          <w:lang w:eastAsia="en-US"/>
          <w14:ligatures w14:val="standardContextual"/>
        </w:rPr>
        <w:t>nekustam</w:t>
      </w:r>
      <w:r w:rsidRPr="00307028">
        <w:rPr>
          <w:rFonts w:eastAsiaTheme="minorHAnsi" w:cstheme="minorBidi"/>
          <w:kern w:val="2"/>
          <w:lang w:eastAsia="en-US"/>
          <w14:ligatures w14:val="standardContextual"/>
        </w:rPr>
        <w:t>o</w:t>
      </w:r>
      <w:r w:rsidR="00925688" w:rsidRPr="00307028">
        <w:rPr>
          <w:rFonts w:eastAsiaTheme="minorHAnsi" w:cstheme="minorBidi"/>
          <w:kern w:val="2"/>
          <w:lang w:eastAsia="en-US"/>
          <w14:ligatures w14:val="standardContextual"/>
        </w:rPr>
        <w:t xml:space="preserve"> īpašum</w:t>
      </w:r>
      <w:r w:rsidRPr="00307028">
        <w:rPr>
          <w:rFonts w:eastAsiaTheme="minorHAnsi" w:cstheme="minorBidi"/>
          <w:kern w:val="2"/>
          <w:lang w:eastAsia="en-US"/>
          <w14:ligatures w14:val="standardContextual"/>
        </w:rPr>
        <w:t>u</w:t>
      </w:r>
      <w:r w:rsidR="00925688" w:rsidRPr="00307028">
        <w:rPr>
          <w:rFonts w:eastAsiaTheme="minorHAnsi" w:cstheme="minorBidi"/>
          <w:kern w:val="2"/>
          <w:lang w:eastAsia="en-US"/>
          <w14:ligatures w14:val="standardContextual"/>
        </w:rPr>
        <w:t>) nodrošina katram darbiniekam savu darba galdu. Iespēju birojā izvēlēties starp dažādām zonām, pamatojoties uz aktivitātēm</w:t>
      </w:r>
      <w:r w:rsidRPr="00307028">
        <w:rPr>
          <w:rFonts w:eastAsiaTheme="minorHAnsi" w:cstheme="minorBidi"/>
          <w:kern w:val="2"/>
          <w:lang w:eastAsia="en-US"/>
          <w14:ligatures w14:val="standardContextual"/>
        </w:rPr>
        <w:t>,</w:t>
      </w:r>
      <w:r w:rsidR="00925688" w:rsidRPr="00307028">
        <w:rPr>
          <w:rFonts w:eastAsiaTheme="minorHAnsi" w:cstheme="minorBidi"/>
          <w:kern w:val="2"/>
          <w:lang w:eastAsia="en-US"/>
          <w14:ligatures w14:val="standardContextual"/>
        </w:rPr>
        <w:t xml:space="preserve"> nodrošina tikai TM resorā (5%</w:t>
      </w:r>
      <w:r w:rsidR="007760F6">
        <w:rPr>
          <w:rFonts w:eastAsiaTheme="minorHAnsi" w:cstheme="minorBidi"/>
          <w:kern w:val="2"/>
          <w:lang w:eastAsia="en-US"/>
          <w14:ligatures w14:val="standardContextual"/>
        </w:rPr>
        <w:t> </w:t>
      </w:r>
      <w:r w:rsidR="00925688" w:rsidRPr="00307028">
        <w:rPr>
          <w:rFonts w:eastAsiaTheme="minorHAnsi" w:cstheme="minorBidi"/>
          <w:kern w:val="2"/>
          <w:lang w:eastAsia="en-US"/>
          <w14:ligatures w14:val="standardContextual"/>
        </w:rPr>
        <w:t>nekustam</w:t>
      </w:r>
      <w:r w:rsidRPr="00307028">
        <w:rPr>
          <w:rFonts w:eastAsiaTheme="minorHAnsi" w:cstheme="minorBidi"/>
          <w:kern w:val="2"/>
          <w:lang w:eastAsia="en-US"/>
          <w14:ligatures w14:val="standardContextual"/>
        </w:rPr>
        <w:t>o</w:t>
      </w:r>
      <w:r w:rsidR="00925688" w:rsidRPr="00307028">
        <w:rPr>
          <w:rFonts w:eastAsiaTheme="minorHAnsi" w:cstheme="minorBidi"/>
          <w:kern w:val="2"/>
          <w:lang w:eastAsia="en-US"/>
          <w14:ligatures w14:val="standardContextual"/>
        </w:rPr>
        <w:t xml:space="preserve"> īpašum</w:t>
      </w:r>
      <w:r w:rsidRPr="00307028">
        <w:rPr>
          <w:rFonts w:eastAsiaTheme="minorHAnsi" w:cstheme="minorBidi"/>
          <w:kern w:val="2"/>
          <w:lang w:eastAsia="en-US"/>
          <w14:ligatures w14:val="standardContextual"/>
        </w:rPr>
        <w:t>u</w:t>
      </w:r>
      <w:r w:rsidR="00925688" w:rsidRPr="00307028">
        <w:rPr>
          <w:rFonts w:eastAsiaTheme="minorHAnsi" w:cstheme="minorBidi"/>
          <w:kern w:val="2"/>
          <w:lang w:eastAsia="en-US"/>
          <w14:ligatures w14:val="standardContextual"/>
        </w:rPr>
        <w:t>). Savukārt tikai 2% nekustam</w:t>
      </w:r>
      <w:r w:rsidRPr="00307028">
        <w:rPr>
          <w:rFonts w:eastAsiaTheme="minorHAnsi" w:cstheme="minorBidi"/>
          <w:kern w:val="2"/>
          <w:lang w:eastAsia="en-US"/>
          <w14:ligatures w14:val="standardContextual"/>
        </w:rPr>
        <w:t>o</w:t>
      </w:r>
      <w:r w:rsidR="00925688" w:rsidRPr="00307028">
        <w:rPr>
          <w:rFonts w:eastAsiaTheme="minorHAnsi" w:cstheme="minorBidi"/>
          <w:kern w:val="2"/>
          <w:lang w:eastAsia="en-US"/>
          <w14:ligatures w14:val="standardContextual"/>
        </w:rPr>
        <w:t xml:space="preserve"> īpašum</w:t>
      </w:r>
      <w:r w:rsidRPr="00307028">
        <w:rPr>
          <w:rFonts w:eastAsiaTheme="minorHAnsi" w:cstheme="minorBidi"/>
          <w:kern w:val="2"/>
          <w:lang w:eastAsia="en-US"/>
          <w14:ligatures w14:val="standardContextual"/>
        </w:rPr>
        <w:t>u</w:t>
      </w:r>
      <w:r w:rsidR="00925688" w:rsidRPr="00307028">
        <w:rPr>
          <w:rFonts w:eastAsiaTheme="minorHAnsi" w:cstheme="minorBidi"/>
          <w:kern w:val="2"/>
          <w:lang w:eastAsia="en-US"/>
          <w14:ligatures w14:val="standardContextual"/>
        </w:rPr>
        <w:t xml:space="preserve"> nodrošināta iespēja darbiniekiem brīvi izvēlēties savu darba vietu un dalīt darba galdu ar citiem. Visas iepriekš minētās pieejas darba organizācijā vienlaikus pielieto 16% nekustam</w:t>
      </w:r>
      <w:r w:rsidRPr="00307028">
        <w:rPr>
          <w:rFonts w:eastAsiaTheme="minorHAnsi" w:cstheme="minorBidi"/>
          <w:kern w:val="2"/>
          <w:lang w:eastAsia="en-US"/>
          <w14:ligatures w14:val="standardContextual"/>
        </w:rPr>
        <w:t>o</w:t>
      </w:r>
      <w:r w:rsidR="00925688" w:rsidRPr="00307028">
        <w:rPr>
          <w:rFonts w:eastAsiaTheme="minorHAnsi" w:cstheme="minorBidi"/>
          <w:kern w:val="2"/>
          <w:lang w:eastAsia="en-US"/>
          <w14:ligatures w14:val="standardContextual"/>
        </w:rPr>
        <w:t xml:space="preserve"> īpašum</w:t>
      </w:r>
      <w:r w:rsidRPr="00307028">
        <w:rPr>
          <w:rFonts w:eastAsiaTheme="minorHAnsi" w:cstheme="minorBidi"/>
          <w:kern w:val="2"/>
          <w:lang w:eastAsia="en-US"/>
          <w14:ligatures w14:val="standardContextual"/>
        </w:rPr>
        <w:t>u</w:t>
      </w:r>
      <w:r w:rsidR="00925688" w:rsidRPr="00307028">
        <w:rPr>
          <w:rFonts w:eastAsiaTheme="minorHAnsi" w:cstheme="minorBidi"/>
          <w:kern w:val="2"/>
          <w:lang w:eastAsia="en-US"/>
          <w14:ligatures w14:val="standardContextual"/>
        </w:rPr>
        <w:t xml:space="preserve"> (Attēls Nr. 4.6.).</w:t>
      </w:r>
    </w:p>
    <w:p w14:paraId="0D2F1DFB" w14:textId="0B02FC6E" w:rsidR="00925688" w:rsidRPr="00307028" w:rsidRDefault="00925688" w:rsidP="00781B78">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VNĪ nākotnes biroja koncepcijā tiecās pāriet uz aktivitātēs balstītu biroju, kas nozīmē, ka </w:t>
      </w:r>
      <w:r w:rsidR="000E0906" w:rsidRPr="00307028">
        <w:rPr>
          <w:rFonts w:eastAsiaTheme="minorHAnsi" w:cstheme="minorBidi"/>
          <w:kern w:val="2"/>
          <w:lang w:eastAsia="en-US"/>
          <w14:ligatures w14:val="standardContextual"/>
        </w:rPr>
        <w:t xml:space="preserve">darbiniekiem </w:t>
      </w:r>
      <w:r w:rsidRPr="00307028">
        <w:rPr>
          <w:rFonts w:eastAsiaTheme="minorHAnsi" w:cstheme="minorBidi"/>
          <w:kern w:val="2"/>
          <w:lang w:eastAsia="en-US"/>
          <w14:ligatures w14:val="standardContextual"/>
        </w:rPr>
        <w:t>nav piesaistītās darba vietas</w:t>
      </w:r>
      <w:r w:rsidR="000E0906" w:rsidRPr="00307028">
        <w:rPr>
          <w:rFonts w:eastAsiaTheme="minorHAnsi" w:cstheme="minorBidi"/>
          <w:kern w:val="2"/>
          <w:lang w:eastAsia="en-US"/>
          <w14:ligatures w14:val="standardContextual"/>
        </w:rPr>
        <w:t>, t.i. konkrēts darba galds</w:t>
      </w:r>
      <w:r w:rsidRPr="00307028">
        <w:rPr>
          <w:rFonts w:eastAsiaTheme="minorHAnsi" w:cstheme="minorBidi"/>
          <w:kern w:val="2"/>
          <w:lang w:eastAsia="en-US"/>
          <w14:ligatures w14:val="standardContextual"/>
        </w:rPr>
        <w:t>, bet, ka biroj</w:t>
      </w:r>
      <w:r w:rsidR="00781B78" w:rsidRPr="00307028">
        <w:rPr>
          <w:rFonts w:eastAsiaTheme="minorHAnsi" w:cstheme="minorBidi"/>
          <w:kern w:val="2"/>
          <w:lang w:eastAsia="en-US"/>
          <w14:ligatures w14:val="standardContextual"/>
        </w:rPr>
        <w:t>s</w:t>
      </w:r>
      <w:r w:rsidRPr="00307028">
        <w:rPr>
          <w:rFonts w:eastAsiaTheme="minorHAnsi" w:cstheme="minorBidi"/>
          <w:kern w:val="2"/>
          <w:lang w:eastAsia="en-US"/>
          <w14:ligatures w14:val="standardContextual"/>
        </w:rPr>
        <w:t xml:space="preserve"> ir sadalīts </w:t>
      </w:r>
      <w:r w:rsidRPr="00307028">
        <w:rPr>
          <w:rFonts w:eastAsiaTheme="minorHAnsi" w:cstheme="minorBidi"/>
          <w:kern w:val="2"/>
          <w:lang w:eastAsia="en-US"/>
          <w14:ligatures w14:val="standardContextual"/>
        </w:rPr>
        <w:lastRenderedPageBreak/>
        <w:t>funkcionālās zon</w:t>
      </w:r>
      <w:r w:rsidR="00781B78" w:rsidRPr="00307028">
        <w:rPr>
          <w:rFonts w:eastAsiaTheme="minorHAnsi" w:cstheme="minorBidi"/>
          <w:kern w:val="2"/>
          <w:lang w:eastAsia="en-US"/>
          <w14:ligatures w14:val="standardContextual"/>
        </w:rPr>
        <w:t>ā</w:t>
      </w:r>
      <w:r w:rsidRPr="00307028">
        <w:rPr>
          <w:rFonts w:eastAsiaTheme="minorHAnsi" w:cstheme="minorBidi"/>
          <w:kern w:val="2"/>
          <w:lang w:eastAsia="en-US"/>
          <w14:ligatures w14:val="standardContextual"/>
        </w:rPr>
        <w:t>s. Darba vide tiek veidota vidēji par 30% mazākā platībā, optimizējot atbalsta personālu, biroja telpu uzturēšanas un aprīkojuma izmaksas.</w:t>
      </w:r>
      <w:r w:rsidRPr="00307028">
        <w:rPr>
          <w:rFonts w:eastAsiaTheme="minorHAnsi" w:cstheme="minorBidi"/>
          <w:kern w:val="2"/>
          <w:vertAlign w:val="superscript"/>
          <w:lang w:eastAsia="en-US"/>
          <w14:ligatures w14:val="standardContextual"/>
        </w:rPr>
        <w:footnoteReference w:id="95"/>
      </w:r>
    </w:p>
    <w:p w14:paraId="639DEE6A" w14:textId="77777777" w:rsidR="00925688" w:rsidRPr="00307028" w:rsidRDefault="00925688" w:rsidP="00925688">
      <w:pPr>
        <w:spacing w:after="120" w:line="259" w:lineRule="auto"/>
        <w:jc w:val="center"/>
        <w:rPr>
          <w:rFonts w:eastAsiaTheme="minorHAnsi" w:cstheme="minorBidi"/>
          <w:b/>
          <w:bCs/>
          <w:kern w:val="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9440" behindDoc="0" locked="0" layoutInCell="1" allowOverlap="1" wp14:anchorId="6CDB3E9B" wp14:editId="18FB052C">
            <wp:simplePos x="0" y="0"/>
            <wp:positionH relativeFrom="margin">
              <wp:posOffset>291465</wp:posOffset>
            </wp:positionH>
            <wp:positionV relativeFrom="paragraph">
              <wp:posOffset>295275</wp:posOffset>
            </wp:positionV>
            <wp:extent cx="4981575" cy="2447925"/>
            <wp:effectExtent l="0" t="0" r="9525" b="9525"/>
            <wp:wrapThrough wrapText="bothSides">
              <wp:wrapPolygon edited="0">
                <wp:start x="0" y="0"/>
                <wp:lineTo x="0" y="21516"/>
                <wp:lineTo x="21559" y="21516"/>
                <wp:lineTo x="21559" y="0"/>
                <wp:lineTo x="0" y="0"/>
              </wp:wrapPolygon>
            </wp:wrapThrough>
            <wp:docPr id="329544546" name="Chart 1">
              <a:extLst xmlns:a="http://schemas.openxmlformats.org/drawingml/2006/main">
                <a:ext uri="{FF2B5EF4-FFF2-40B4-BE49-F238E27FC236}">
                  <a16:creationId xmlns:a16="http://schemas.microsoft.com/office/drawing/2014/main" id="{7B441775-4F6F-482D-9771-E7DE8D492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14:sizeRelH relativeFrom="margin">
              <wp14:pctWidth>0</wp14:pctWidth>
            </wp14:sizeRelH>
            <wp14:sizeRelV relativeFrom="margin">
              <wp14:pctHeight>0</wp14:pctHeight>
            </wp14:sizeRelV>
          </wp:anchor>
        </w:drawing>
      </w:r>
      <w:r w:rsidRPr="00307028">
        <w:rPr>
          <w:rFonts w:eastAsiaTheme="minorHAnsi" w:cstheme="minorBidi"/>
          <w:b/>
          <w:bCs/>
          <w:i/>
          <w:iCs/>
          <w:kern w:val="2"/>
          <w:lang w:eastAsia="en-US"/>
          <w14:ligatures w14:val="standardContextual"/>
        </w:rPr>
        <w:t>4.6. attēls</w:t>
      </w:r>
      <w:r w:rsidRPr="00307028">
        <w:rPr>
          <w:rFonts w:eastAsiaTheme="minorHAnsi" w:cstheme="minorBidi"/>
          <w:b/>
          <w:bCs/>
          <w:kern w:val="2"/>
          <w:lang w:eastAsia="en-US"/>
          <w14:ligatures w14:val="standardContextual"/>
        </w:rPr>
        <w:t xml:space="preserve"> Iestāžu pieeja darba organizācijā 2023. gadā</w:t>
      </w:r>
    </w:p>
    <w:p w14:paraId="046F09E3" w14:textId="738E330D" w:rsidR="00925688" w:rsidRPr="00307028" w:rsidRDefault="00925688" w:rsidP="00781B78">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Aplūkojot izdevumus, kas iestādēm rodas no biroja telpu nomas, nekustamā īpašuma apsaimniekošanas un komunālajiem pakalpojumiem, un citiem uzturēšanas izdevumiem, secināts, ka viszemākie izdevumi par viena m</w:t>
      </w:r>
      <w:r w:rsidRPr="00307028">
        <w:rPr>
          <w:rFonts w:eastAsiaTheme="minorHAnsi" w:cstheme="minorBidi"/>
          <w:kern w:val="2"/>
          <w:vertAlign w:val="superscript"/>
          <w:lang w:eastAsia="en-US"/>
          <w14:ligatures w14:val="standardContextual"/>
        </w:rPr>
        <w:t xml:space="preserve">2 </w:t>
      </w:r>
      <w:r w:rsidRPr="00307028">
        <w:rPr>
          <w:rFonts w:eastAsiaTheme="minorHAnsi" w:cstheme="minorBidi"/>
          <w:kern w:val="2"/>
          <w:lang w:eastAsia="en-US"/>
          <w14:ligatures w14:val="standardContextual"/>
        </w:rPr>
        <w:t xml:space="preserve">uzturēšanu ir biroja telpām, kas ir bezatlīdzības lietošanā (42,0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savukārt, visaugstākie izdevumi </w:t>
      </w:r>
      <w:r w:rsidRPr="00307028">
        <w:rPr>
          <w:rFonts w:eastAsiaTheme="minorHAnsi"/>
          <w:kern w:val="2"/>
          <w:lang w:eastAsia="en-US"/>
          <w14:ligatures w14:val="standardContextual"/>
        </w:rPr>
        <w:t>–</w:t>
      </w:r>
      <w:r w:rsidRPr="00307028">
        <w:rPr>
          <w:rFonts w:eastAsiaTheme="minorHAnsi" w:cstheme="minorBidi"/>
          <w:kern w:val="2"/>
          <w:lang w:eastAsia="en-US"/>
          <w14:ligatures w14:val="standardContextual"/>
        </w:rPr>
        <w:t xml:space="preserve"> biroja telpām ar nomas līgumu (103,1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(Attēls Nr. 4.7.).</w:t>
      </w:r>
    </w:p>
    <w:p w14:paraId="32DAF78C" w14:textId="77777777" w:rsidR="00925688" w:rsidRPr="00307028" w:rsidRDefault="00925688" w:rsidP="00925688">
      <w:pPr>
        <w:spacing w:after="160" w:line="259" w:lineRule="auto"/>
        <w:jc w:val="center"/>
        <w:rPr>
          <w:rFonts w:eastAsiaTheme="minorHAnsi" w:cstheme="minorBidi"/>
          <w:kern w:val="2"/>
          <w:lang w:eastAsia="en-US"/>
          <w14:ligatures w14:val="standardContextual"/>
        </w:rPr>
      </w:pPr>
      <w:r w:rsidRPr="0030702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707392" behindDoc="0" locked="0" layoutInCell="1" allowOverlap="1" wp14:anchorId="6C4B504E" wp14:editId="082A659B">
            <wp:simplePos x="0" y="0"/>
            <wp:positionH relativeFrom="margin">
              <wp:align>left</wp:align>
            </wp:positionH>
            <wp:positionV relativeFrom="paragraph">
              <wp:posOffset>544195</wp:posOffset>
            </wp:positionV>
            <wp:extent cx="5715635" cy="2385060"/>
            <wp:effectExtent l="0" t="0" r="18415" b="15240"/>
            <wp:wrapThrough wrapText="bothSides">
              <wp:wrapPolygon edited="0">
                <wp:start x="0" y="0"/>
                <wp:lineTo x="0" y="21565"/>
                <wp:lineTo x="21598" y="21565"/>
                <wp:lineTo x="21598" y="0"/>
                <wp:lineTo x="0" y="0"/>
              </wp:wrapPolygon>
            </wp:wrapThrough>
            <wp:docPr id="526514377" name="Chart 1">
              <a:extLst xmlns:a="http://schemas.openxmlformats.org/drawingml/2006/main">
                <a:ext uri="{FF2B5EF4-FFF2-40B4-BE49-F238E27FC236}">
                  <a16:creationId xmlns:a16="http://schemas.microsoft.com/office/drawing/2014/main" id="{6D7ECC89-C97F-4A1A-879E-82652A06B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14:sizeRelH relativeFrom="margin">
              <wp14:pctWidth>0</wp14:pctWidth>
            </wp14:sizeRelH>
            <wp14:sizeRelV relativeFrom="margin">
              <wp14:pctHeight>0</wp14:pctHeight>
            </wp14:sizeRelV>
          </wp:anchor>
        </w:drawing>
      </w:r>
      <w:r w:rsidRPr="00307028">
        <w:rPr>
          <w:rFonts w:eastAsiaTheme="minorHAnsi" w:cstheme="minorBidi"/>
          <w:b/>
          <w:bCs/>
          <w:i/>
          <w:iCs/>
          <w:kern w:val="2"/>
          <w:sz w:val="22"/>
          <w:szCs w:val="22"/>
          <w:lang w:eastAsia="en-US"/>
          <w14:ligatures w14:val="standardContextual"/>
        </w:rPr>
        <w:t>4.7. attēls</w:t>
      </w:r>
      <w:r w:rsidRPr="00307028">
        <w:rPr>
          <w:rFonts w:eastAsiaTheme="minorHAnsi" w:cstheme="minorBidi"/>
          <w:b/>
          <w:bCs/>
          <w:kern w:val="2"/>
          <w:sz w:val="22"/>
          <w:szCs w:val="22"/>
          <w:lang w:eastAsia="en-US"/>
          <w14:ligatures w14:val="standardContextual"/>
        </w:rPr>
        <w:t xml:space="preserve"> Iestāžu vidējie izdevumi par telpu nomu, apsaimniekošanas un komunālajiem pakalpojumiem, un citiem uzturēšanas izdevumiem sadalījumā pēc nekustamā īpašuma lietošanas tiesiskā pamata (</w:t>
      </w:r>
      <w:r w:rsidRPr="00307028">
        <w:rPr>
          <w:rFonts w:eastAsiaTheme="minorHAnsi" w:cstheme="minorBidi"/>
          <w:b/>
          <w:bCs/>
          <w:i/>
          <w:iCs/>
          <w:kern w:val="2"/>
          <w:sz w:val="22"/>
          <w:szCs w:val="22"/>
          <w:lang w:eastAsia="en-US"/>
          <w14:ligatures w14:val="standardContextual"/>
        </w:rPr>
        <w:t>euro</w:t>
      </w:r>
      <w:r w:rsidRPr="00307028">
        <w:rPr>
          <w:rFonts w:eastAsiaTheme="minorHAnsi" w:cstheme="minorBidi"/>
          <w:b/>
          <w:bCs/>
          <w:kern w:val="2"/>
          <w:sz w:val="22"/>
          <w:szCs w:val="22"/>
          <w:lang w:eastAsia="en-US"/>
          <w14:ligatures w14:val="standardContextual"/>
        </w:rPr>
        <w:t xml:space="preserve"> uz vienu m</w:t>
      </w:r>
      <w:r w:rsidRPr="00307028">
        <w:rPr>
          <w:rFonts w:eastAsiaTheme="minorHAnsi" w:cstheme="minorBidi"/>
          <w:b/>
          <w:bCs/>
          <w:kern w:val="2"/>
          <w:sz w:val="22"/>
          <w:szCs w:val="22"/>
          <w:vertAlign w:val="superscript"/>
          <w:lang w:eastAsia="en-US"/>
          <w14:ligatures w14:val="standardContextual"/>
        </w:rPr>
        <w:t>2</w:t>
      </w:r>
      <w:r w:rsidRPr="00307028">
        <w:rPr>
          <w:rFonts w:eastAsiaTheme="minorHAnsi" w:cstheme="minorBidi"/>
          <w:b/>
          <w:bCs/>
          <w:kern w:val="2"/>
          <w:sz w:val="22"/>
          <w:szCs w:val="22"/>
          <w:lang w:eastAsia="en-US"/>
          <w14:ligatures w14:val="standardContextual"/>
        </w:rPr>
        <w:t>)</w:t>
      </w:r>
    </w:p>
    <w:p w14:paraId="59844AF8" w14:textId="77777777" w:rsidR="00925688" w:rsidRDefault="00925688" w:rsidP="00A81BE4">
      <w:pPr>
        <w:spacing w:after="16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Viena no iespējām, kā iestādes gūst papildus ieņēmumus izdevumu segšanai, ir minama iestāžu biroja telpu samazināšana, daļu telpu nododot nomai citām iestādēm. 2023. gadā ir iznomāti 6,7 tūkst.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plānoti ieņēmumi no telpu nomas 243,8 tūkst.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xml:space="preserve"> apmērā (Tabula Nr. 4.1.). </w:t>
      </w:r>
    </w:p>
    <w:p w14:paraId="5C743FDF" w14:textId="77777777" w:rsidR="00931049" w:rsidRPr="00307028" w:rsidRDefault="00931049" w:rsidP="00A81BE4">
      <w:pPr>
        <w:spacing w:after="160" w:line="259" w:lineRule="auto"/>
        <w:ind w:firstLine="720"/>
        <w:jc w:val="both"/>
        <w:rPr>
          <w:rFonts w:eastAsiaTheme="minorHAnsi" w:cstheme="minorBidi"/>
          <w:kern w:val="2"/>
          <w:lang w:eastAsia="en-US"/>
          <w14:ligatures w14:val="standardContextual"/>
        </w:rPr>
      </w:pPr>
    </w:p>
    <w:p w14:paraId="433CE5B5" w14:textId="77777777" w:rsidR="00925688" w:rsidRPr="00307028" w:rsidRDefault="00925688" w:rsidP="00B56664">
      <w:pPr>
        <w:spacing w:line="259" w:lineRule="auto"/>
        <w:jc w:val="center"/>
        <w:rPr>
          <w:rFonts w:eastAsiaTheme="minorHAnsi" w:cstheme="minorBid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4.1. tabula</w:t>
      </w:r>
      <w:r w:rsidRPr="00307028">
        <w:rPr>
          <w:rFonts w:eastAsiaTheme="minorHAnsi" w:cstheme="minorBidi"/>
          <w:b/>
          <w:bCs/>
          <w:kern w:val="2"/>
          <w:sz w:val="22"/>
          <w:szCs w:val="22"/>
          <w:lang w:eastAsia="en-US"/>
          <w14:ligatures w14:val="standardContextual"/>
        </w:rPr>
        <w:t xml:space="preserve"> Resoru iznomātā platība un plānotie ieņēmumi no </w:t>
      </w:r>
      <w:r w:rsidRPr="00307028">
        <w:rPr>
          <w:rFonts w:eastAsiaTheme="minorHAnsi" w:cstheme="minorBidi"/>
          <w:b/>
          <w:bCs/>
          <w:kern w:val="2"/>
          <w:sz w:val="22"/>
          <w:szCs w:val="22"/>
          <w:lang w:eastAsia="en-US"/>
          <w14:ligatures w14:val="standardContextual"/>
        </w:rPr>
        <w:br/>
        <w:t>telpu nomas 2023. gadā</w:t>
      </w:r>
    </w:p>
    <w:tbl>
      <w:tblPr>
        <w:tblStyle w:val="TableGrid"/>
        <w:tblW w:w="0" w:type="auto"/>
        <w:tblInd w:w="-5" w:type="dxa"/>
        <w:tblLook w:val="04A0" w:firstRow="1" w:lastRow="0" w:firstColumn="1" w:lastColumn="0" w:noHBand="0" w:noVBand="1"/>
      </w:tblPr>
      <w:tblGrid>
        <w:gridCol w:w="2301"/>
        <w:gridCol w:w="2944"/>
        <w:gridCol w:w="3755"/>
      </w:tblGrid>
      <w:tr w:rsidR="00925688" w:rsidRPr="00307028" w14:paraId="0F0CA9B7" w14:textId="77777777" w:rsidTr="00F7258A">
        <w:trPr>
          <w:trHeight w:val="344"/>
        </w:trPr>
        <w:tc>
          <w:tcPr>
            <w:tcW w:w="2301" w:type="dxa"/>
            <w:shd w:val="clear" w:color="auto" w:fill="57ABD5"/>
            <w:noWrap/>
            <w:vAlign w:val="center"/>
            <w:hideMark/>
          </w:tcPr>
          <w:p w14:paraId="124533E3" w14:textId="77777777" w:rsidR="00925688" w:rsidRPr="00F7258A" w:rsidRDefault="00925688" w:rsidP="00925688">
            <w:pPr>
              <w:rPr>
                <w:rFonts w:eastAsiaTheme="minorHAnsi" w:cstheme="minorBidi"/>
                <w:b/>
                <w:bCs/>
                <w:sz w:val="20"/>
                <w:szCs w:val="20"/>
                <w:lang w:eastAsia="en-US"/>
              </w:rPr>
            </w:pPr>
            <w:r w:rsidRPr="00F7258A">
              <w:rPr>
                <w:rFonts w:eastAsiaTheme="minorHAnsi" w:cstheme="minorBidi"/>
                <w:b/>
                <w:bCs/>
                <w:sz w:val="20"/>
                <w:szCs w:val="20"/>
                <w:lang w:eastAsia="en-US"/>
              </w:rPr>
              <w:t>Resors</w:t>
            </w:r>
          </w:p>
        </w:tc>
        <w:tc>
          <w:tcPr>
            <w:tcW w:w="2944" w:type="dxa"/>
            <w:shd w:val="clear" w:color="auto" w:fill="57ABD5"/>
            <w:noWrap/>
            <w:vAlign w:val="center"/>
            <w:hideMark/>
          </w:tcPr>
          <w:p w14:paraId="03E44ADC"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Iznomātā platība, m2</w:t>
            </w:r>
          </w:p>
        </w:tc>
        <w:tc>
          <w:tcPr>
            <w:tcW w:w="3755" w:type="dxa"/>
            <w:shd w:val="clear" w:color="auto" w:fill="57ABD5"/>
            <w:noWrap/>
            <w:vAlign w:val="center"/>
            <w:hideMark/>
          </w:tcPr>
          <w:p w14:paraId="681880A8" w14:textId="2466127B"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Ieņēmumi no telpu</w:t>
            </w:r>
            <w:r w:rsidR="00EE2D2F" w:rsidRPr="00F7258A">
              <w:rPr>
                <w:rFonts w:eastAsiaTheme="minorHAnsi" w:cstheme="minorBidi"/>
                <w:b/>
                <w:bCs/>
                <w:sz w:val="20"/>
                <w:szCs w:val="20"/>
                <w:lang w:eastAsia="en-US"/>
              </w:rPr>
              <w:t xml:space="preserve"> </w:t>
            </w:r>
            <w:r w:rsidRPr="00F7258A">
              <w:rPr>
                <w:rFonts w:eastAsiaTheme="minorHAnsi" w:cstheme="minorBidi"/>
                <w:b/>
                <w:bCs/>
                <w:sz w:val="20"/>
                <w:szCs w:val="20"/>
                <w:lang w:eastAsia="en-US"/>
              </w:rPr>
              <w:t xml:space="preserve">nomas, </w:t>
            </w:r>
            <w:r w:rsidRPr="00F7258A">
              <w:rPr>
                <w:rFonts w:eastAsiaTheme="minorHAnsi" w:cstheme="minorBidi"/>
                <w:b/>
                <w:bCs/>
                <w:i/>
                <w:iCs/>
                <w:sz w:val="20"/>
                <w:szCs w:val="20"/>
                <w:lang w:eastAsia="en-US"/>
              </w:rPr>
              <w:t>euro</w:t>
            </w:r>
          </w:p>
        </w:tc>
      </w:tr>
      <w:tr w:rsidR="00925688" w:rsidRPr="00307028" w14:paraId="315F1615" w14:textId="77777777" w:rsidTr="004D739B">
        <w:trPr>
          <w:trHeight w:val="50"/>
        </w:trPr>
        <w:tc>
          <w:tcPr>
            <w:tcW w:w="2301" w:type="dxa"/>
            <w:noWrap/>
          </w:tcPr>
          <w:p w14:paraId="73D78E8B"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EM</w:t>
            </w:r>
          </w:p>
        </w:tc>
        <w:tc>
          <w:tcPr>
            <w:tcW w:w="2944" w:type="dxa"/>
            <w:noWrap/>
          </w:tcPr>
          <w:p w14:paraId="2F846C20"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308,5 </w:t>
            </w:r>
          </w:p>
        </w:tc>
        <w:tc>
          <w:tcPr>
            <w:tcW w:w="3755" w:type="dxa"/>
            <w:noWrap/>
          </w:tcPr>
          <w:p w14:paraId="0634C465"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6 293,8 </w:t>
            </w:r>
          </w:p>
        </w:tc>
      </w:tr>
      <w:tr w:rsidR="00925688" w:rsidRPr="00307028" w14:paraId="2CC8AC7A" w14:textId="77777777" w:rsidTr="004D739B">
        <w:trPr>
          <w:trHeight w:val="50"/>
        </w:trPr>
        <w:tc>
          <w:tcPr>
            <w:tcW w:w="2301" w:type="dxa"/>
            <w:noWrap/>
          </w:tcPr>
          <w:p w14:paraId="27DEF0BB"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IeM</w:t>
            </w:r>
          </w:p>
        </w:tc>
        <w:tc>
          <w:tcPr>
            <w:tcW w:w="2944" w:type="dxa"/>
            <w:noWrap/>
          </w:tcPr>
          <w:p w14:paraId="2EC60C41"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2 799,7 </w:t>
            </w:r>
          </w:p>
        </w:tc>
        <w:tc>
          <w:tcPr>
            <w:tcW w:w="3755" w:type="dxa"/>
            <w:noWrap/>
          </w:tcPr>
          <w:p w14:paraId="7ED0D6AD"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143 890,0 </w:t>
            </w:r>
          </w:p>
        </w:tc>
      </w:tr>
      <w:tr w:rsidR="00925688" w:rsidRPr="00307028" w14:paraId="11A2CBBB" w14:textId="77777777" w:rsidTr="004D739B">
        <w:trPr>
          <w:trHeight w:val="50"/>
        </w:trPr>
        <w:tc>
          <w:tcPr>
            <w:tcW w:w="2301" w:type="dxa"/>
            <w:noWrap/>
          </w:tcPr>
          <w:p w14:paraId="298D8117"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KM</w:t>
            </w:r>
          </w:p>
        </w:tc>
        <w:tc>
          <w:tcPr>
            <w:tcW w:w="2944" w:type="dxa"/>
            <w:noWrap/>
          </w:tcPr>
          <w:p w14:paraId="349E0EBF"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407,1 </w:t>
            </w:r>
          </w:p>
        </w:tc>
        <w:tc>
          <w:tcPr>
            <w:tcW w:w="3755" w:type="dxa"/>
            <w:noWrap/>
          </w:tcPr>
          <w:p w14:paraId="2EA8827D"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16 307,0 </w:t>
            </w:r>
          </w:p>
        </w:tc>
      </w:tr>
      <w:tr w:rsidR="00925688" w:rsidRPr="00307028" w14:paraId="581AB79B" w14:textId="77777777" w:rsidTr="004D739B">
        <w:trPr>
          <w:trHeight w:val="50"/>
        </w:trPr>
        <w:tc>
          <w:tcPr>
            <w:tcW w:w="2301" w:type="dxa"/>
            <w:noWrap/>
          </w:tcPr>
          <w:p w14:paraId="2D6E8200"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LM</w:t>
            </w:r>
          </w:p>
        </w:tc>
        <w:tc>
          <w:tcPr>
            <w:tcW w:w="2944" w:type="dxa"/>
            <w:noWrap/>
          </w:tcPr>
          <w:p w14:paraId="037E1544"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71,8 </w:t>
            </w:r>
          </w:p>
        </w:tc>
        <w:tc>
          <w:tcPr>
            <w:tcW w:w="3755" w:type="dxa"/>
            <w:noWrap/>
          </w:tcPr>
          <w:p w14:paraId="17028E53"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4 302,4 </w:t>
            </w:r>
          </w:p>
        </w:tc>
      </w:tr>
      <w:tr w:rsidR="00925688" w:rsidRPr="00307028" w14:paraId="387EEB2D" w14:textId="77777777" w:rsidTr="004D739B">
        <w:trPr>
          <w:trHeight w:val="50"/>
        </w:trPr>
        <w:tc>
          <w:tcPr>
            <w:tcW w:w="2301" w:type="dxa"/>
            <w:noWrap/>
          </w:tcPr>
          <w:p w14:paraId="14028AA8"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TM</w:t>
            </w:r>
          </w:p>
        </w:tc>
        <w:tc>
          <w:tcPr>
            <w:tcW w:w="2944" w:type="dxa"/>
            <w:noWrap/>
          </w:tcPr>
          <w:p w14:paraId="408DFE3D"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18,9 </w:t>
            </w:r>
          </w:p>
        </w:tc>
        <w:tc>
          <w:tcPr>
            <w:tcW w:w="3755" w:type="dxa"/>
            <w:noWrap/>
          </w:tcPr>
          <w:p w14:paraId="225F2E46"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1 454,0 </w:t>
            </w:r>
          </w:p>
        </w:tc>
      </w:tr>
      <w:tr w:rsidR="00925688" w:rsidRPr="00307028" w14:paraId="59ABDDE0" w14:textId="77777777" w:rsidTr="004D739B">
        <w:trPr>
          <w:trHeight w:val="50"/>
        </w:trPr>
        <w:tc>
          <w:tcPr>
            <w:tcW w:w="2301" w:type="dxa"/>
            <w:noWrap/>
          </w:tcPr>
          <w:p w14:paraId="7810FC94"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VARAM</w:t>
            </w:r>
          </w:p>
        </w:tc>
        <w:tc>
          <w:tcPr>
            <w:tcW w:w="2944" w:type="dxa"/>
            <w:noWrap/>
          </w:tcPr>
          <w:p w14:paraId="3EB6B4C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1 266,8 </w:t>
            </w:r>
          </w:p>
        </w:tc>
        <w:tc>
          <w:tcPr>
            <w:tcW w:w="3755" w:type="dxa"/>
            <w:noWrap/>
          </w:tcPr>
          <w:p w14:paraId="0242D9D8"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18 620,4 </w:t>
            </w:r>
          </w:p>
        </w:tc>
      </w:tr>
      <w:tr w:rsidR="00925688" w:rsidRPr="00307028" w14:paraId="2342690E" w14:textId="77777777" w:rsidTr="004D739B">
        <w:trPr>
          <w:trHeight w:val="50"/>
        </w:trPr>
        <w:tc>
          <w:tcPr>
            <w:tcW w:w="2301" w:type="dxa"/>
            <w:noWrap/>
          </w:tcPr>
          <w:p w14:paraId="316BD33D"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ZM</w:t>
            </w:r>
          </w:p>
        </w:tc>
        <w:tc>
          <w:tcPr>
            <w:tcW w:w="2944" w:type="dxa"/>
            <w:noWrap/>
          </w:tcPr>
          <w:p w14:paraId="1093951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1 904,6 </w:t>
            </w:r>
          </w:p>
        </w:tc>
        <w:tc>
          <w:tcPr>
            <w:tcW w:w="3755" w:type="dxa"/>
            <w:noWrap/>
          </w:tcPr>
          <w:p w14:paraId="08CC5E18"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 xml:space="preserve"> 52 971,2 </w:t>
            </w:r>
          </w:p>
        </w:tc>
      </w:tr>
      <w:tr w:rsidR="00925688" w:rsidRPr="00307028" w14:paraId="0C1F0481" w14:textId="77777777" w:rsidTr="00F7258A">
        <w:trPr>
          <w:trHeight w:val="339"/>
        </w:trPr>
        <w:tc>
          <w:tcPr>
            <w:tcW w:w="2301" w:type="dxa"/>
            <w:shd w:val="clear" w:color="auto" w:fill="57ABD5"/>
            <w:noWrap/>
            <w:vAlign w:val="center"/>
            <w:hideMark/>
          </w:tcPr>
          <w:p w14:paraId="45C5099D" w14:textId="77777777" w:rsidR="00925688" w:rsidRPr="00F7258A" w:rsidRDefault="00925688" w:rsidP="00925688">
            <w:pPr>
              <w:rPr>
                <w:rFonts w:eastAsiaTheme="minorHAnsi"/>
                <w:b/>
                <w:bCs/>
                <w:sz w:val="22"/>
                <w:szCs w:val="22"/>
                <w:lang w:eastAsia="en-US"/>
              </w:rPr>
            </w:pPr>
            <w:r w:rsidRPr="00F7258A">
              <w:rPr>
                <w:rFonts w:eastAsiaTheme="minorHAnsi"/>
                <w:b/>
                <w:bCs/>
                <w:sz w:val="22"/>
                <w:szCs w:val="22"/>
                <w:lang w:eastAsia="en-US"/>
              </w:rPr>
              <w:t>KOPĀ</w:t>
            </w:r>
          </w:p>
        </w:tc>
        <w:tc>
          <w:tcPr>
            <w:tcW w:w="2944" w:type="dxa"/>
            <w:shd w:val="clear" w:color="auto" w:fill="57ABD5"/>
            <w:noWrap/>
            <w:vAlign w:val="center"/>
            <w:hideMark/>
          </w:tcPr>
          <w:p w14:paraId="330EA979"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6 777,4</w:t>
            </w:r>
          </w:p>
        </w:tc>
        <w:tc>
          <w:tcPr>
            <w:tcW w:w="3755" w:type="dxa"/>
            <w:shd w:val="clear" w:color="auto" w:fill="57ABD5"/>
            <w:noWrap/>
            <w:vAlign w:val="center"/>
            <w:hideMark/>
          </w:tcPr>
          <w:p w14:paraId="54884DD7"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243 838,8</w:t>
            </w:r>
          </w:p>
        </w:tc>
      </w:tr>
    </w:tbl>
    <w:p w14:paraId="1E2F3C49" w14:textId="0D21E6FB" w:rsidR="00925688" w:rsidRPr="00307028" w:rsidRDefault="00925688" w:rsidP="00A81BE4">
      <w:pPr>
        <w:spacing w:before="120"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VNĪ izstrādātajās Publiskā sektora biroja izveides vadlīnijās</w:t>
      </w:r>
      <w:r w:rsidRPr="00307028">
        <w:rPr>
          <w:rFonts w:asciiTheme="minorHAnsi" w:eastAsiaTheme="minorHAnsi" w:hAnsiTheme="minorHAnsi" w:cstheme="minorBidi"/>
          <w:kern w:val="2"/>
          <w:sz w:val="22"/>
          <w:szCs w:val="22"/>
          <w:vertAlign w:val="superscript"/>
          <w:lang w:eastAsia="en-US"/>
          <w14:ligatures w14:val="standardContextual"/>
        </w:rPr>
        <w:footnoteReference w:id="96"/>
      </w:r>
      <w:r w:rsidRPr="00307028">
        <w:rPr>
          <w:rFonts w:eastAsiaTheme="minorHAnsi" w:cstheme="minorBidi"/>
          <w:kern w:val="2"/>
          <w:lang w:eastAsia="en-US"/>
          <w14:ligatures w14:val="standardContextual"/>
        </w:rPr>
        <w:t xml:space="preserve"> (turpmāk – vadlīnijas) apkopoti ieteikumi un standarti, kā veidot darba vidi publiskajā sektorā, </w:t>
      </w:r>
      <w:r w:rsidR="00272A4B" w:rsidRPr="00307028">
        <w:rPr>
          <w:rFonts w:eastAsiaTheme="minorHAnsi" w:cstheme="minorBidi"/>
          <w:kern w:val="2"/>
          <w:lang w:eastAsia="en-US"/>
          <w14:ligatures w14:val="standardContextual"/>
        </w:rPr>
        <w:t xml:space="preserve">kā arī </w:t>
      </w:r>
      <w:r w:rsidRPr="00307028">
        <w:rPr>
          <w:rFonts w:eastAsiaTheme="minorHAnsi" w:cstheme="minorBidi"/>
          <w:kern w:val="2"/>
          <w:lang w:eastAsia="en-US"/>
          <w14:ligatures w14:val="standardContextual"/>
        </w:rPr>
        <w:t>tās paplašina un detalizē MK 2016. gada 12. jūlija ieteikumus Nr. 2 “Vienotās prasības valsts pārvaldes iestāžu biroju ēkām un biroja telpu grupām”. Tās var tikt izmantotas kā publiskā sektora koplietojamo biroju ēku standarts, radot mūsdienīgu darba vidi, kas ļauj piesaistīt nozaru profesionāļus. VNĪ redzējums ir, ka vadlīnijas kļūs par pamata standartu visiem publiskā sektora birojiem. Vīzija ir veidot koplietojamas biroju ēkas, kas ietver sevī viedu risinājumu un mūsdienīgu darba vidi un inovatīvus kopstrādes risinājumus, kas ļautu piesaistīt valsts pārvaldei izcilus talantus, kuri viedā, aktivitātēs balstītā birojā valsts interesēs spētu strādāt daudz efektīvāk un elastīgāk.</w:t>
      </w:r>
    </w:p>
    <w:p w14:paraId="0915B2A6" w14:textId="77777777" w:rsidR="008305EA" w:rsidRPr="00307028" w:rsidRDefault="008305EA" w:rsidP="008305EA">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Izpildoties kādam no zemāk minētajiem kritērijiem, iestādēm kopā ar VNĪ būtu jāizvērtē iespējamie biroja uzlabojumi un vietās, kur tas iespējams, jānomā biroja ēkas (telpas) no VNĪ:</w:t>
      </w:r>
    </w:p>
    <w:p w14:paraId="20733A7C" w14:textId="56121283" w:rsidR="008305EA" w:rsidRPr="00307028" w:rsidRDefault="008305EA" w:rsidP="00272A4B">
      <w:pPr>
        <w:numPr>
          <w:ilvl w:val="0"/>
          <w:numId w:val="11"/>
        </w:numPr>
        <w:spacing w:after="120" w:line="259" w:lineRule="auto"/>
        <w:jc w:val="both"/>
        <w:rPr>
          <w:rFonts w:eastAsia="Times New Roman"/>
          <w:kern w:val="2"/>
          <w:lang w:eastAsia="en-US"/>
          <w14:ligatures w14:val="standardContextual"/>
        </w:rPr>
      </w:pPr>
      <w:r w:rsidRPr="00307028">
        <w:rPr>
          <w:rFonts w:eastAsia="Times New Roman"/>
          <w:kern w:val="2"/>
          <w:lang w:eastAsia="en-US"/>
          <w14:ligatures w14:val="standardContextual"/>
        </w:rPr>
        <w:t>Iestādes vajadzībām tiek izmantotas biroja telpas vairākos nekustamajos īpašumos, kuri ir neatbilstošā tehniskā stāvoklī un tehniskās apsekošanas atzinumā to stāvoklis vērtējams kā neapmierinošs vai sliktāks (nolietojums virs 41%);</w:t>
      </w:r>
    </w:p>
    <w:p w14:paraId="7F977904" w14:textId="22B1729C" w:rsidR="008305EA" w:rsidRPr="00307028" w:rsidRDefault="008305EA" w:rsidP="00272A4B">
      <w:pPr>
        <w:numPr>
          <w:ilvl w:val="0"/>
          <w:numId w:val="11"/>
        </w:numPr>
        <w:spacing w:after="120" w:line="259" w:lineRule="auto"/>
        <w:jc w:val="both"/>
        <w:rPr>
          <w:rFonts w:eastAsia="Times New Roman"/>
          <w:kern w:val="2"/>
          <w:lang w:eastAsia="en-US"/>
          <w14:ligatures w14:val="standardContextual"/>
        </w:rPr>
      </w:pPr>
      <w:r w:rsidRPr="00307028">
        <w:rPr>
          <w:rFonts w:eastAsia="Times New Roman"/>
          <w:kern w:val="2"/>
          <w:lang w:eastAsia="en-US"/>
          <w14:ligatures w14:val="standardContextual"/>
        </w:rPr>
        <w:t>Ja iestāžu vajadzībām izmantotajās biroja ēkās, lai nodrošinātu to drošu ekspluatāciju, tiek plānota ēkas renovācija, iestādēm kopā ar VNĪ būtu jāizvērtē renovācijas lietderība;</w:t>
      </w:r>
    </w:p>
    <w:p w14:paraId="710A83B7" w14:textId="63BBD672" w:rsidR="008305EA" w:rsidRPr="00307028" w:rsidRDefault="008305EA" w:rsidP="00272A4B">
      <w:pPr>
        <w:numPr>
          <w:ilvl w:val="0"/>
          <w:numId w:val="11"/>
        </w:numPr>
        <w:spacing w:after="120" w:line="259" w:lineRule="auto"/>
        <w:jc w:val="both"/>
        <w:rPr>
          <w:rFonts w:eastAsia="Times New Roman"/>
          <w:kern w:val="2"/>
          <w:lang w:eastAsia="en-US"/>
          <w14:ligatures w14:val="standardContextual"/>
        </w:rPr>
      </w:pPr>
      <w:r w:rsidRPr="00307028">
        <w:rPr>
          <w:rFonts w:eastAsia="Times New Roman"/>
          <w:kern w:val="2"/>
          <w:lang w:eastAsia="en-US"/>
          <w14:ligatures w14:val="standardContextual"/>
        </w:rPr>
        <w:t xml:space="preserve">Iestāžu vajadzībām izmantoto biroju ēku (telpu) lietderīgā aprēķina platība uz vienu darba vietu ir vairāk </w:t>
      </w:r>
      <w:r w:rsidR="00272A4B" w:rsidRPr="00307028">
        <w:rPr>
          <w:rFonts w:eastAsia="Times New Roman"/>
          <w:kern w:val="2"/>
          <w:lang w:eastAsia="en-US"/>
          <w14:ligatures w14:val="standardContextual"/>
        </w:rPr>
        <w:t>ne</w:t>
      </w:r>
      <w:r w:rsidRPr="00307028">
        <w:rPr>
          <w:rFonts w:eastAsia="Times New Roman"/>
          <w:kern w:val="2"/>
          <w:lang w:eastAsia="en-US"/>
          <w14:ligatures w14:val="standardContextual"/>
        </w:rPr>
        <w:t>kā 18 m</w:t>
      </w:r>
      <w:r w:rsidRPr="00307028">
        <w:rPr>
          <w:rFonts w:eastAsia="Times New Roman"/>
          <w:kern w:val="2"/>
          <w:vertAlign w:val="superscript"/>
          <w:lang w:eastAsia="en-US"/>
          <w14:ligatures w14:val="standardContextual"/>
        </w:rPr>
        <w:t>2</w:t>
      </w:r>
      <w:r w:rsidRPr="00307028">
        <w:rPr>
          <w:rFonts w:eastAsia="Times New Roman"/>
          <w:kern w:val="2"/>
          <w:lang w:eastAsia="en-US"/>
          <w14:ligatures w14:val="standardContextual"/>
        </w:rPr>
        <w:t>;</w:t>
      </w:r>
    </w:p>
    <w:p w14:paraId="3B6BE7A9" w14:textId="77777777" w:rsidR="008305EA" w:rsidRPr="00307028" w:rsidRDefault="008305EA" w:rsidP="00272A4B">
      <w:pPr>
        <w:numPr>
          <w:ilvl w:val="0"/>
          <w:numId w:val="11"/>
        </w:numPr>
        <w:spacing w:after="120" w:line="259" w:lineRule="auto"/>
        <w:jc w:val="both"/>
        <w:rPr>
          <w:rFonts w:eastAsia="Times New Roman"/>
          <w:kern w:val="2"/>
          <w:lang w:eastAsia="en-US"/>
          <w14:ligatures w14:val="standardContextual"/>
        </w:rPr>
      </w:pPr>
      <w:r w:rsidRPr="00307028">
        <w:rPr>
          <w:rFonts w:eastAsia="Times New Roman"/>
          <w:kern w:val="2"/>
          <w:lang w:eastAsia="en-US"/>
          <w14:ligatures w14:val="standardContextual"/>
        </w:rPr>
        <w:t>Valstij, atvasinātai publiskai personai vai valsts kapitālsabiedrībai ir brīvas telpas, taču iestādes telpas nomā no privātpersonas (izņemot publiskas personas kapitālsabiedrības).</w:t>
      </w:r>
    </w:p>
    <w:p w14:paraId="7A1C15FE" w14:textId="77777777" w:rsidR="00925688" w:rsidRDefault="00925688" w:rsidP="00272A4B">
      <w:pPr>
        <w:spacing w:after="120" w:line="259" w:lineRule="auto"/>
        <w:ind w:firstLine="720"/>
        <w:jc w:val="both"/>
        <w:rPr>
          <w:rFonts w:eastAsiaTheme="minorHAnsi"/>
          <w:kern w:val="2"/>
          <w:lang w:eastAsia="en-US"/>
          <w14:ligatures w14:val="standardContextual"/>
        </w:rPr>
      </w:pPr>
      <w:r w:rsidRPr="00307028">
        <w:rPr>
          <w:rFonts w:eastAsiaTheme="minorHAnsi"/>
          <w:kern w:val="2"/>
          <w:lang w:eastAsia="en-US"/>
          <w14:ligatures w14:val="standardContextual"/>
        </w:rPr>
        <w:t xml:space="preserve">Novērots, ka vairākas iestādes, </w:t>
      </w:r>
      <w:r w:rsidRPr="00307028">
        <w:rPr>
          <w:rFonts w:eastAsiaTheme="minorHAnsi" w:cstheme="minorBidi"/>
          <w:kern w:val="2"/>
          <w:lang w:eastAsia="en-US"/>
          <w14:ligatures w14:val="standardContextual"/>
        </w:rPr>
        <w:t>apzinoties, ka telpas netiek efektīvi izmantotas, jau veikušas optimizācijas pasākumus, kas vērsti uz uzturēšanas izmaksu samazināšanu – iestādes 2022. gadā un 2023. gada pirmajos piecos mēnešos samazinājušas iznomāto biroja telpu platību 37 nekustamajos īpašumos (biroja ēkās) par 9,4 tūkst. </w:t>
      </w:r>
      <w:r w:rsidRPr="00307028">
        <w:rPr>
          <w:rFonts w:eastAsiaTheme="minorHAnsi" w:cstheme="minorBidi"/>
          <w:kern w:val="2"/>
          <w:sz w:val="22"/>
          <w:szCs w:val="22"/>
          <w:lang w:eastAsia="en-US"/>
          <w14:ligatures w14:val="standardContextual"/>
        </w:rPr>
        <w:t>m</w:t>
      </w:r>
      <w:r w:rsidRPr="00307028">
        <w:rPr>
          <w:rFonts w:eastAsiaTheme="minorHAnsi" w:cstheme="minorBidi"/>
          <w:kern w:val="2"/>
          <w:sz w:val="22"/>
          <w:szCs w:val="22"/>
          <w:vertAlign w:val="superscript"/>
          <w:lang w:eastAsia="en-US"/>
          <w14:ligatures w14:val="standardContextual"/>
        </w:rPr>
        <w:t>2</w:t>
      </w:r>
      <w:r w:rsidRPr="00307028">
        <w:rPr>
          <w:rFonts w:eastAsiaTheme="minorHAnsi" w:cstheme="minorBidi"/>
          <w:kern w:val="2"/>
          <w:lang w:eastAsia="en-US"/>
          <w14:ligatures w14:val="standardContextual"/>
        </w:rPr>
        <w:t>, no 24 nekustamajiem īpašumiem (biroja ēkām) kopumā 3,7 tūkst. </w:t>
      </w:r>
      <w:r w:rsidRPr="00307028">
        <w:rPr>
          <w:rFonts w:eastAsiaTheme="minorHAnsi" w:cstheme="minorBidi"/>
          <w:kern w:val="2"/>
          <w:sz w:val="22"/>
          <w:szCs w:val="22"/>
          <w:lang w:eastAsia="en-US"/>
          <w14:ligatures w14:val="standardContextual"/>
        </w:rPr>
        <w:t>m</w:t>
      </w:r>
      <w:r w:rsidRPr="00307028">
        <w:rPr>
          <w:rFonts w:eastAsiaTheme="minorHAnsi" w:cstheme="minorBidi"/>
          <w:kern w:val="2"/>
          <w:sz w:val="22"/>
          <w:szCs w:val="22"/>
          <w:vertAlign w:val="superscript"/>
          <w:lang w:eastAsia="en-US"/>
          <w14:ligatures w14:val="standardContextual"/>
        </w:rPr>
        <w:t>2</w:t>
      </w:r>
      <w:r w:rsidRPr="00307028">
        <w:rPr>
          <w:rFonts w:eastAsiaTheme="minorHAnsi" w:cstheme="minorBidi"/>
          <w:kern w:val="2"/>
          <w:lang w:eastAsia="en-US"/>
          <w14:ligatures w14:val="standardContextual"/>
        </w:rPr>
        <w:t xml:space="preserve"> platībā atteikušās pavisam, kā arī 5 nekustamajos īpašumos (biroja ēkās) veikta biroja telpu maiņa uz mazākām, kā rezultātā veidojas 233,5 </w:t>
      </w:r>
      <w:r w:rsidRPr="00307028">
        <w:rPr>
          <w:rFonts w:eastAsiaTheme="minorHAnsi" w:cstheme="minorBidi"/>
          <w:kern w:val="2"/>
          <w:sz w:val="22"/>
          <w:szCs w:val="22"/>
          <w:lang w:eastAsia="en-US"/>
          <w14:ligatures w14:val="standardContextual"/>
        </w:rPr>
        <w:t>m</w:t>
      </w:r>
      <w:r w:rsidRPr="00307028">
        <w:rPr>
          <w:rFonts w:eastAsiaTheme="minorHAnsi" w:cstheme="minorBidi"/>
          <w:kern w:val="2"/>
          <w:sz w:val="22"/>
          <w:szCs w:val="22"/>
          <w:vertAlign w:val="superscript"/>
          <w:lang w:eastAsia="en-US"/>
          <w14:ligatures w14:val="standardContextual"/>
        </w:rPr>
        <w:t xml:space="preserve">2 </w:t>
      </w:r>
      <w:r w:rsidRPr="00307028">
        <w:rPr>
          <w:rFonts w:eastAsiaTheme="minorHAnsi" w:cstheme="minorBidi"/>
          <w:kern w:val="2"/>
          <w:sz w:val="22"/>
          <w:szCs w:val="22"/>
          <w:lang w:eastAsia="en-US"/>
          <w14:ligatures w14:val="standardContextual"/>
        </w:rPr>
        <w:t xml:space="preserve">samazinājums </w:t>
      </w:r>
      <w:r w:rsidRPr="00307028">
        <w:rPr>
          <w:rFonts w:eastAsiaTheme="minorHAnsi" w:cstheme="minorBidi"/>
          <w:kern w:val="2"/>
          <w:lang w:eastAsia="en-US"/>
          <w14:ligatures w14:val="standardContextual"/>
        </w:rPr>
        <w:t xml:space="preserve">(Tabula Nr. 4.2.). Iestādes norādījušas, ka </w:t>
      </w:r>
      <w:r w:rsidRPr="00307028">
        <w:rPr>
          <w:rFonts w:eastAsiaTheme="minorHAnsi"/>
          <w:kern w:val="2"/>
          <w:lang w:eastAsia="en-US"/>
          <w14:ligatures w14:val="standardContextual"/>
        </w:rPr>
        <w:t xml:space="preserve">optimizācijas pasākumu rezultātā ietaupītie finanšu līdzekļi tiek novirzīti telpu nomas un apsaimniekošanas izdevumu sadārdzinājuma segšanai par biroja telpām, kuras turpina nomāt. </w:t>
      </w:r>
    </w:p>
    <w:p w14:paraId="47661F21" w14:textId="77777777" w:rsidR="00931049" w:rsidRDefault="00931049" w:rsidP="00272A4B">
      <w:pPr>
        <w:spacing w:after="120" w:line="259" w:lineRule="auto"/>
        <w:ind w:firstLine="720"/>
        <w:jc w:val="both"/>
        <w:rPr>
          <w:rFonts w:eastAsiaTheme="minorHAnsi"/>
          <w:kern w:val="2"/>
          <w:lang w:eastAsia="en-US"/>
          <w14:ligatures w14:val="standardContextual"/>
        </w:rPr>
      </w:pPr>
    </w:p>
    <w:p w14:paraId="7698958E" w14:textId="77777777" w:rsidR="00931049" w:rsidRPr="00307028" w:rsidRDefault="00931049" w:rsidP="00272A4B">
      <w:pPr>
        <w:spacing w:after="120" w:line="259" w:lineRule="auto"/>
        <w:ind w:firstLine="720"/>
        <w:jc w:val="both"/>
        <w:rPr>
          <w:rFonts w:eastAsiaTheme="minorHAnsi"/>
          <w:kern w:val="2"/>
          <w:lang w:eastAsia="en-US"/>
          <w14:ligatures w14:val="standardContextual"/>
        </w:rPr>
      </w:pPr>
    </w:p>
    <w:p w14:paraId="78EEC20B" w14:textId="77777777" w:rsidR="00931049" w:rsidRDefault="00931049" w:rsidP="00925688">
      <w:pPr>
        <w:spacing w:line="259" w:lineRule="auto"/>
        <w:jc w:val="center"/>
        <w:rPr>
          <w:rFonts w:eastAsiaTheme="minorHAnsi" w:cstheme="minorBidi"/>
          <w:b/>
          <w:bCs/>
          <w:i/>
          <w:iCs/>
          <w:kern w:val="2"/>
          <w:sz w:val="22"/>
          <w:szCs w:val="22"/>
          <w:lang w:eastAsia="en-US"/>
          <w14:ligatures w14:val="standardContextual"/>
        </w:rPr>
      </w:pPr>
    </w:p>
    <w:p w14:paraId="7E344739" w14:textId="77777777" w:rsidR="00E0325B" w:rsidRDefault="00E0325B" w:rsidP="00925688">
      <w:pPr>
        <w:spacing w:line="259" w:lineRule="auto"/>
        <w:jc w:val="center"/>
        <w:rPr>
          <w:rFonts w:eastAsiaTheme="minorHAnsi" w:cstheme="minorBidi"/>
          <w:b/>
          <w:bCs/>
          <w:i/>
          <w:iCs/>
          <w:kern w:val="2"/>
          <w:sz w:val="22"/>
          <w:szCs w:val="22"/>
          <w:lang w:eastAsia="en-US"/>
          <w14:ligatures w14:val="standardContextual"/>
        </w:rPr>
      </w:pPr>
    </w:p>
    <w:p w14:paraId="561B1857" w14:textId="56AE548E" w:rsidR="00925688" w:rsidRPr="00307028" w:rsidRDefault="00925688" w:rsidP="00925688">
      <w:pPr>
        <w:spacing w:line="259" w:lineRule="auto"/>
        <w:jc w:val="center"/>
        <w:rPr>
          <w:rFonts w:eastAsiaTheme="minorHAnsi"/>
          <w:b/>
          <w:bCs/>
          <w:kern w:val="2"/>
          <w:sz w:val="22"/>
          <w:szCs w:val="2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4.2. tabula</w:t>
      </w:r>
      <w:r w:rsidRPr="00307028">
        <w:rPr>
          <w:rFonts w:eastAsiaTheme="minorHAnsi" w:cstheme="minorBidi"/>
          <w:b/>
          <w:bCs/>
          <w:kern w:val="2"/>
          <w:sz w:val="22"/>
          <w:szCs w:val="22"/>
          <w:lang w:eastAsia="en-US"/>
          <w14:ligatures w14:val="standardContextual"/>
        </w:rPr>
        <w:t xml:space="preserve"> Resoru veiktā </w:t>
      </w:r>
      <w:r w:rsidRPr="00307028">
        <w:rPr>
          <w:rFonts w:eastAsiaTheme="minorHAnsi"/>
          <w:b/>
          <w:bCs/>
          <w:kern w:val="2"/>
          <w:sz w:val="22"/>
          <w:szCs w:val="22"/>
          <w:lang w:eastAsia="en-US"/>
          <w14:ligatures w14:val="standardContextual"/>
        </w:rPr>
        <w:t xml:space="preserve">nekustamo īpašumu (biroja ēku) </w:t>
      </w:r>
    </w:p>
    <w:p w14:paraId="52E12BCC" w14:textId="27D412F2" w:rsidR="00925688" w:rsidRPr="00307028" w:rsidRDefault="00925688" w:rsidP="00272A4B">
      <w:pPr>
        <w:spacing w:after="120" w:line="259" w:lineRule="auto"/>
        <w:jc w:val="center"/>
        <w:rPr>
          <w:rFonts w:eastAsiaTheme="minorHAnsi"/>
          <w:b/>
          <w:bCs/>
          <w:kern w:val="2"/>
          <w:sz w:val="22"/>
          <w:szCs w:val="22"/>
          <w:lang w:eastAsia="en-US"/>
          <w14:ligatures w14:val="standardContextual"/>
        </w:rPr>
      </w:pPr>
      <w:r w:rsidRPr="00307028">
        <w:rPr>
          <w:rFonts w:eastAsiaTheme="minorHAnsi"/>
          <w:b/>
          <w:bCs/>
          <w:kern w:val="2"/>
          <w:sz w:val="22"/>
          <w:szCs w:val="22"/>
          <w:lang w:eastAsia="en-US"/>
          <w14:ligatures w14:val="standardContextual"/>
        </w:rPr>
        <w:t>optimizācija 2022. un 2023. gada janvārī -</w:t>
      </w:r>
      <w:r w:rsidR="00A81BE4" w:rsidRPr="00307028">
        <w:rPr>
          <w:rFonts w:eastAsiaTheme="minorHAnsi"/>
          <w:b/>
          <w:bCs/>
          <w:kern w:val="2"/>
          <w:sz w:val="22"/>
          <w:szCs w:val="22"/>
          <w:lang w:eastAsia="en-US"/>
          <w14:ligatures w14:val="standardContextual"/>
        </w:rPr>
        <w:t xml:space="preserve"> </w:t>
      </w:r>
      <w:r w:rsidRPr="00307028">
        <w:rPr>
          <w:rFonts w:eastAsiaTheme="minorHAnsi"/>
          <w:b/>
          <w:bCs/>
          <w:kern w:val="2"/>
          <w:sz w:val="22"/>
          <w:szCs w:val="22"/>
          <w:lang w:eastAsia="en-US"/>
          <w14:ligatures w14:val="standardContextual"/>
        </w:rPr>
        <w:t>maijā</w:t>
      </w:r>
    </w:p>
    <w:tbl>
      <w:tblPr>
        <w:tblStyle w:val="TableGrid"/>
        <w:tblW w:w="0" w:type="auto"/>
        <w:tblInd w:w="-5" w:type="dxa"/>
        <w:tblLook w:val="04A0" w:firstRow="1" w:lastRow="0" w:firstColumn="1" w:lastColumn="0" w:noHBand="0" w:noVBand="1"/>
      </w:tblPr>
      <w:tblGrid>
        <w:gridCol w:w="856"/>
        <w:gridCol w:w="981"/>
        <w:gridCol w:w="1569"/>
        <w:gridCol w:w="928"/>
        <w:gridCol w:w="1870"/>
        <w:gridCol w:w="1026"/>
        <w:gridCol w:w="1836"/>
      </w:tblGrid>
      <w:tr w:rsidR="00925688" w:rsidRPr="00307028" w14:paraId="008348E4" w14:textId="77777777" w:rsidTr="00F7258A">
        <w:trPr>
          <w:trHeight w:val="532"/>
        </w:trPr>
        <w:tc>
          <w:tcPr>
            <w:tcW w:w="856" w:type="dxa"/>
            <w:vMerge w:val="restart"/>
            <w:shd w:val="clear" w:color="auto" w:fill="57ABD5"/>
            <w:vAlign w:val="center"/>
          </w:tcPr>
          <w:p w14:paraId="235A05A1" w14:textId="77777777" w:rsidR="00925688" w:rsidRPr="00F7258A" w:rsidRDefault="00925688" w:rsidP="00F7258A">
            <w:pPr>
              <w:jc w:val="center"/>
              <w:rPr>
                <w:rFonts w:eastAsiaTheme="minorHAnsi" w:cstheme="minorBidi"/>
                <w:b/>
                <w:bCs/>
                <w:sz w:val="20"/>
                <w:szCs w:val="20"/>
                <w:lang w:eastAsia="en-US"/>
              </w:rPr>
            </w:pPr>
            <w:r w:rsidRPr="00F7258A">
              <w:rPr>
                <w:rFonts w:eastAsiaTheme="minorHAnsi" w:cstheme="minorBidi"/>
                <w:b/>
                <w:bCs/>
                <w:sz w:val="20"/>
                <w:szCs w:val="20"/>
                <w:lang w:eastAsia="en-US"/>
              </w:rPr>
              <w:t>Resors</w:t>
            </w:r>
          </w:p>
        </w:tc>
        <w:tc>
          <w:tcPr>
            <w:tcW w:w="2550" w:type="dxa"/>
            <w:gridSpan w:val="2"/>
            <w:shd w:val="clear" w:color="auto" w:fill="57ABD5"/>
          </w:tcPr>
          <w:p w14:paraId="4F96C721"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Samazināta biroja telpu platība</w:t>
            </w:r>
          </w:p>
        </w:tc>
        <w:tc>
          <w:tcPr>
            <w:tcW w:w="2798" w:type="dxa"/>
            <w:gridSpan w:val="2"/>
            <w:shd w:val="clear" w:color="auto" w:fill="57ABD5"/>
          </w:tcPr>
          <w:p w14:paraId="66622E6D"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Atteikušies no biroja telpām</w:t>
            </w:r>
          </w:p>
        </w:tc>
        <w:tc>
          <w:tcPr>
            <w:tcW w:w="2862" w:type="dxa"/>
            <w:gridSpan w:val="2"/>
            <w:shd w:val="clear" w:color="auto" w:fill="57ABD5"/>
          </w:tcPr>
          <w:p w14:paraId="5F9C0BF3"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Biroja telpu maiņa uz mazākām</w:t>
            </w:r>
          </w:p>
        </w:tc>
      </w:tr>
      <w:tr w:rsidR="00925688" w:rsidRPr="00307028" w14:paraId="1EF81427" w14:textId="77777777" w:rsidTr="00F7258A">
        <w:tc>
          <w:tcPr>
            <w:tcW w:w="856" w:type="dxa"/>
            <w:vMerge/>
            <w:shd w:val="clear" w:color="auto" w:fill="57ABD5"/>
          </w:tcPr>
          <w:p w14:paraId="478FFD9D" w14:textId="77777777" w:rsidR="00925688" w:rsidRPr="00F7258A" w:rsidRDefault="00925688" w:rsidP="00925688">
            <w:pPr>
              <w:rPr>
                <w:rFonts w:eastAsiaTheme="minorHAnsi" w:cstheme="minorBidi"/>
                <w:b/>
                <w:bCs/>
                <w:sz w:val="20"/>
                <w:szCs w:val="20"/>
                <w:lang w:eastAsia="en-US"/>
              </w:rPr>
            </w:pPr>
          </w:p>
        </w:tc>
        <w:tc>
          <w:tcPr>
            <w:tcW w:w="981" w:type="dxa"/>
            <w:shd w:val="clear" w:color="auto" w:fill="57ABD5"/>
          </w:tcPr>
          <w:p w14:paraId="7A013F02"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(skaits)</w:t>
            </w:r>
          </w:p>
        </w:tc>
        <w:tc>
          <w:tcPr>
            <w:tcW w:w="1569" w:type="dxa"/>
            <w:shd w:val="clear" w:color="auto" w:fill="57ABD5"/>
          </w:tcPr>
          <w:p w14:paraId="1CDB2644"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(m</w:t>
            </w:r>
            <w:r w:rsidRPr="00F7258A">
              <w:rPr>
                <w:rFonts w:eastAsiaTheme="minorHAnsi" w:cstheme="minorBidi"/>
                <w:b/>
                <w:bCs/>
                <w:sz w:val="20"/>
                <w:szCs w:val="20"/>
                <w:vertAlign w:val="superscript"/>
                <w:lang w:eastAsia="en-US"/>
              </w:rPr>
              <w:t>2</w:t>
            </w:r>
            <w:r w:rsidRPr="00F7258A">
              <w:rPr>
                <w:rFonts w:eastAsiaTheme="minorHAnsi" w:cstheme="minorBidi"/>
                <w:b/>
                <w:bCs/>
                <w:sz w:val="20"/>
                <w:szCs w:val="20"/>
                <w:lang w:eastAsia="en-US"/>
              </w:rPr>
              <w:t>)</w:t>
            </w:r>
          </w:p>
        </w:tc>
        <w:tc>
          <w:tcPr>
            <w:tcW w:w="928" w:type="dxa"/>
            <w:shd w:val="clear" w:color="auto" w:fill="57ABD5"/>
          </w:tcPr>
          <w:p w14:paraId="1E57BFF8"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(skaits)</w:t>
            </w:r>
          </w:p>
        </w:tc>
        <w:tc>
          <w:tcPr>
            <w:tcW w:w="1870" w:type="dxa"/>
            <w:shd w:val="clear" w:color="auto" w:fill="57ABD5"/>
          </w:tcPr>
          <w:p w14:paraId="276C4897"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(m</w:t>
            </w:r>
            <w:r w:rsidRPr="00F7258A">
              <w:rPr>
                <w:rFonts w:eastAsiaTheme="minorHAnsi" w:cstheme="minorBidi"/>
                <w:b/>
                <w:bCs/>
                <w:sz w:val="20"/>
                <w:szCs w:val="20"/>
                <w:vertAlign w:val="superscript"/>
                <w:lang w:eastAsia="en-US"/>
              </w:rPr>
              <w:t>2</w:t>
            </w:r>
            <w:r w:rsidRPr="00F7258A">
              <w:rPr>
                <w:rFonts w:eastAsiaTheme="minorHAnsi" w:cstheme="minorBidi"/>
                <w:b/>
                <w:bCs/>
                <w:sz w:val="20"/>
                <w:szCs w:val="20"/>
                <w:lang w:eastAsia="en-US"/>
              </w:rPr>
              <w:t>)</w:t>
            </w:r>
          </w:p>
        </w:tc>
        <w:tc>
          <w:tcPr>
            <w:tcW w:w="1026" w:type="dxa"/>
            <w:shd w:val="clear" w:color="auto" w:fill="57ABD5"/>
          </w:tcPr>
          <w:p w14:paraId="002984E1"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(skaits)</w:t>
            </w:r>
          </w:p>
        </w:tc>
        <w:tc>
          <w:tcPr>
            <w:tcW w:w="1836" w:type="dxa"/>
            <w:shd w:val="clear" w:color="auto" w:fill="57ABD5"/>
          </w:tcPr>
          <w:p w14:paraId="53DB4BCF" w14:textId="77777777" w:rsidR="00925688" w:rsidRPr="00F7258A" w:rsidRDefault="00925688" w:rsidP="00925688">
            <w:pPr>
              <w:jc w:val="center"/>
              <w:rPr>
                <w:rFonts w:eastAsiaTheme="minorHAnsi" w:cstheme="minorBidi"/>
                <w:b/>
                <w:bCs/>
                <w:sz w:val="20"/>
                <w:szCs w:val="20"/>
                <w:lang w:eastAsia="en-US"/>
              </w:rPr>
            </w:pPr>
            <w:r w:rsidRPr="00F7258A">
              <w:rPr>
                <w:rFonts w:eastAsiaTheme="minorHAnsi" w:cstheme="minorBidi"/>
                <w:b/>
                <w:bCs/>
                <w:sz w:val="20"/>
                <w:szCs w:val="20"/>
                <w:lang w:eastAsia="en-US"/>
              </w:rPr>
              <w:t>(m</w:t>
            </w:r>
            <w:r w:rsidRPr="00F7258A">
              <w:rPr>
                <w:rFonts w:eastAsiaTheme="minorHAnsi" w:cstheme="minorBidi"/>
                <w:b/>
                <w:bCs/>
                <w:sz w:val="20"/>
                <w:szCs w:val="20"/>
                <w:vertAlign w:val="superscript"/>
                <w:lang w:eastAsia="en-US"/>
              </w:rPr>
              <w:t xml:space="preserve">2 </w:t>
            </w:r>
            <w:r w:rsidRPr="00F7258A">
              <w:rPr>
                <w:rFonts w:eastAsiaTheme="minorHAnsi" w:cstheme="minorBidi"/>
                <w:b/>
                <w:bCs/>
                <w:sz w:val="20"/>
                <w:szCs w:val="20"/>
                <w:lang w:eastAsia="en-US"/>
              </w:rPr>
              <w:t>starpība)</w:t>
            </w:r>
          </w:p>
        </w:tc>
      </w:tr>
      <w:tr w:rsidR="00925688" w:rsidRPr="00307028" w14:paraId="267B18DA" w14:textId="77777777" w:rsidTr="004D739B">
        <w:tc>
          <w:tcPr>
            <w:tcW w:w="856" w:type="dxa"/>
          </w:tcPr>
          <w:p w14:paraId="2E29D6C3"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EM</w:t>
            </w:r>
          </w:p>
        </w:tc>
        <w:tc>
          <w:tcPr>
            <w:tcW w:w="981" w:type="dxa"/>
          </w:tcPr>
          <w:p w14:paraId="1620D255"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569" w:type="dxa"/>
          </w:tcPr>
          <w:p w14:paraId="0431B20B"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928" w:type="dxa"/>
          </w:tcPr>
          <w:p w14:paraId="0187F517"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870" w:type="dxa"/>
          </w:tcPr>
          <w:p w14:paraId="57D22375"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026" w:type="dxa"/>
          </w:tcPr>
          <w:p w14:paraId="33A730DF"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w:t>
            </w:r>
          </w:p>
        </w:tc>
        <w:tc>
          <w:tcPr>
            <w:tcW w:w="1836" w:type="dxa"/>
          </w:tcPr>
          <w:p w14:paraId="300AB97F"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74,5</w:t>
            </w:r>
          </w:p>
        </w:tc>
      </w:tr>
      <w:tr w:rsidR="00925688" w:rsidRPr="00307028" w14:paraId="2445B4EC" w14:textId="77777777" w:rsidTr="004D739B">
        <w:tc>
          <w:tcPr>
            <w:tcW w:w="856" w:type="dxa"/>
          </w:tcPr>
          <w:p w14:paraId="5B752342"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FM</w:t>
            </w:r>
          </w:p>
        </w:tc>
        <w:tc>
          <w:tcPr>
            <w:tcW w:w="981" w:type="dxa"/>
          </w:tcPr>
          <w:p w14:paraId="37D6806E"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7</w:t>
            </w:r>
          </w:p>
        </w:tc>
        <w:tc>
          <w:tcPr>
            <w:tcW w:w="1569" w:type="dxa"/>
          </w:tcPr>
          <w:p w14:paraId="3B09D38E"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1 591,1</w:t>
            </w:r>
          </w:p>
        </w:tc>
        <w:tc>
          <w:tcPr>
            <w:tcW w:w="928" w:type="dxa"/>
          </w:tcPr>
          <w:p w14:paraId="0305AF07"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w:t>
            </w:r>
          </w:p>
        </w:tc>
        <w:tc>
          <w:tcPr>
            <w:tcW w:w="1870" w:type="dxa"/>
          </w:tcPr>
          <w:p w14:paraId="0C185B1D"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579,2</w:t>
            </w:r>
          </w:p>
        </w:tc>
        <w:tc>
          <w:tcPr>
            <w:tcW w:w="1026" w:type="dxa"/>
          </w:tcPr>
          <w:p w14:paraId="1D6C2A87"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836" w:type="dxa"/>
          </w:tcPr>
          <w:p w14:paraId="59A82FFC"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r>
      <w:tr w:rsidR="00925688" w:rsidRPr="00307028" w14:paraId="3689B2FE" w14:textId="77777777" w:rsidTr="004D739B">
        <w:tc>
          <w:tcPr>
            <w:tcW w:w="856" w:type="dxa"/>
          </w:tcPr>
          <w:p w14:paraId="213A7FC7"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IeM</w:t>
            </w:r>
          </w:p>
        </w:tc>
        <w:tc>
          <w:tcPr>
            <w:tcW w:w="981" w:type="dxa"/>
          </w:tcPr>
          <w:p w14:paraId="5C44B80D"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26</w:t>
            </w:r>
          </w:p>
        </w:tc>
        <w:tc>
          <w:tcPr>
            <w:tcW w:w="1569" w:type="dxa"/>
          </w:tcPr>
          <w:p w14:paraId="5355C4DB"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7 728,9</w:t>
            </w:r>
          </w:p>
        </w:tc>
        <w:tc>
          <w:tcPr>
            <w:tcW w:w="928" w:type="dxa"/>
          </w:tcPr>
          <w:p w14:paraId="1C6DE23F"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w:t>
            </w:r>
          </w:p>
        </w:tc>
        <w:tc>
          <w:tcPr>
            <w:tcW w:w="1870" w:type="dxa"/>
          </w:tcPr>
          <w:p w14:paraId="3E8D58D0"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2 296,0</w:t>
            </w:r>
          </w:p>
        </w:tc>
        <w:tc>
          <w:tcPr>
            <w:tcW w:w="1026" w:type="dxa"/>
          </w:tcPr>
          <w:p w14:paraId="4F94F9CE"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836" w:type="dxa"/>
          </w:tcPr>
          <w:p w14:paraId="2140304D"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r>
      <w:tr w:rsidR="00925688" w:rsidRPr="00307028" w14:paraId="29D22EA9" w14:textId="77777777" w:rsidTr="004D739B">
        <w:tc>
          <w:tcPr>
            <w:tcW w:w="856" w:type="dxa"/>
          </w:tcPr>
          <w:p w14:paraId="5BA49CE1"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LM</w:t>
            </w:r>
          </w:p>
        </w:tc>
        <w:tc>
          <w:tcPr>
            <w:tcW w:w="981" w:type="dxa"/>
          </w:tcPr>
          <w:p w14:paraId="55233F13"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w:t>
            </w:r>
          </w:p>
        </w:tc>
        <w:tc>
          <w:tcPr>
            <w:tcW w:w="1569" w:type="dxa"/>
          </w:tcPr>
          <w:p w14:paraId="4437A5DA"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63,3</w:t>
            </w:r>
          </w:p>
        </w:tc>
        <w:tc>
          <w:tcPr>
            <w:tcW w:w="928" w:type="dxa"/>
          </w:tcPr>
          <w:p w14:paraId="25E26FE4"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w:t>
            </w:r>
          </w:p>
        </w:tc>
        <w:tc>
          <w:tcPr>
            <w:tcW w:w="1870" w:type="dxa"/>
          </w:tcPr>
          <w:p w14:paraId="7AEB538B"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133,7</w:t>
            </w:r>
          </w:p>
        </w:tc>
        <w:tc>
          <w:tcPr>
            <w:tcW w:w="1026" w:type="dxa"/>
          </w:tcPr>
          <w:p w14:paraId="30F0F3E8"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w:t>
            </w:r>
          </w:p>
        </w:tc>
        <w:tc>
          <w:tcPr>
            <w:tcW w:w="1836" w:type="dxa"/>
          </w:tcPr>
          <w:p w14:paraId="26C9E13A"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101,5</w:t>
            </w:r>
          </w:p>
        </w:tc>
      </w:tr>
      <w:tr w:rsidR="00925688" w:rsidRPr="00307028" w14:paraId="2FDABF3E" w14:textId="77777777" w:rsidTr="004D739B">
        <w:tc>
          <w:tcPr>
            <w:tcW w:w="856" w:type="dxa"/>
          </w:tcPr>
          <w:p w14:paraId="7F54D2E5"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TM</w:t>
            </w:r>
          </w:p>
        </w:tc>
        <w:tc>
          <w:tcPr>
            <w:tcW w:w="981" w:type="dxa"/>
          </w:tcPr>
          <w:p w14:paraId="742BA2A9"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w:t>
            </w:r>
          </w:p>
        </w:tc>
        <w:tc>
          <w:tcPr>
            <w:tcW w:w="1569" w:type="dxa"/>
          </w:tcPr>
          <w:p w14:paraId="490C16D2"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28,6</w:t>
            </w:r>
          </w:p>
        </w:tc>
        <w:tc>
          <w:tcPr>
            <w:tcW w:w="928" w:type="dxa"/>
          </w:tcPr>
          <w:p w14:paraId="6FD43FA4"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w:t>
            </w:r>
          </w:p>
        </w:tc>
        <w:tc>
          <w:tcPr>
            <w:tcW w:w="1870" w:type="dxa"/>
          </w:tcPr>
          <w:p w14:paraId="3C9A701D"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392,9</w:t>
            </w:r>
          </w:p>
        </w:tc>
        <w:tc>
          <w:tcPr>
            <w:tcW w:w="1026" w:type="dxa"/>
          </w:tcPr>
          <w:p w14:paraId="0BCBD3FE"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836" w:type="dxa"/>
          </w:tcPr>
          <w:p w14:paraId="25906761"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r>
      <w:tr w:rsidR="00925688" w:rsidRPr="00307028" w14:paraId="2CA62629" w14:textId="77777777" w:rsidTr="004D739B">
        <w:tc>
          <w:tcPr>
            <w:tcW w:w="856" w:type="dxa"/>
          </w:tcPr>
          <w:p w14:paraId="75E7808B"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VM</w:t>
            </w:r>
          </w:p>
        </w:tc>
        <w:tc>
          <w:tcPr>
            <w:tcW w:w="981" w:type="dxa"/>
          </w:tcPr>
          <w:p w14:paraId="4D3B383A"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569" w:type="dxa"/>
          </w:tcPr>
          <w:p w14:paraId="73E8D9EA"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928" w:type="dxa"/>
          </w:tcPr>
          <w:p w14:paraId="46FCE5D6"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w:t>
            </w:r>
          </w:p>
        </w:tc>
        <w:tc>
          <w:tcPr>
            <w:tcW w:w="1870" w:type="dxa"/>
          </w:tcPr>
          <w:p w14:paraId="6F0A1815"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31,7</w:t>
            </w:r>
          </w:p>
        </w:tc>
        <w:tc>
          <w:tcPr>
            <w:tcW w:w="1026" w:type="dxa"/>
          </w:tcPr>
          <w:p w14:paraId="714AD98F"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2</w:t>
            </w:r>
          </w:p>
        </w:tc>
        <w:tc>
          <w:tcPr>
            <w:tcW w:w="1836" w:type="dxa"/>
          </w:tcPr>
          <w:p w14:paraId="5F892D92"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57,5</w:t>
            </w:r>
          </w:p>
        </w:tc>
      </w:tr>
      <w:tr w:rsidR="00925688" w:rsidRPr="00307028" w14:paraId="4C6D6694" w14:textId="77777777" w:rsidTr="004D739B">
        <w:tc>
          <w:tcPr>
            <w:tcW w:w="856" w:type="dxa"/>
          </w:tcPr>
          <w:p w14:paraId="7D12D0DA" w14:textId="77777777" w:rsidR="00925688" w:rsidRPr="00F7258A" w:rsidRDefault="00925688" w:rsidP="00925688">
            <w:pPr>
              <w:rPr>
                <w:rFonts w:eastAsiaTheme="minorHAnsi" w:cstheme="minorBidi"/>
                <w:sz w:val="20"/>
                <w:szCs w:val="20"/>
                <w:lang w:eastAsia="en-US"/>
              </w:rPr>
            </w:pPr>
            <w:r w:rsidRPr="00F7258A">
              <w:rPr>
                <w:rFonts w:eastAsiaTheme="minorHAnsi" w:cstheme="minorBidi"/>
                <w:sz w:val="20"/>
                <w:szCs w:val="20"/>
                <w:lang w:eastAsia="en-US"/>
              </w:rPr>
              <w:t>ZM</w:t>
            </w:r>
          </w:p>
        </w:tc>
        <w:tc>
          <w:tcPr>
            <w:tcW w:w="981" w:type="dxa"/>
          </w:tcPr>
          <w:p w14:paraId="55E332DB"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569" w:type="dxa"/>
          </w:tcPr>
          <w:p w14:paraId="0822D88C"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928" w:type="dxa"/>
          </w:tcPr>
          <w:p w14:paraId="3BDA364C"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12</w:t>
            </w:r>
          </w:p>
        </w:tc>
        <w:tc>
          <w:tcPr>
            <w:tcW w:w="1870" w:type="dxa"/>
          </w:tcPr>
          <w:p w14:paraId="3D61C75E"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308,4</w:t>
            </w:r>
          </w:p>
        </w:tc>
        <w:tc>
          <w:tcPr>
            <w:tcW w:w="1026" w:type="dxa"/>
          </w:tcPr>
          <w:p w14:paraId="6B2A3F1B"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c>
          <w:tcPr>
            <w:tcW w:w="1836" w:type="dxa"/>
          </w:tcPr>
          <w:p w14:paraId="4EC3E678" w14:textId="77777777" w:rsidR="00925688" w:rsidRPr="00F7258A" w:rsidRDefault="00925688" w:rsidP="00925688">
            <w:pPr>
              <w:jc w:val="right"/>
              <w:rPr>
                <w:rFonts w:eastAsiaTheme="minorHAnsi" w:cstheme="minorBidi"/>
                <w:sz w:val="20"/>
                <w:szCs w:val="20"/>
                <w:lang w:eastAsia="en-US"/>
              </w:rPr>
            </w:pPr>
            <w:r w:rsidRPr="00F7258A">
              <w:rPr>
                <w:rFonts w:eastAsiaTheme="minorHAnsi" w:cstheme="minorBidi"/>
                <w:sz w:val="20"/>
                <w:szCs w:val="20"/>
                <w:lang w:eastAsia="en-US"/>
              </w:rPr>
              <w:t>-</w:t>
            </w:r>
          </w:p>
        </w:tc>
      </w:tr>
      <w:tr w:rsidR="00925688" w:rsidRPr="00307028" w14:paraId="4FDCF8F2" w14:textId="77777777" w:rsidTr="00F7258A">
        <w:tc>
          <w:tcPr>
            <w:tcW w:w="856" w:type="dxa"/>
            <w:shd w:val="clear" w:color="auto" w:fill="57ABD5"/>
          </w:tcPr>
          <w:p w14:paraId="1C052591" w14:textId="77777777" w:rsidR="00925688" w:rsidRPr="00F7258A" w:rsidRDefault="00925688" w:rsidP="00925688">
            <w:pPr>
              <w:rPr>
                <w:rFonts w:eastAsiaTheme="minorHAnsi" w:cstheme="minorBidi"/>
                <w:b/>
                <w:bCs/>
                <w:sz w:val="22"/>
                <w:szCs w:val="22"/>
                <w:lang w:eastAsia="en-US"/>
              </w:rPr>
            </w:pPr>
            <w:r w:rsidRPr="00F7258A">
              <w:rPr>
                <w:rFonts w:eastAsiaTheme="minorHAnsi" w:cstheme="minorBidi"/>
                <w:b/>
                <w:bCs/>
                <w:sz w:val="22"/>
                <w:szCs w:val="22"/>
                <w:lang w:eastAsia="en-US"/>
              </w:rPr>
              <w:t>KOPĀ</w:t>
            </w:r>
          </w:p>
        </w:tc>
        <w:tc>
          <w:tcPr>
            <w:tcW w:w="981" w:type="dxa"/>
            <w:shd w:val="clear" w:color="auto" w:fill="57ABD5"/>
          </w:tcPr>
          <w:p w14:paraId="0C7EF170"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37</w:t>
            </w:r>
          </w:p>
        </w:tc>
        <w:tc>
          <w:tcPr>
            <w:tcW w:w="1569" w:type="dxa"/>
            <w:shd w:val="clear" w:color="auto" w:fill="57ABD5"/>
          </w:tcPr>
          <w:p w14:paraId="7D010D48"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9 411,9</w:t>
            </w:r>
          </w:p>
        </w:tc>
        <w:tc>
          <w:tcPr>
            <w:tcW w:w="928" w:type="dxa"/>
            <w:shd w:val="clear" w:color="auto" w:fill="57ABD5"/>
          </w:tcPr>
          <w:p w14:paraId="2C677AD1"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24</w:t>
            </w:r>
          </w:p>
        </w:tc>
        <w:tc>
          <w:tcPr>
            <w:tcW w:w="1870" w:type="dxa"/>
            <w:shd w:val="clear" w:color="auto" w:fill="57ABD5"/>
          </w:tcPr>
          <w:p w14:paraId="18DF80EA"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3 741,9</w:t>
            </w:r>
          </w:p>
        </w:tc>
        <w:tc>
          <w:tcPr>
            <w:tcW w:w="1026" w:type="dxa"/>
            <w:shd w:val="clear" w:color="auto" w:fill="57ABD5"/>
          </w:tcPr>
          <w:p w14:paraId="51615471"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5</w:t>
            </w:r>
          </w:p>
        </w:tc>
        <w:tc>
          <w:tcPr>
            <w:tcW w:w="1836" w:type="dxa"/>
            <w:shd w:val="clear" w:color="auto" w:fill="57ABD5"/>
          </w:tcPr>
          <w:p w14:paraId="1DF15F2D" w14:textId="77777777" w:rsidR="00925688" w:rsidRPr="00F7258A" w:rsidRDefault="00925688" w:rsidP="00925688">
            <w:pPr>
              <w:jc w:val="right"/>
              <w:rPr>
                <w:rFonts w:eastAsiaTheme="minorHAnsi" w:cstheme="minorBidi"/>
                <w:b/>
                <w:bCs/>
                <w:sz w:val="22"/>
                <w:szCs w:val="22"/>
                <w:lang w:eastAsia="en-US"/>
              </w:rPr>
            </w:pPr>
            <w:r w:rsidRPr="00F7258A">
              <w:rPr>
                <w:rFonts w:eastAsiaTheme="minorHAnsi" w:cstheme="minorBidi"/>
                <w:b/>
                <w:bCs/>
                <w:sz w:val="22"/>
                <w:szCs w:val="22"/>
                <w:lang w:eastAsia="en-US"/>
              </w:rPr>
              <w:t>233,5</w:t>
            </w:r>
          </w:p>
        </w:tc>
      </w:tr>
    </w:tbl>
    <w:p w14:paraId="63065F2B" w14:textId="74FBB853" w:rsidR="00A81BE4" w:rsidRPr="00307028" w:rsidRDefault="00925688" w:rsidP="00B56664">
      <w:pPr>
        <w:spacing w:before="120"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Anketā EM, FM, IeM</w:t>
      </w:r>
      <w:r w:rsidR="00A81BE4" w:rsidRPr="00307028">
        <w:rPr>
          <w:rFonts w:eastAsiaTheme="minorHAnsi" w:cstheme="minorBidi"/>
          <w:kern w:val="2"/>
          <w:lang w:eastAsia="en-US"/>
          <w14:ligatures w14:val="standardContextual"/>
        </w:rPr>
        <w:t xml:space="preserve"> un</w:t>
      </w:r>
      <w:r w:rsidRPr="00307028">
        <w:rPr>
          <w:rFonts w:eastAsiaTheme="minorHAnsi" w:cstheme="minorBidi"/>
          <w:kern w:val="2"/>
          <w:lang w:eastAsia="en-US"/>
          <w14:ligatures w14:val="standardContextual"/>
        </w:rPr>
        <w:t xml:space="preserve"> VARAM norādīja, ka vēlētos nomāt kopstrādes darba vietas saviem darbiniekiem pilnībā aprīkotās biroja telpās Rīgā, Talejas ielā 1. </w:t>
      </w:r>
    </w:p>
    <w:p w14:paraId="681116DF" w14:textId="19B22A1D" w:rsidR="00925688" w:rsidRPr="00307028" w:rsidRDefault="00925688" w:rsidP="00B56664">
      <w:pPr>
        <w:spacing w:before="120" w:after="120" w:line="259" w:lineRule="auto"/>
        <w:ind w:firstLine="72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Savukārt </w:t>
      </w:r>
      <w:r w:rsidR="00A81BE4" w:rsidRPr="00307028">
        <w:rPr>
          <w:rFonts w:eastAsiaTheme="minorHAnsi" w:cstheme="minorBidi"/>
          <w:kern w:val="2"/>
          <w:lang w:eastAsia="en-US"/>
          <w14:ligatures w14:val="standardContextual"/>
        </w:rPr>
        <w:t>uz jautājumu</w:t>
      </w:r>
      <w:r w:rsidRPr="00307028">
        <w:rPr>
          <w:rFonts w:eastAsiaTheme="minorHAnsi" w:cstheme="minorBidi"/>
          <w:kern w:val="2"/>
          <w:lang w:eastAsia="en-US"/>
          <w14:ligatures w14:val="standardContextual"/>
        </w:rPr>
        <w:t>, vai iestādēm ir nepieciešama pārstāvniecība kādā pilsētā, kur tā šobrīd nav pārstāvēta, saņemtas atbildes, ka:</w:t>
      </w:r>
    </w:p>
    <w:p w14:paraId="72A75940" w14:textId="1AF0AFA8"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FM (iestāde) 59 darbinieki izmantotu biroja telpas reģionos. Pilsētas, kur būtu lielākais skaits ir Valmiera, Liepāja, Ogre;</w:t>
      </w:r>
    </w:p>
    <w:p w14:paraId="1917F034" w14:textId="77777777"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FM (CFLA) būtu nepieciešama pārstāvniecība Madonā, Talsos, Ogrē, Siguldā, Valmierā, Jēkabpilī un Saldū;</w:t>
      </w:r>
    </w:p>
    <w:p w14:paraId="4666A96C" w14:textId="7ADFAF74"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FM (VID) atbildi var sniegt tikai tajā brīdī, kad ir zināms, kuras Latvijas pilsētas tiek piedāvātas, kāds ir piedāvātais pakalpojumu klāsts un izmaksas; </w:t>
      </w:r>
    </w:p>
    <w:p w14:paraId="6B7E665A" w14:textId="77777777"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IeM (IeM VSC) būtu nepieciešama pārstāvniecība Kuldīgā;</w:t>
      </w:r>
    </w:p>
    <w:p w14:paraId="6B298DE4" w14:textId="77777777"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LM (VBTAI) būtu nepieciešamas kopstrādes telpas Liepājā un Cēsīs;</w:t>
      </w:r>
    </w:p>
    <w:p w14:paraId="34356621" w14:textId="77777777"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TM (VVC) būtu nepieciešamas kopstrādes telpas Rēzeknē, Daugavpilī, Jēkabpilī, Alūksnē, Cēsīs un Liepājā, ja tiktu piedāvāta iespēja tās izmantot konkrētu darba uzdevumu veikšanai, tās varētu būt dažas dienas gadā un nepieciešama būtu darba vieta vienam nodarbinātajam un vienam līdz diviem apmeklētājiem;</w:t>
      </w:r>
    </w:p>
    <w:p w14:paraId="7F9BD507" w14:textId="77777777" w:rsidR="00925688" w:rsidRPr="00307028" w:rsidRDefault="00925688" w:rsidP="00183D1A">
      <w:pPr>
        <w:numPr>
          <w:ilvl w:val="0"/>
          <w:numId w:val="5"/>
        </w:numPr>
        <w:spacing w:before="120" w:after="120" w:line="259" w:lineRule="auto"/>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ZM (LDC) izskatītu iespēju par darba vietu nomu pilsētās, kurās ir VPVKAC.</w:t>
      </w:r>
    </w:p>
    <w:p w14:paraId="184873F8" w14:textId="77777777" w:rsidR="00925688" w:rsidRPr="00307028" w:rsidRDefault="00925688" w:rsidP="00B56664">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Tāpat anketā iestādes norādījušas, ka plāno 2023. gadā turpināt uzsākto biroja telpu optimizāciju, tajā skaitā atsevišķas iestādes varētu atvēlēt daļu savu telpu kopstrādei citu iestāžu darbiniekiem (Tabula Nr. 4.3.), kā arī būtu gatavas strādāt kopstrādē ar citām iestādēm. </w:t>
      </w:r>
    </w:p>
    <w:p w14:paraId="2E959F7A" w14:textId="77777777" w:rsidR="00925688" w:rsidRPr="00307028" w:rsidRDefault="00925688" w:rsidP="00B56664">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Iestādes arī norādījušas dažādus objektīvus iemeslus, kāpēc tās nevarētu optimizēt telpas vai strādāt kopstrādē ar citām iestādēm, galvenokārt tie ir:</w:t>
      </w:r>
    </w:p>
    <w:p w14:paraId="3D13CF81" w14:textId="15FA397C" w:rsidR="00925688" w:rsidRPr="00307028" w:rsidRDefault="00925688" w:rsidP="00183D1A">
      <w:pPr>
        <w:numPr>
          <w:ilvl w:val="0"/>
          <w:numId w:val="6"/>
        </w:numPr>
        <w:spacing w:before="120" w:after="120" w:line="259" w:lineRule="auto"/>
        <w:ind w:left="709" w:hanging="283"/>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Iestādes funkciju nodrošināšanai nepieciešams speciāls aprīkojums</w:t>
      </w:r>
      <w:r w:rsidR="00B56664" w:rsidRPr="00307028">
        <w:rPr>
          <w:rFonts w:eastAsiaTheme="minorHAnsi" w:cstheme="minorBidi"/>
          <w:kern w:val="2"/>
          <w:lang w:eastAsia="en-US"/>
          <w14:ligatures w14:val="standardContextual"/>
        </w:rPr>
        <w:t>;</w:t>
      </w:r>
    </w:p>
    <w:p w14:paraId="3C0C6CF1" w14:textId="1E1036FC" w:rsidR="00925688" w:rsidRPr="00307028" w:rsidRDefault="00925688" w:rsidP="00183D1A">
      <w:pPr>
        <w:numPr>
          <w:ilvl w:val="0"/>
          <w:numId w:val="6"/>
        </w:numPr>
        <w:spacing w:before="120" w:after="120" w:line="259" w:lineRule="auto"/>
        <w:ind w:left="709" w:hanging="283"/>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Iestādes darbs ar ierobežotas pieejamības dokumentiem, tajā skaitā, kas iekļauj personas (sensitīvus) datus</w:t>
      </w:r>
      <w:r w:rsidR="00B56664" w:rsidRPr="00307028">
        <w:rPr>
          <w:rFonts w:eastAsiaTheme="minorHAnsi" w:cstheme="minorBidi"/>
          <w:kern w:val="2"/>
          <w:lang w:eastAsia="en-US"/>
          <w14:ligatures w14:val="standardContextual"/>
        </w:rPr>
        <w:t>;</w:t>
      </w:r>
      <w:r w:rsidRPr="00307028">
        <w:rPr>
          <w:rFonts w:eastAsiaTheme="minorHAnsi" w:cstheme="minorBidi"/>
          <w:kern w:val="2"/>
          <w:lang w:eastAsia="en-US"/>
          <w14:ligatures w14:val="standardContextual"/>
        </w:rPr>
        <w:t xml:space="preserve"> </w:t>
      </w:r>
    </w:p>
    <w:p w14:paraId="4389BBE5" w14:textId="6E07C923" w:rsidR="00B56664" w:rsidRPr="00307028" w:rsidRDefault="00925688" w:rsidP="00183D1A">
      <w:pPr>
        <w:numPr>
          <w:ilvl w:val="0"/>
          <w:numId w:val="6"/>
        </w:numPr>
        <w:spacing w:before="120" w:after="120" w:line="259" w:lineRule="auto"/>
        <w:ind w:left="709" w:hanging="283"/>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Nekustamie īpašumi (biroja ēkas) ar noteiktām paaugstinātas drošības prasībām.</w:t>
      </w:r>
    </w:p>
    <w:p w14:paraId="13BAEAB1" w14:textId="77777777" w:rsidR="00931049" w:rsidRDefault="00931049" w:rsidP="00272A4B">
      <w:pPr>
        <w:spacing w:after="120" w:line="259" w:lineRule="auto"/>
        <w:jc w:val="center"/>
        <w:rPr>
          <w:rFonts w:eastAsiaTheme="minorHAnsi" w:cstheme="minorBidi"/>
          <w:b/>
          <w:bCs/>
          <w:i/>
          <w:iCs/>
          <w:kern w:val="2"/>
          <w:sz w:val="22"/>
          <w:szCs w:val="22"/>
          <w:lang w:eastAsia="en-US"/>
          <w14:ligatures w14:val="standardContextual"/>
        </w:rPr>
      </w:pPr>
    </w:p>
    <w:p w14:paraId="5FDC7683" w14:textId="77777777" w:rsidR="00931049" w:rsidRDefault="00931049" w:rsidP="00272A4B">
      <w:pPr>
        <w:spacing w:after="120" w:line="259" w:lineRule="auto"/>
        <w:jc w:val="center"/>
        <w:rPr>
          <w:rFonts w:eastAsiaTheme="minorHAnsi" w:cstheme="minorBidi"/>
          <w:b/>
          <w:bCs/>
          <w:i/>
          <w:iCs/>
          <w:kern w:val="2"/>
          <w:sz w:val="22"/>
          <w:szCs w:val="22"/>
          <w:lang w:eastAsia="en-US"/>
          <w14:ligatures w14:val="standardContextual"/>
        </w:rPr>
      </w:pPr>
    </w:p>
    <w:p w14:paraId="5B6DCB18" w14:textId="77777777" w:rsidR="00931049" w:rsidRDefault="00931049" w:rsidP="00272A4B">
      <w:pPr>
        <w:spacing w:after="120" w:line="259" w:lineRule="auto"/>
        <w:jc w:val="center"/>
        <w:rPr>
          <w:rFonts w:eastAsiaTheme="minorHAnsi" w:cstheme="minorBidi"/>
          <w:b/>
          <w:bCs/>
          <w:i/>
          <w:iCs/>
          <w:kern w:val="2"/>
          <w:sz w:val="22"/>
          <w:szCs w:val="22"/>
          <w:lang w:eastAsia="en-US"/>
          <w14:ligatures w14:val="standardContextual"/>
        </w:rPr>
      </w:pPr>
    </w:p>
    <w:p w14:paraId="747DAFFF" w14:textId="27BB6711" w:rsidR="00925688" w:rsidRPr="00307028" w:rsidRDefault="00925688" w:rsidP="00272A4B">
      <w:pPr>
        <w:spacing w:after="120" w:line="259" w:lineRule="auto"/>
        <w:jc w:val="center"/>
        <w:rPr>
          <w:rFonts w:eastAsiaTheme="minorHAnsi"/>
          <w:b/>
          <w:bCs/>
          <w:kern w:val="2"/>
          <w:lang w:eastAsia="en-US"/>
          <w14:ligatures w14:val="standardContextual"/>
        </w:rPr>
      </w:pPr>
      <w:r w:rsidRPr="00307028">
        <w:rPr>
          <w:rFonts w:eastAsiaTheme="minorHAnsi" w:cstheme="minorBidi"/>
          <w:b/>
          <w:bCs/>
          <w:i/>
          <w:iCs/>
          <w:kern w:val="2"/>
          <w:sz w:val="22"/>
          <w:szCs w:val="22"/>
          <w:lang w:eastAsia="en-US"/>
          <w14:ligatures w14:val="standardContextual"/>
        </w:rPr>
        <w:lastRenderedPageBreak/>
        <w:t>4.3. tabula</w:t>
      </w:r>
      <w:r w:rsidRPr="00307028">
        <w:rPr>
          <w:rFonts w:eastAsiaTheme="minorHAnsi" w:cstheme="minorBidi"/>
          <w:b/>
          <w:bCs/>
          <w:kern w:val="2"/>
          <w:sz w:val="22"/>
          <w:szCs w:val="22"/>
          <w:lang w:eastAsia="en-US"/>
          <w14:ligatures w14:val="standardContextual"/>
        </w:rPr>
        <w:t xml:space="preserve"> Resoru plānotā </w:t>
      </w:r>
      <w:r w:rsidRPr="00307028">
        <w:rPr>
          <w:rFonts w:eastAsiaTheme="minorHAnsi"/>
          <w:b/>
          <w:bCs/>
          <w:kern w:val="2"/>
          <w:sz w:val="22"/>
          <w:szCs w:val="22"/>
          <w:lang w:eastAsia="en-US"/>
          <w14:ligatures w14:val="standardContextual"/>
        </w:rPr>
        <w:t xml:space="preserve">nekustamo īpašumu (biroja ēku) optimizācija (biroju skaits) un iespējas atvēlēt daļu savu telpu kopstrādei </w:t>
      </w:r>
      <w:r w:rsidRPr="00307028">
        <w:rPr>
          <w:rFonts w:eastAsiaTheme="minorHAnsi" w:cstheme="minorBidi"/>
          <w:b/>
          <w:bCs/>
          <w:kern w:val="2"/>
          <w:sz w:val="22"/>
          <w:szCs w:val="22"/>
          <w:lang w:eastAsia="en-US"/>
          <w14:ligatures w14:val="standardContextual"/>
        </w:rPr>
        <w:t>citu iestāžu darbiniekiem</w:t>
      </w:r>
    </w:p>
    <w:tbl>
      <w:tblPr>
        <w:tblStyle w:val="TableGrid"/>
        <w:tblW w:w="8995" w:type="dxa"/>
        <w:tblLayout w:type="fixed"/>
        <w:tblLook w:val="04A0" w:firstRow="1" w:lastRow="0" w:firstColumn="1" w:lastColumn="0" w:noHBand="0" w:noVBand="1"/>
      </w:tblPr>
      <w:tblGrid>
        <w:gridCol w:w="1129"/>
        <w:gridCol w:w="1418"/>
        <w:gridCol w:w="1134"/>
        <w:gridCol w:w="1134"/>
        <w:gridCol w:w="1480"/>
        <w:gridCol w:w="2700"/>
      </w:tblGrid>
      <w:tr w:rsidR="00925688" w:rsidRPr="00307028" w14:paraId="636533F4" w14:textId="77777777" w:rsidTr="00F7258A">
        <w:tc>
          <w:tcPr>
            <w:tcW w:w="1129" w:type="dxa"/>
            <w:shd w:val="clear" w:color="auto" w:fill="57ABD5"/>
            <w:vAlign w:val="center"/>
          </w:tcPr>
          <w:p w14:paraId="14D5CC9D" w14:textId="77777777" w:rsidR="00925688" w:rsidRPr="00F7258A" w:rsidRDefault="00925688" w:rsidP="00925688">
            <w:pPr>
              <w:rPr>
                <w:rFonts w:eastAsiaTheme="minorHAnsi"/>
                <w:b/>
                <w:bCs/>
                <w:sz w:val="20"/>
                <w:szCs w:val="20"/>
                <w:lang w:eastAsia="en-US"/>
              </w:rPr>
            </w:pPr>
            <w:r w:rsidRPr="00F7258A">
              <w:rPr>
                <w:rFonts w:eastAsiaTheme="minorHAnsi"/>
                <w:b/>
                <w:bCs/>
                <w:sz w:val="20"/>
                <w:szCs w:val="20"/>
                <w:lang w:eastAsia="en-US"/>
              </w:rPr>
              <w:t>Resors</w:t>
            </w:r>
          </w:p>
        </w:tc>
        <w:tc>
          <w:tcPr>
            <w:tcW w:w="1418" w:type="dxa"/>
            <w:shd w:val="clear" w:color="auto" w:fill="57ABD5"/>
            <w:vAlign w:val="center"/>
          </w:tcPr>
          <w:p w14:paraId="691769FD" w14:textId="77777777" w:rsidR="00925688" w:rsidRPr="00F7258A" w:rsidRDefault="00925688" w:rsidP="00925688">
            <w:pPr>
              <w:jc w:val="center"/>
              <w:rPr>
                <w:rFonts w:eastAsiaTheme="minorHAnsi"/>
                <w:sz w:val="20"/>
                <w:szCs w:val="20"/>
                <w:lang w:eastAsia="en-US"/>
              </w:rPr>
            </w:pPr>
            <w:r w:rsidRPr="00F7258A">
              <w:rPr>
                <w:rFonts w:eastAsiaTheme="minorHAnsi"/>
                <w:b/>
                <w:bCs/>
                <w:sz w:val="20"/>
                <w:szCs w:val="20"/>
                <w:lang w:eastAsia="en-US"/>
              </w:rPr>
              <w:t>Samazināt biroja telpu platību</w:t>
            </w:r>
          </w:p>
        </w:tc>
        <w:tc>
          <w:tcPr>
            <w:tcW w:w="1134" w:type="dxa"/>
            <w:shd w:val="clear" w:color="auto" w:fill="57ABD5"/>
            <w:vAlign w:val="center"/>
          </w:tcPr>
          <w:p w14:paraId="424A0FA3" w14:textId="77777777" w:rsidR="00925688" w:rsidRPr="00F7258A" w:rsidRDefault="00925688" w:rsidP="00925688">
            <w:pPr>
              <w:jc w:val="center"/>
              <w:rPr>
                <w:rFonts w:eastAsiaTheme="minorHAnsi"/>
                <w:sz w:val="20"/>
                <w:szCs w:val="20"/>
                <w:lang w:eastAsia="en-US"/>
              </w:rPr>
            </w:pPr>
            <w:r w:rsidRPr="00F7258A">
              <w:rPr>
                <w:rFonts w:eastAsiaTheme="minorHAnsi"/>
                <w:b/>
                <w:bCs/>
                <w:sz w:val="20"/>
                <w:szCs w:val="20"/>
                <w:lang w:eastAsia="en-US"/>
              </w:rPr>
              <w:t>Atteikties no biroja telpām</w:t>
            </w:r>
          </w:p>
        </w:tc>
        <w:tc>
          <w:tcPr>
            <w:tcW w:w="1134" w:type="dxa"/>
            <w:shd w:val="clear" w:color="auto" w:fill="57ABD5"/>
            <w:vAlign w:val="center"/>
          </w:tcPr>
          <w:p w14:paraId="2E46BC4E" w14:textId="77777777" w:rsidR="00925688" w:rsidRPr="00F7258A" w:rsidRDefault="00925688" w:rsidP="00925688">
            <w:pPr>
              <w:jc w:val="center"/>
              <w:rPr>
                <w:rFonts w:eastAsiaTheme="minorHAnsi"/>
                <w:sz w:val="20"/>
                <w:szCs w:val="20"/>
                <w:lang w:eastAsia="en-US"/>
              </w:rPr>
            </w:pPr>
            <w:r w:rsidRPr="00F7258A">
              <w:rPr>
                <w:rFonts w:eastAsiaTheme="minorHAnsi"/>
                <w:b/>
                <w:bCs/>
                <w:sz w:val="20"/>
                <w:szCs w:val="20"/>
                <w:lang w:eastAsia="en-US"/>
              </w:rPr>
              <w:t>Biroja telpu maiņa *</w:t>
            </w:r>
          </w:p>
        </w:tc>
        <w:tc>
          <w:tcPr>
            <w:tcW w:w="1480" w:type="dxa"/>
            <w:shd w:val="clear" w:color="auto" w:fill="57ABD5"/>
            <w:vAlign w:val="center"/>
          </w:tcPr>
          <w:p w14:paraId="6AB2B8E0" w14:textId="77777777" w:rsidR="00925688" w:rsidRPr="00F7258A" w:rsidRDefault="00925688" w:rsidP="00925688">
            <w:pPr>
              <w:jc w:val="center"/>
              <w:rPr>
                <w:rFonts w:eastAsiaTheme="minorHAnsi"/>
                <w:b/>
                <w:bCs/>
                <w:sz w:val="20"/>
                <w:szCs w:val="20"/>
                <w:lang w:eastAsia="en-US"/>
              </w:rPr>
            </w:pPr>
            <w:r w:rsidRPr="00F7258A">
              <w:rPr>
                <w:rFonts w:eastAsiaTheme="minorHAnsi"/>
                <w:b/>
                <w:bCs/>
                <w:sz w:val="20"/>
                <w:szCs w:val="20"/>
                <w:lang w:eastAsia="en-US"/>
              </w:rPr>
              <w:t>Biroja telpu apvienošana</w:t>
            </w:r>
          </w:p>
        </w:tc>
        <w:tc>
          <w:tcPr>
            <w:tcW w:w="2700" w:type="dxa"/>
            <w:shd w:val="clear" w:color="auto" w:fill="57ABD5"/>
            <w:vAlign w:val="center"/>
          </w:tcPr>
          <w:p w14:paraId="656B6095" w14:textId="77777777" w:rsidR="00925688" w:rsidRPr="00F7258A" w:rsidRDefault="00925688" w:rsidP="00925688">
            <w:pPr>
              <w:jc w:val="center"/>
              <w:rPr>
                <w:rFonts w:eastAsiaTheme="minorHAnsi"/>
                <w:b/>
                <w:bCs/>
                <w:sz w:val="20"/>
                <w:szCs w:val="20"/>
                <w:lang w:eastAsia="en-US"/>
              </w:rPr>
            </w:pPr>
            <w:r w:rsidRPr="00F7258A">
              <w:rPr>
                <w:rFonts w:eastAsiaTheme="minorHAnsi"/>
                <w:b/>
                <w:bCs/>
                <w:sz w:val="20"/>
                <w:szCs w:val="20"/>
                <w:lang w:eastAsia="en-US"/>
              </w:rPr>
              <w:t>Atvēlēt daļu savu telpu kopstrādei citu iestāžu darbiniekiem</w:t>
            </w:r>
          </w:p>
        </w:tc>
      </w:tr>
      <w:tr w:rsidR="00925688" w:rsidRPr="00307028" w14:paraId="0C9552C4" w14:textId="77777777" w:rsidTr="004D739B">
        <w:tc>
          <w:tcPr>
            <w:tcW w:w="1129" w:type="dxa"/>
          </w:tcPr>
          <w:p w14:paraId="3C871333"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EM</w:t>
            </w:r>
          </w:p>
        </w:tc>
        <w:tc>
          <w:tcPr>
            <w:tcW w:w="1418" w:type="dxa"/>
          </w:tcPr>
          <w:p w14:paraId="24F85329"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w:t>
            </w:r>
          </w:p>
        </w:tc>
        <w:tc>
          <w:tcPr>
            <w:tcW w:w="1134" w:type="dxa"/>
          </w:tcPr>
          <w:p w14:paraId="659B183F"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09FE0640"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5</w:t>
            </w:r>
          </w:p>
        </w:tc>
        <w:tc>
          <w:tcPr>
            <w:tcW w:w="1480" w:type="dxa"/>
          </w:tcPr>
          <w:p w14:paraId="71428529"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1FFB73C7"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r>
      <w:tr w:rsidR="00925688" w:rsidRPr="00307028" w14:paraId="594C0E3B" w14:textId="77777777" w:rsidTr="004D739B">
        <w:tc>
          <w:tcPr>
            <w:tcW w:w="1129" w:type="dxa"/>
          </w:tcPr>
          <w:p w14:paraId="5794E8E4"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FM</w:t>
            </w:r>
          </w:p>
        </w:tc>
        <w:tc>
          <w:tcPr>
            <w:tcW w:w="1418" w:type="dxa"/>
          </w:tcPr>
          <w:p w14:paraId="06B75BC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4</w:t>
            </w:r>
          </w:p>
        </w:tc>
        <w:tc>
          <w:tcPr>
            <w:tcW w:w="1134" w:type="dxa"/>
          </w:tcPr>
          <w:p w14:paraId="4349B3AB"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w:t>
            </w:r>
          </w:p>
        </w:tc>
        <w:tc>
          <w:tcPr>
            <w:tcW w:w="1134" w:type="dxa"/>
          </w:tcPr>
          <w:p w14:paraId="7D7E8C0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480" w:type="dxa"/>
          </w:tcPr>
          <w:p w14:paraId="7ACF9BE5"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099CA3F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11,7m</w:t>
            </w:r>
            <w:r w:rsidRPr="00F7258A">
              <w:rPr>
                <w:rFonts w:eastAsiaTheme="minorHAnsi"/>
                <w:sz w:val="20"/>
                <w:szCs w:val="20"/>
                <w:vertAlign w:val="superscript"/>
                <w:lang w:eastAsia="en-US"/>
              </w:rPr>
              <w:t>2</w:t>
            </w:r>
            <w:r w:rsidRPr="00F7258A">
              <w:rPr>
                <w:rFonts w:eastAsiaTheme="minorHAnsi"/>
                <w:sz w:val="20"/>
                <w:szCs w:val="20"/>
                <w:lang w:eastAsia="en-US"/>
              </w:rPr>
              <w:t xml:space="preserve"> + trīs darba vietas**</w:t>
            </w:r>
          </w:p>
        </w:tc>
      </w:tr>
      <w:tr w:rsidR="00925688" w:rsidRPr="00307028" w14:paraId="69BF090D" w14:textId="77777777" w:rsidTr="004D739B">
        <w:tc>
          <w:tcPr>
            <w:tcW w:w="1129" w:type="dxa"/>
          </w:tcPr>
          <w:p w14:paraId="55CAC7CC"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IeM</w:t>
            </w:r>
          </w:p>
        </w:tc>
        <w:tc>
          <w:tcPr>
            <w:tcW w:w="1418" w:type="dxa"/>
          </w:tcPr>
          <w:p w14:paraId="5F5FB932"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76509611"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0C9A0164"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2</w:t>
            </w:r>
          </w:p>
        </w:tc>
        <w:tc>
          <w:tcPr>
            <w:tcW w:w="1480" w:type="dxa"/>
          </w:tcPr>
          <w:p w14:paraId="0B340C82"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66D08D06"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r>
      <w:tr w:rsidR="00925688" w:rsidRPr="00307028" w14:paraId="0AAC1383" w14:textId="77777777" w:rsidTr="004D739B">
        <w:tc>
          <w:tcPr>
            <w:tcW w:w="1129" w:type="dxa"/>
          </w:tcPr>
          <w:p w14:paraId="60CB2AD0"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KM</w:t>
            </w:r>
          </w:p>
        </w:tc>
        <w:tc>
          <w:tcPr>
            <w:tcW w:w="1418" w:type="dxa"/>
          </w:tcPr>
          <w:p w14:paraId="6D364766"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565E0C17"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7102A7E4"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480" w:type="dxa"/>
          </w:tcPr>
          <w:p w14:paraId="0DEFD85B"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454BDEB8"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Neremontētas telpas**</w:t>
            </w:r>
          </w:p>
        </w:tc>
      </w:tr>
      <w:tr w:rsidR="00925688" w:rsidRPr="00307028" w14:paraId="6C0104C9" w14:textId="77777777" w:rsidTr="004D739B">
        <w:tc>
          <w:tcPr>
            <w:tcW w:w="1129" w:type="dxa"/>
          </w:tcPr>
          <w:p w14:paraId="067533D4"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LM</w:t>
            </w:r>
          </w:p>
        </w:tc>
        <w:tc>
          <w:tcPr>
            <w:tcW w:w="1418" w:type="dxa"/>
          </w:tcPr>
          <w:p w14:paraId="5951F812"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w:t>
            </w:r>
          </w:p>
        </w:tc>
        <w:tc>
          <w:tcPr>
            <w:tcW w:w="1134" w:type="dxa"/>
          </w:tcPr>
          <w:p w14:paraId="38A6C340"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709D39A0"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w:t>
            </w:r>
          </w:p>
        </w:tc>
        <w:tc>
          <w:tcPr>
            <w:tcW w:w="1480" w:type="dxa"/>
          </w:tcPr>
          <w:p w14:paraId="5AB8A4F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789E4D1B"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r>
      <w:tr w:rsidR="00925688" w:rsidRPr="00307028" w14:paraId="4D794ACF" w14:textId="77777777" w:rsidTr="004D739B">
        <w:tc>
          <w:tcPr>
            <w:tcW w:w="1129" w:type="dxa"/>
          </w:tcPr>
          <w:p w14:paraId="7E217625"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TM</w:t>
            </w:r>
          </w:p>
        </w:tc>
        <w:tc>
          <w:tcPr>
            <w:tcW w:w="1418" w:type="dxa"/>
          </w:tcPr>
          <w:p w14:paraId="64BE75A1"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5</w:t>
            </w:r>
          </w:p>
        </w:tc>
        <w:tc>
          <w:tcPr>
            <w:tcW w:w="1134" w:type="dxa"/>
          </w:tcPr>
          <w:p w14:paraId="79B39BF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7A745EC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6</w:t>
            </w:r>
          </w:p>
        </w:tc>
        <w:tc>
          <w:tcPr>
            <w:tcW w:w="1480" w:type="dxa"/>
          </w:tcPr>
          <w:p w14:paraId="5D65BE4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3</w:t>
            </w:r>
          </w:p>
        </w:tc>
        <w:tc>
          <w:tcPr>
            <w:tcW w:w="2700" w:type="dxa"/>
          </w:tcPr>
          <w:p w14:paraId="23429C77"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260,0 m</w:t>
            </w:r>
            <w:r w:rsidRPr="00F7258A">
              <w:rPr>
                <w:rFonts w:eastAsiaTheme="minorHAnsi"/>
                <w:sz w:val="20"/>
                <w:szCs w:val="20"/>
                <w:vertAlign w:val="superscript"/>
                <w:lang w:eastAsia="en-US"/>
              </w:rPr>
              <w:t>2</w:t>
            </w:r>
          </w:p>
        </w:tc>
      </w:tr>
      <w:tr w:rsidR="00925688" w:rsidRPr="00307028" w14:paraId="72B59F91" w14:textId="77777777" w:rsidTr="004D739B">
        <w:tc>
          <w:tcPr>
            <w:tcW w:w="1129" w:type="dxa"/>
          </w:tcPr>
          <w:p w14:paraId="4137CF46"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VARAM</w:t>
            </w:r>
          </w:p>
        </w:tc>
        <w:tc>
          <w:tcPr>
            <w:tcW w:w="1418" w:type="dxa"/>
          </w:tcPr>
          <w:p w14:paraId="151795B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2</w:t>
            </w:r>
          </w:p>
        </w:tc>
        <w:tc>
          <w:tcPr>
            <w:tcW w:w="1134" w:type="dxa"/>
          </w:tcPr>
          <w:p w14:paraId="44D816F4"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30F55753"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2</w:t>
            </w:r>
          </w:p>
        </w:tc>
        <w:tc>
          <w:tcPr>
            <w:tcW w:w="1480" w:type="dxa"/>
          </w:tcPr>
          <w:p w14:paraId="4F23C5F8"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2A6EAB7D"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671,7 m</w:t>
            </w:r>
            <w:r w:rsidRPr="00F7258A">
              <w:rPr>
                <w:rFonts w:eastAsiaTheme="minorHAnsi"/>
                <w:sz w:val="20"/>
                <w:szCs w:val="20"/>
                <w:vertAlign w:val="superscript"/>
                <w:lang w:eastAsia="en-US"/>
              </w:rPr>
              <w:t>2</w:t>
            </w:r>
            <w:r w:rsidRPr="00F7258A">
              <w:rPr>
                <w:rFonts w:eastAsiaTheme="minorHAnsi"/>
                <w:sz w:val="20"/>
                <w:szCs w:val="20"/>
                <w:lang w:eastAsia="en-US"/>
              </w:rPr>
              <w:t xml:space="preserve"> </w:t>
            </w:r>
          </w:p>
        </w:tc>
      </w:tr>
      <w:tr w:rsidR="00925688" w:rsidRPr="00307028" w14:paraId="595DCDB1" w14:textId="77777777" w:rsidTr="004D739B">
        <w:tc>
          <w:tcPr>
            <w:tcW w:w="1129" w:type="dxa"/>
          </w:tcPr>
          <w:p w14:paraId="3CB7709E"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VM</w:t>
            </w:r>
          </w:p>
        </w:tc>
        <w:tc>
          <w:tcPr>
            <w:tcW w:w="1418" w:type="dxa"/>
          </w:tcPr>
          <w:p w14:paraId="64682973"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w:t>
            </w:r>
          </w:p>
        </w:tc>
        <w:tc>
          <w:tcPr>
            <w:tcW w:w="1134" w:type="dxa"/>
          </w:tcPr>
          <w:p w14:paraId="0B0B08A2"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1134" w:type="dxa"/>
          </w:tcPr>
          <w:p w14:paraId="4156D8E3"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2</w:t>
            </w:r>
          </w:p>
        </w:tc>
        <w:tc>
          <w:tcPr>
            <w:tcW w:w="1480" w:type="dxa"/>
          </w:tcPr>
          <w:p w14:paraId="3BCB527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c>
          <w:tcPr>
            <w:tcW w:w="2700" w:type="dxa"/>
          </w:tcPr>
          <w:p w14:paraId="0228269C"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w:t>
            </w:r>
          </w:p>
        </w:tc>
      </w:tr>
      <w:tr w:rsidR="00925688" w:rsidRPr="00307028" w14:paraId="1DFC0009" w14:textId="77777777" w:rsidTr="004D739B">
        <w:tc>
          <w:tcPr>
            <w:tcW w:w="1129" w:type="dxa"/>
          </w:tcPr>
          <w:p w14:paraId="7EA8E0C8" w14:textId="77777777" w:rsidR="00925688" w:rsidRPr="00F7258A" w:rsidRDefault="00925688" w:rsidP="00925688">
            <w:pPr>
              <w:jc w:val="both"/>
              <w:rPr>
                <w:rFonts w:eastAsiaTheme="minorHAnsi"/>
                <w:sz w:val="20"/>
                <w:szCs w:val="20"/>
                <w:lang w:eastAsia="en-US"/>
              </w:rPr>
            </w:pPr>
            <w:r w:rsidRPr="00F7258A">
              <w:rPr>
                <w:rFonts w:eastAsiaTheme="minorHAnsi"/>
                <w:sz w:val="20"/>
                <w:szCs w:val="20"/>
                <w:lang w:eastAsia="en-US"/>
              </w:rPr>
              <w:t>ZM</w:t>
            </w:r>
          </w:p>
        </w:tc>
        <w:tc>
          <w:tcPr>
            <w:tcW w:w="1418" w:type="dxa"/>
          </w:tcPr>
          <w:p w14:paraId="2FC45590"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6</w:t>
            </w:r>
          </w:p>
        </w:tc>
        <w:tc>
          <w:tcPr>
            <w:tcW w:w="1134" w:type="dxa"/>
          </w:tcPr>
          <w:p w14:paraId="1A13475D" w14:textId="77777777" w:rsidR="00925688" w:rsidRPr="00F7258A" w:rsidRDefault="00925688" w:rsidP="00925688">
            <w:pPr>
              <w:jc w:val="right"/>
              <w:rPr>
                <w:rFonts w:eastAsiaTheme="minorHAnsi"/>
                <w:sz w:val="20"/>
                <w:szCs w:val="20"/>
                <w:lang w:eastAsia="en-US"/>
              </w:rPr>
            </w:pPr>
          </w:p>
        </w:tc>
        <w:tc>
          <w:tcPr>
            <w:tcW w:w="1134" w:type="dxa"/>
          </w:tcPr>
          <w:p w14:paraId="70A56A49"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13</w:t>
            </w:r>
          </w:p>
        </w:tc>
        <w:tc>
          <w:tcPr>
            <w:tcW w:w="1480" w:type="dxa"/>
          </w:tcPr>
          <w:p w14:paraId="14EB78DE"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18</w:t>
            </w:r>
          </w:p>
        </w:tc>
        <w:tc>
          <w:tcPr>
            <w:tcW w:w="2700" w:type="dxa"/>
          </w:tcPr>
          <w:p w14:paraId="2888AA5A" w14:textId="77777777" w:rsidR="00925688" w:rsidRPr="00F7258A" w:rsidRDefault="00925688" w:rsidP="00925688">
            <w:pPr>
              <w:jc w:val="right"/>
              <w:rPr>
                <w:rFonts w:eastAsiaTheme="minorHAnsi"/>
                <w:sz w:val="20"/>
                <w:szCs w:val="20"/>
                <w:lang w:eastAsia="en-US"/>
              </w:rPr>
            </w:pPr>
            <w:r w:rsidRPr="00F7258A">
              <w:rPr>
                <w:rFonts w:eastAsiaTheme="minorHAnsi"/>
                <w:sz w:val="20"/>
                <w:szCs w:val="20"/>
                <w:lang w:eastAsia="en-US"/>
              </w:rPr>
              <w:t>1 101,3 m</w:t>
            </w:r>
            <w:r w:rsidRPr="00F7258A">
              <w:rPr>
                <w:rFonts w:eastAsiaTheme="minorHAnsi"/>
                <w:sz w:val="20"/>
                <w:szCs w:val="20"/>
                <w:vertAlign w:val="superscript"/>
                <w:lang w:eastAsia="en-US"/>
              </w:rPr>
              <w:t>2</w:t>
            </w:r>
            <w:r w:rsidRPr="00F7258A">
              <w:rPr>
                <w:rFonts w:eastAsiaTheme="minorHAnsi"/>
                <w:sz w:val="20"/>
                <w:szCs w:val="20"/>
                <w:lang w:eastAsia="en-US"/>
              </w:rPr>
              <w:t xml:space="preserve"> </w:t>
            </w:r>
          </w:p>
        </w:tc>
      </w:tr>
      <w:tr w:rsidR="00925688" w:rsidRPr="00307028" w14:paraId="6FAA95C9" w14:textId="77777777" w:rsidTr="00F7258A">
        <w:tc>
          <w:tcPr>
            <w:tcW w:w="1129" w:type="dxa"/>
            <w:shd w:val="clear" w:color="auto" w:fill="57ABD5"/>
          </w:tcPr>
          <w:p w14:paraId="679A1BBB" w14:textId="77777777" w:rsidR="00925688" w:rsidRPr="00F7258A" w:rsidRDefault="00925688" w:rsidP="00925688">
            <w:pPr>
              <w:jc w:val="both"/>
              <w:rPr>
                <w:rFonts w:eastAsiaTheme="minorHAnsi"/>
                <w:b/>
                <w:bCs/>
                <w:sz w:val="22"/>
                <w:szCs w:val="22"/>
                <w:lang w:eastAsia="en-US"/>
              </w:rPr>
            </w:pPr>
            <w:r w:rsidRPr="00F7258A">
              <w:rPr>
                <w:rFonts w:eastAsiaTheme="minorHAnsi"/>
                <w:b/>
                <w:bCs/>
                <w:sz w:val="22"/>
                <w:szCs w:val="22"/>
                <w:lang w:eastAsia="en-US"/>
              </w:rPr>
              <w:t>KOPĀ</w:t>
            </w:r>
          </w:p>
        </w:tc>
        <w:tc>
          <w:tcPr>
            <w:tcW w:w="1418" w:type="dxa"/>
            <w:shd w:val="clear" w:color="auto" w:fill="57ABD5"/>
          </w:tcPr>
          <w:p w14:paraId="1E26B332"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20</w:t>
            </w:r>
          </w:p>
        </w:tc>
        <w:tc>
          <w:tcPr>
            <w:tcW w:w="1134" w:type="dxa"/>
            <w:shd w:val="clear" w:color="auto" w:fill="57ABD5"/>
          </w:tcPr>
          <w:p w14:paraId="4DB54BF9"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1</w:t>
            </w:r>
          </w:p>
        </w:tc>
        <w:tc>
          <w:tcPr>
            <w:tcW w:w="1134" w:type="dxa"/>
            <w:shd w:val="clear" w:color="auto" w:fill="57ABD5"/>
          </w:tcPr>
          <w:p w14:paraId="3F305BE2"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31</w:t>
            </w:r>
          </w:p>
        </w:tc>
        <w:tc>
          <w:tcPr>
            <w:tcW w:w="1480" w:type="dxa"/>
            <w:shd w:val="clear" w:color="auto" w:fill="57ABD5"/>
          </w:tcPr>
          <w:p w14:paraId="3D41D16E" w14:textId="77777777" w:rsidR="00925688" w:rsidRPr="00F7258A" w:rsidRDefault="00925688" w:rsidP="00925688">
            <w:pPr>
              <w:jc w:val="right"/>
              <w:rPr>
                <w:rFonts w:eastAsiaTheme="minorHAnsi"/>
                <w:b/>
                <w:bCs/>
                <w:sz w:val="22"/>
                <w:szCs w:val="22"/>
                <w:lang w:eastAsia="en-US"/>
              </w:rPr>
            </w:pPr>
            <w:r w:rsidRPr="00F7258A">
              <w:rPr>
                <w:rFonts w:eastAsiaTheme="minorHAnsi"/>
                <w:b/>
                <w:bCs/>
                <w:sz w:val="22"/>
                <w:szCs w:val="22"/>
                <w:lang w:eastAsia="en-US"/>
              </w:rPr>
              <w:t>21</w:t>
            </w:r>
          </w:p>
        </w:tc>
        <w:tc>
          <w:tcPr>
            <w:tcW w:w="2700" w:type="dxa"/>
            <w:shd w:val="clear" w:color="auto" w:fill="57ABD5"/>
          </w:tcPr>
          <w:p w14:paraId="210C4B1F" w14:textId="77777777" w:rsidR="00925688" w:rsidRPr="00F7258A" w:rsidRDefault="00925688" w:rsidP="00925688">
            <w:pPr>
              <w:jc w:val="right"/>
              <w:rPr>
                <w:rFonts w:eastAsiaTheme="minorHAnsi"/>
                <w:b/>
                <w:bCs/>
                <w:sz w:val="22"/>
                <w:szCs w:val="22"/>
                <w:vertAlign w:val="superscript"/>
                <w:lang w:eastAsia="en-US"/>
              </w:rPr>
            </w:pPr>
            <w:r w:rsidRPr="00F7258A">
              <w:rPr>
                <w:rFonts w:eastAsiaTheme="minorHAnsi"/>
                <w:b/>
                <w:bCs/>
                <w:sz w:val="22"/>
                <w:szCs w:val="22"/>
                <w:lang w:eastAsia="en-US"/>
              </w:rPr>
              <w:t>2 044,7 m</w:t>
            </w:r>
            <w:r w:rsidRPr="00F7258A">
              <w:rPr>
                <w:rFonts w:eastAsiaTheme="minorHAnsi"/>
                <w:b/>
                <w:bCs/>
                <w:sz w:val="22"/>
                <w:szCs w:val="22"/>
                <w:vertAlign w:val="superscript"/>
                <w:lang w:eastAsia="en-US"/>
              </w:rPr>
              <w:t xml:space="preserve">2 </w:t>
            </w:r>
            <w:r w:rsidRPr="00F7258A">
              <w:rPr>
                <w:rFonts w:eastAsiaTheme="minorHAnsi"/>
                <w:b/>
                <w:bCs/>
                <w:sz w:val="22"/>
                <w:szCs w:val="22"/>
                <w:lang w:eastAsia="en-US"/>
              </w:rPr>
              <w:t>+ citas telpas**</w:t>
            </w:r>
          </w:p>
        </w:tc>
      </w:tr>
    </w:tbl>
    <w:p w14:paraId="7E4142B1" w14:textId="77777777" w:rsidR="00925688" w:rsidRPr="00307028" w:rsidRDefault="00925688" w:rsidP="00925688">
      <w:pPr>
        <w:spacing w:line="259" w:lineRule="auto"/>
        <w:jc w:val="both"/>
        <w:rPr>
          <w:rFonts w:eastAsiaTheme="minorHAnsi" w:cstheme="minorBidi"/>
          <w:kern w:val="2"/>
          <w:sz w:val="20"/>
          <w:szCs w:val="20"/>
          <w:lang w:eastAsia="en-US"/>
          <w14:ligatures w14:val="standardContextual"/>
        </w:rPr>
      </w:pPr>
      <w:r w:rsidRPr="00307028">
        <w:rPr>
          <w:rFonts w:eastAsiaTheme="minorHAnsi" w:cstheme="minorBidi"/>
          <w:kern w:val="2"/>
          <w:sz w:val="20"/>
          <w:szCs w:val="20"/>
          <w:lang w:eastAsia="en-US"/>
          <w14:ligatures w14:val="standardContextual"/>
        </w:rPr>
        <w:t>* t.sk. pāreja uz kopstrādes telpām</w:t>
      </w:r>
    </w:p>
    <w:p w14:paraId="28A8781D" w14:textId="77777777" w:rsidR="00925688" w:rsidRPr="00307028" w:rsidRDefault="00925688" w:rsidP="00925688">
      <w:pPr>
        <w:spacing w:line="259" w:lineRule="auto"/>
        <w:jc w:val="both"/>
        <w:rPr>
          <w:rFonts w:eastAsiaTheme="minorHAnsi" w:cstheme="minorBidi"/>
          <w:kern w:val="2"/>
          <w:sz w:val="20"/>
          <w:szCs w:val="20"/>
          <w:vertAlign w:val="superscript"/>
          <w:lang w:eastAsia="en-US"/>
          <w14:ligatures w14:val="standardContextual"/>
        </w:rPr>
      </w:pPr>
      <w:r w:rsidRPr="00307028">
        <w:rPr>
          <w:rFonts w:eastAsiaTheme="minorHAnsi" w:cstheme="minorBidi"/>
          <w:kern w:val="2"/>
          <w:sz w:val="20"/>
          <w:szCs w:val="20"/>
          <w:lang w:eastAsia="en-US"/>
          <w14:ligatures w14:val="standardContextual"/>
        </w:rPr>
        <w:t>**nav precīzi aprēķināmi m</w:t>
      </w:r>
      <w:r w:rsidRPr="00307028">
        <w:rPr>
          <w:rFonts w:eastAsiaTheme="minorHAnsi" w:cstheme="minorBidi"/>
          <w:kern w:val="2"/>
          <w:sz w:val="20"/>
          <w:szCs w:val="20"/>
          <w:vertAlign w:val="superscript"/>
          <w:lang w:eastAsia="en-US"/>
          <w14:ligatures w14:val="standardContextual"/>
        </w:rPr>
        <w:t>2</w:t>
      </w:r>
    </w:p>
    <w:p w14:paraId="6214B518" w14:textId="77777777" w:rsidR="00925688" w:rsidRPr="00307028" w:rsidRDefault="00925688" w:rsidP="00925688">
      <w:pPr>
        <w:spacing w:line="259" w:lineRule="auto"/>
        <w:jc w:val="both"/>
        <w:rPr>
          <w:rFonts w:eastAsiaTheme="minorHAnsi" w:cstheme="minorBidi"/>
          <w:kern w:val="2"/>
          <w:sz w:val="20"/>
          <w:szCs w:val="20"/>
          <w:vertAlign w:val="superscript"/>
          <w:lang w:eastAsia="en-US"/>
          <w14:ligatures w14:val="standardContextual"/>
        </w:rPr>
      </w:pPr>
    </w:p>
    <w:p w14:paraId="49597E8B" w14:textId="227FC0CA" w:rsidR="00B56664" w:rsidRPr="00307028" w:rsidRDefault="00925688" w:rsidP="00B56664">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FM (CFLA)</w:t>
      </w:r>
      <w:r w:rsidRPr="00307028">
        <w:rPr>
          <w:rFonts w:eastAsiaTheme="minorHAnsi" w:cstheme="minorBidi"/>
          <w:kern w:val="2"/>
          <w:lang w:eastAsia="en-US"/>
          <w14:ligatures w14:val="standardContextual"/>
        </w:rPr>
        <w:t xml:space="preserve"> norāda, ka ir jānodrošina ierobežotas pieejamības informācijas konfidencialitāte un, ja tiktu lemts, ka nepieciešams strādāt kopstrādē ar citām iestādēm, būtu jāinvestē telpu piekļuves kontroles tehnoloģijās, lai ir iespējams izsekot citu iestāžu darbinieku rīcīb</w:t>
      </w:r>
      <w:r w:rsidR="00272A4B" w:rsidRPr="00307028">
        <w:rPr>
          <w:rFonts w:eastAsiaTheme="minorHAnsi" w:cstheme="minorBidi"/>
          <w:kern w:val="2"/>
          <w:lang w:eastAsia="en-US"/>
          <w14:ligatures w14:val="standardContextual"/>
        </w:rPr>
        <w:t>ai</w:t>
      </w:r>
      <w:r w:rsidRPr="00307028">
        <w:rPr>
          <w:rFonts w:eastAsiaTheme="minorHAnsi" w:cstheme="minorBidi"/>
          <w:kern w:val="2"/>
          <w:lang w:eastAsia="en-US"/>
          <w14:ligatures w14:val="standardContextual"/>
        </w:rPr>
        <w:t xml:space="preserve">. Tāpat svarīgi būtu norobežot kabinetus, jo strādājot vienā kabinetā, nav iespējams produktīvi </w:t>
      </w:r>
      <w:r w:rsidR="00272A4B" w:rsidRPr="00307028">
        <w:rPr>
          <w:rFonts w:eastAsiaTheme="minorHAnsi" w:cstheme="minorBidi"/>
          <w:kern w:val="2"/>
          <w:lang w:eastAsia="en-US"/>
          <w14:ligatures w14:val="standardContextual"/>
        </w:rPr>
        <w:t>veikt darba pienākumus</w:t>
      </w:r>
      <w:r w:rsidRPr="00307028">
        <w:rPr>
          <w:rFonts w:eastAsiaTheme="minorHAnsi" w:cstheme="minorBidi"/>
          <w:kern w:val="2"/>
          <w:lang w:eastAsia="en-US"/>
          <w14:ligatures w14:val="standardContextual"/>
        </w:rPr>
        <w:t xml:space="preserve">, ja paralēli notiek vairākas sarunas vai </w:t>
      </w:r>
      <w:r w:rsidRPr="00307028">
        <w:rPr>
          <w:rFonts w:eastAsiaTheme="minorHAnsi" w:cstheme="minorBidi"/>
          <w:i/>
          <w:iCs/>
          <w:kern w:val="2"/>
          <w:lang w:eastAsia="en-US"/>
          <w14:ligatures w14:val="standardContextual"/>
        </w:rPr>
        <w:t>MS Teams</w:t>
      </w:r>
      <w:r w:rsidRPr="00307028">
        <w:rPr>
          <w:rFonts w:eastAsiaTheme="minorHAnsi" w:cstheme="minorBidi"/>
          <w:kern w:val="2"/>
          <w:lang w:eastAsia="en-US"/>
          <w14:ligatures w14:val="standardContextual"/>
        </w:rPr>
        <w:t xml:space="preserve"> sanāksmes. Būtu nepieciešams izveidot centralizētu telpu rezervācijas rīku un centralizētus iepirkumu risinājumus, lai nodrošinātu dažādus pakalpojumus (piemēram, apsardze, IT tehnoloģijas) un neradītu lieku administratīvo slogu katrai iestādei. Savukārt Cēsu novadā (Jāņa Poruka ielā 8) 11,7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un Jelgavā (Pasta ielā 43) telpu ar trīs darba vietām CFLA varētu atvēlēt kopstrādei citiem valsts iestāžu darbiniekiem.</w:t>
      </w:r>
    </w:p>
    <w:p w14:paraId="3912D94D" w14:textId="28BED92F" w:rsidR="00925688" w:rsidRPr="00307028" w:rsidRDefault="00925688" w:rsidP="00B56664">
      <w:pPr>
        <w:spacing w:after="120" w:line="259" w:lineRule="auto"/>
        <w:ind w:firstLine="720"/>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 xml:space="preserve">IeM </w:t>
      </w:r>
      <w:r w:rsidRPr="00307028">
        <w:rPr>
          <w:rFonts w:eastAsiaTheme="minorHAnsi" w:cstheme="minorBidi"/>
          <w:kern w:val="2"/>
          <w:lang w:eastAsia="en-US"/>
          <w14:ligatures w14:val="standardContextual"/>
        </w:rPr>
        <w:t xml:space="preserve">vērš uzmanību, ka lielākā daļa nekustamo īpašumu (biroja ēku) nav klasiskas biroja ēkas, bet ir objekti ar noteiktām drošības prasībām, kritisko infrastruktūru, kuros var atrasties aizturētās personas, var tikt glabāts bruņojums, speciālie līdzekļi, valsts materiālās rezerves, valsts noslēpuma objekti, ierobežotas pieejamības dokumenti, īpašas datorprogrammas, dokumenti, kas satur personu sensitīvos datus, u.c., tādēļ tās nav izmantojamas citiem mērķiem, </w:t>
      </w:r>
      <w:r w:rsidR="00525759" w:rsidRPr="00307028">
        <w:rPr>
          <w:rFonts w:eastAsiaTheme="minorHAnsi" w:cstheme="minorBidi"/>
          <w:kern w:val="2"/>
          <w:lang w:eastAsia="en-US"/>
          <w14:ligatures w14:val="standardContextual"/>
        </w:rPr>
        <w:t>proti,</w:t>
      </w:r>
      <w:r w:rsidRPr="00307028">
        <w:rPr>
          <w:rFonts w:eastAsiaTheme="minorHAnsi" w:cstheme="minorBidi"/>
          <w:kern w:val="2"/>
          <w:lang w:eastAsia="en-US"/>
          <w14:ligatures w14:val="standardContextual"/>
        </w:rPr>
        <w:t xml:space="preserve"> nav iespējams atvēlēt daļu savu telpu kopstrādei citiem valsts iestāžu darbiniekiem. </w:t>
      </w:r>
    </w:p>
    <w:p w14:paraId="232735E4" w14:textId="24C5A688" w:rsidR="00925688" w:rsidRPr="00307028" w:rsidRDefault="00925688" w:rsidP="00B56664">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Papildus IeM informē, ka tās valdījumā esošo nekustamo īpašumu attīstības plānā 2022.</w:t>
      </w:r>
      <w:r w:rsidR="00E441C1" w:rsidRPr="00307028">
        <w:rPr>
          <w:rFonts w:eastAsiaTheme="minorHAnsi" w:cstheme="minorBidi"/>
          <w:iCs/>
          <w:szCs w:val="18"/>
          <w:lang w:eastAsia="en-US"/>
        </w:rPr>
        <w:t> </w:t>
      </w:r>
      <w:r w:rsidR="003B7DFF" w:rsidRPr="00307028">
        <w:rPr>
          <w:rFonts w:eastAsiaTheme="minorHAnsi" w:cstheme="minorBidi"/>
          <w:iCs/>
          <w:szCs w:val="18"/>
          <w:lang w:eastAsia="en-US"/>
        </w:rPr>
        <w:t xml:space="preserve">– </w:t>
      </w:r>
      <w:r w:rsidRPr="00307028">
        <w:rPr>
          <w:rFonts w:eastAsiaTheme="minorHAnsi" w:cstheme="minorBidi"/>
          <w:kern w:val="2"/>
          <w:lang w:eastAsia="en-US"/>
          <w14:ligatures w14:val="standardContextual"/>
        </w:rPr>
        <w:t>2027. gadam (turpmāk – Plāns) ir noteikti konkrēti rīcības virzieni – efektīvas un funkcionāli lietderīgas valsts nekustamo īpašumu pārvaldības nodrošināšana, kā arī IeM padotībā esošo iestāžu, to pakļautībā esošo izglītības iestāžu nodrošināšana ar darbam atbilstošām telpām. Viens no nekustamo īpašumu attīstības virzieniem Plānā ir sadarbības principu ievērošana starp dažādām iestādēm, paredzot:</w:t>
      </w:r>
    </w:p>
    <w:p w14:paraId="324B3A47" w14:textId="77777777" w:rsidR="00925688" w:rsidRPr="00307028" w:rsidRDefault="00925688" w:rsidP="00183D1A">
      <w:pPr>
        <w:numPr>
          <w:ilvl w:val="0"/>
          <w:numId w:val="8"/>
        </w:numPr>
        <w:spacing w:before="120" w:after="120" w:line="259" w:lineRule="auto"/>
        <w:ind w:left="1134" w:hanging="425"/>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optimizēt nekustamo īpašumu struktūru, iespēju robežās iestādes izvietojot vienuviet, veidojot administratīvos centrus;</w:t>
      </w:r>
    </w:p>
    <w:p w14:paraId="0B079674" w14:textId="77777777" w:rsidR="00925688" w:rsidRPr="00307028" w:rsidRDefault="00925688" w:rsidP="00183D1A">
      <w:pPr>
        <w:numPr>
          <w:ilvl w:val="0"/>
          <w:numId w:val="8"/>
        </w:numPr>
        <w:spacing w:before="120" w:after="120" w:line="259" w:lineRule="auto"/>
        <w:ind w:left="1134" w:hanging="425"/>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samazināt kopējo IeM valdījumā un nomā esošo nekustamo īpašumu skaitu; </w:t>
      </w:r>
    </w:p>
    <w:p w14:paraId="3D239FC1" w14:textId="53D8E1B5" w:rsidR="00925688" w:rsidRPr="00307028" w:rsidRDefault="00925688" w:rsidP="00183D1A">
      <w:pPr>
        <w:numPr>
          <w:ilvl w:val="0"/>
          <w:numId w:val="8"/>
        </w:numPr>
        <w:spacing w:before="120" w:after="120" w:line="259" w:lineRule="auto"/>
        <w:ind w:left="1134" w:hanging="425"/>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īstenot zaļo kursu būvniecībā un renovācijā, ieviešot pasākumus, lai uzlabotu ēku energoefektivitāti, veicinot gandrīz nulles enerģijas patēriņa ēku būvniecību, kuru energoapgādei tiktu izmantotas augstas energoefektivitātes sistēmas, kur iespējams, pārejot no fosilā kurināmā apkures uz centralizēto pilsētas apkuri.</w:t>
      </w:r>
    </w:p>
    <w:p w14:paraId="5CDCDD9A" w14:textId="77777777" w:rsidR="00D364CA" w:rsidRPr="00307028" w:rsidRDefault="00925688" w:rsidP="00D364CA">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lastRenderedPageBreak/>
        <w:t>KM (LNA)</w:t>
      </w:r>
      <w:r w:rsidRPr="00307028">
        <w:rPr>
          <w:rFonts w:eastAsiaTheme="minorHAnsi" w:cstheme="minorBidi"/>
          <w:kern w:val="2"/>
          <w:lang w:eastAsia="en-US"/>
          <w14:ligatures w14:val="standardContextual"/>
        </w:rPr>
        <w:t xml:space="preserve"> norāda, ka visa to nekustamo īpašumu izmantošana vai optimizācija jāvērtē kontekstā ar 2020. gada 4. decembra MK rīkojumu Nr.737 “Par konceptuālo ziņojumu “Par Latvijas Nacionālā arhīva ēku kritisko stāvokli un turpmāko rīcību””</w:t>
      </w:r>
      <w:r w:rsidRPr="00307028">
        <w:rPr>
          <w:rFonts w:eastAsiaTheme="minorHAnsi" w:cstheme="minorBidi"/>
          <w:kern w:val="2"/>
          <w:vertAlign w:val="superscript"/>
          <w:lang w:eastAsia="en-US"/>
          <w14:ligatures w14:val="standardContextual"/>
        </w:rPr>
        <w:footnoteReference w:id="97"/>
      </w:r>
      <w:r w:rsidRPr="00307028">
        <w:rPr>
          <w:rFonts w:eastAsiaTheme="minorHAnsi" w:cstheme="minorBidi"/>
          <w:kern w:val="2"/>
          <w:lang w:eastAsia="en-US"/>
          <w14:ligatures w14:val="standardContextual"/>
        </w:rPr>
        <w:t>, kas sagatavots, lai risinātu jautājumu par LNA funkciju veikšanai izmantoto nekustamo īpašumu kritisko stāvokli un rastu funkciju veikšanai piemērotu, saimnieciski izdevīgu risinājumu turpmākai LNA infrastruktūras attīstībai. Ņemot vērā, ka telpas ir pārpildītas ar dokumentiem, nav iespējams atvēlēt daļu savu telpu kopstrādei citiem valsts iestāžu darbiniekiem. Jēkabpils zonālais arhīvs (Brīvības ielā 2a, Jēkabpilī) norādījis, ka nav piemērotu biroja telpu, ko varētu piedāvāt citiem valsts iestāžu darbiniekiem, bet ir neremontētas, birojam nepiemērotas vairākas tukšas telpas.</w:t>
      </w:r>
    </w:p>
    <w:p w14:paraId="7CB74E88" w14:textId="5DFA2923" w:rsidR="00925688" w:rsidRPr="00307028" w:rsidRDefault="00925688" w:rsidP="00D364CA">
      <w:pPr>
        <w:spacing w:before="120" w:after="120" w:line="259" w:lineRule="auto"/>
        <w:ind w:firstLine="709"/>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LM (NVA)</w:t>
      </w:r>
      <w:r w:rsidRPr="00307028">
        <w:rPr>
          <w:rFonts w:eastAsiaTheme="minorHAnsi" w:cstheme="minorBidi"/>
          <w:kern w:val="2"/>
          <w:lang w:eastAsia="en-US"/>
          <w14:ligatures w14:val="standardContextual"/>
        </w:rPr>
        <w:t xml:space="preserve"> norāda, ka kopumā 13 biroja ēkās izvietotas (vai var izvietot) darba vietas, piesaistot reģionā dzīvojošos NVA nodarbinātos, bet citiem valsts iestāžu darbiniekiem atvēlēt daļu telpu nevar. Vienlaikus Liepājā (Graudu ielā 50) NVA ir konceptuāli atbalstījusi iznomātāja (VNĪ) priekšlikumu ēkas koncepta maiņai nākotnē.</w:t>
      </w:r>
      <w:r w:rsidR="00D364CA"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Vienlaikus LM norāda, ka nepieciešams rast horizontālus risinājumus attiecībā uz klientu apkalpošanas vietām reģionos, jo arvien grūtāk ir atrast piemērotas telpas, kas atbilstu mūsdienīgai klientu apkalpošanas vietai un katra iestāde nevar atļauties pielāgot savas</w:t>
      </w:r>
      <w:r w:rsidR="00D364CA"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novecojušās ofisa telpas par standartiem atbilstošām klientu apkalpošanas zālēm. Neskatoties uz to, ka LM attīsta digitālos pakalpojumus, tomēr ir klientu grupas, kas dažādu apstākļu dēļ nelieto digitālos risinājumus un vēlas saņemt pakalpojumus klātienē (īpaši VSAA un</w:t>
      </w:r>
      <w:r w:rsidR="00EE2D2F"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 xml:space="preserve">NVA pakalpojumus). </w:t>
      </w:r>
    </w:p>
    <w:p w14:paraId="1F4CAE78" w14:textId="77777777" w:rsidR="00925688" w:rsidRPr="00307028" w:rsidRDefault="00925688" w:rsidP="00D364CA">
      <w:pPr>
        <w:spacing w:before="120" w:after="120" w:line="259" w:lineRule="auto"/>
        <w:ind w:firstLine="709"/>
        <w:contextualSpacing/>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TM (VPD)</w:t>
      </w:r>
      <w:r w:rsidRPr="00307028">
        <w:rPr>
          <w:rFonts w:eastAsiaTheme="minorHAnsi" w:cstheme="minorBidi"/>
          <w:kern w:val="2"/>
          <w:lang w:eastAsia="en-US"/>
          <w14:ligatures w14:val="standardContextual"/>
        </w:rPr>
        <w:t xml:space="preserve"> norāda, ka esošo biroja telpu noslogojums ir optimāls, jo lielākā daļa VPD funkciju izpilde tiek nodrošināta klātienē. Tomēr VPD ir ieinteresēts kopstrādes telpu modeļa ieviešanā un izmantošanā, ja to skata kontekstā ar:</w:t>
      </w:r>
    </w:p>
    <w:p w14:paraId="5BCDFD32" w14:textId="77777777" w:rsidR="00925688" w:rsidRPr="00307028" w:rsidRDefault="00925688" w:rsidP="00183D1A">
      <w:pPr>
        <w:numPr>
          <w:ilvl w:val="0"/>
          <w:numId w:val="9"/>
        </w:numPr>
        <w:spacing w:before="120" w:after="120" w:line="259" w:lineRule="auto"/>
        <w:ind w:left="1134" w:hanging="425"/>
        <w:contextualSpacing/>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nomātās platības samazināšanu vai pārveidi par kopstrādes telpām VPD nomātajā ēkā Rīgā, Lomonosova ielā 9-1; </w:t>
      </w:r>
    </w:p>
    <w:p w14:paraId="08774B92" w14:textId="77777777" w:rsidR="00925688" w:rsidRPr="00307028" w:rsidRDefault="00925688" w:rsidP="00183D1A">
      <w:pPr>
        <w:numPr>
          <w:ilvl w:val="0"/>
          <w:numId w:val="9"/>
        </w:numPr>
        <w:spacing w:before="120" w:after="120" w:line="259" w:lineRule="auto"/>
        <w:ind w:left="1134" w:hanging="425"/>
        <w:contextualSpacing/>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koplietošanas klientu pieņemšanas zonas izveidi kopstrādes birojos, nodrošinot individuālas pārrunu kabīnes, sanāksmju telpas, uzgaidāmo zonu un klientu plūsmas vadību, vides pieejamību;</w:t>
      </w:r>
    </w:p>
    <w:p w14:paraId="639AE2CC" w14:textId="77777777" w:rsidR="00925688" w:rsidRPr="00307028" w:rsidRDefault="00925688" w:rsidP="00183D1A">
      <w:pPr>
        <w:numPr>
          <w:ilvl w:val="0"/>
          <w:numId w:val="9"/>
        </w:numPr>
        <w:spacing w:before="120" w:after="120" w:line="259" w:lineRule="auto"/>
        <w:ind w:left="1134" w:hanging="425"/>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šobrīd ir vismaz 50 nodarbināto, kuru darbs pilnībā vai daļēji varētu tikt veikts no kopstrādes birojiem reģionos (taču šis jautājums jāskata kontekstā ar 1. punktu un finansējuma piesaisti kopstrādes telpu nomai).</w:t>
      </w:r>
    </w:p>
    <w:p w14:paraId="1BAFADF9" w14:textId="65E002C9" w:rsidR="00D364CA" w:rsidRPr="00307028" w:rsidRDefault="00925688" w:rsidP="00D364CA">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TM (VZD)</w:t>
      </w:r>
      <w:r w:rsidRPr="00307028">
        <w:rPr>
          <w:rFonts w:eastAsiaTheme="minorHAnsi" w:cstheme="minorBidi"/>
          <w:kern w:val="2"/>
          <w:lang w:eastAsia="en-US"/>
          <w14:ligatures w14:val="standardContextual"/>
        </w:rPr>
        <w:t xml:space="preserve"> Cēsu novadā (Raunas ielā 8, Cēsīs) varētu piedāvāt 49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 Daugavpilī (Rīgas ielā 18) plānots izveidot kopstrādes telpas, tādējādi samazinot telpu platību</w:t>
      </w:r>
      <w:r w:rsidR="00525759" w:rsidRPr="00307028">
        <w:rPr>
          <w:rFonts w:eastAsiaTheme="minorHAnsi" w:cstheme="minorBidi"/>
          <w:kern w:val="2"/>
          <w:lang w:eastAsia="en-US"/>
          <w14:ligatures w14:val="standardContextual"/>
        </w:rPr>
        <w:t>,</w:t>
      </w:r>
      <w:r w:rsidRPr="00307028">
        <w:rPr>
          <w:rFonts w:eastAsiaTheme="minorHAnsi" w:cstheme="minorBidi"/>
          <w:kern w:val="2"/>
          <w:lang w:eastAsia="en-US"/>
          <w14:ligatures w14:val="standardContextual"/>
        </w:rPr>
        <w:t xml:space="preserve"> un vienlaikus varētu piedāvāt 211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 Jelgavā (Akadēmijas ielā 19) tiek meklētas jaunas telpas atvērtā biroja izveidei, tajā skaitā tiek apsvērta iespēja apvienoties ar citu valsts iestādi. </w:t>
      </w:r>
    </w:p>
    <w:p w14:paraId="03EAA609" w14:textId="77777777" w:rsidR="00D364CA" w:rsidRPr="00307028" w:rsidRDefault="00925688" w:rsidP="00D364CA">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VARAM (DAP)</w:t>
      </w:r>
      <w:r w:rsidRPr="00307028">
        <w:rPr>
          <w:rFonts w:eastAsiaTheme="minorHAnsi" w:cstheme="minorBidi"/>
          <w:kern w:val="2"/>
          <w:lang w:eastAsia="en-US"/>
          <w14:ligatures w14:val="standardContextual"/>
        </w:rPr>
        <w:t xml:space="preserve"> Madonas novadā (Aiviekstes ielā 3, Ļaudonas pagastā) varētu atvēlēt 200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 Jūrmalā (“Meža māja”) varētu atvēlēt 121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 </w:t>
      </w:r>
    </w:p>
    <w:p w14:paraId="774F3A94" w14:textId="58A4FF36" w:rsidR="00D364CA" w:rsidRPr="00307028" w:rsidRDefault="00925688" w:rsidP="00D364CA">
      <w:pPr>
        <w:spacing w:after="120" w:line="259" w:lineRule="auto"/>
        <w:ind w:firstLine="709"/>
        <w:jc w:val="both"/>
        <w:rPr>
          <w:rFonts w:eastAsiaTheme="minorHAnsi" w:cstheme="minorBidi"/>
          <w:kern w:val="2"/>
          <w:lang w:eastAsia="en-US"/>
          <w14:ligatures w14:val="standardContextual"/>
        </w:rPr>
      </w:pPr>
      <w:r w:rsidRPr="00307028">
        <w:rPr>
          <w:rFonts w:eastAsiaTheme="minorHAnsi" w:cstheme="minorBidi"/>
          <w:b/>
          <w:bCs/>
          <w:kern w:val="2"/>
          <w:lang w:eastAsia="en-US"/>
          <w14:ligatures w14:val="standardContextual"/>
        </w:rPr>
        <w:t>VARAM (VVD)</w:t>
      </w:r>
      <w:r w:rsidRPr="00307028">
        <w:rPr>
          <w:rFonts w:eastAsiaTheme="minorHAnsi" w:cstheme="minorBidi"/>
          <w:kern w:val="2"/>
          <w:lang w:eastAsia="en-US"/>
          <w14:ligatures w14:val="standardContextual"/>
        </w:rPr>
        <w:t xml:space="preserve"> Ventspilī (Dārzu ielā 2) varētu atvēlēt ~50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 telpā nepieciešams izbūvēt interneta tīklu, uzstādīt darba galdus ar krēsliem un izvietot biroja tehniku. Jelgavā (Kazarmes ielā 17a) varētu atvēlēt ~100</w:t>
      </w:r>
      <w:r w:rsidR="007760F6">
        <w:rPr>
          <w:rFonts w:eastAsiaTheme="minorHAnsi" w:cstheme="minorBidi"/>
          <w:kern w:val="2"/>
          <w:lang w:eastAsia="en-US"/>
          <w14:ligatures w14:val="standardContextual"/>
        </w:rPr>
        <w:t> </w:t>
      </w:r>
      <w:r w:rsidRPr="00307028">
        <w:rPr>
          <w:rFonts w:eastAsiaTheme="minorHAnsi" w:cstheme="minorBidi"/>
          <w:kern w:val="2"/>
          <w:lang w:eastAsia="en-US"/>
          <w14:ligatures w14:val="standardContextual"/>
        </w:rPr>
        <w:t>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Rēzeknē (Zemnieku ielā 5) varētu atvēlēt ~90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un Valmieras novadā (L. Paegles </w:t>
      </w:r>
      <w:r w:rsidRPr="00307028">
        <w:rPr>
          <w:rFonts w:eastAsiaTheme="minorHAnsi" w:cstheme="minorBidi"/>
          <w:kern w:val="2"/>
          <w:lang w:eastAsia="en-US"/>
          <w14:ligatures w14:val="standardContextual"/>
        </w:rPr>
        <w:lastRenderedPageBreak/>
        <w:t>ielā 13, Valmierā) varētu atvēlēt 110,7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citiem valsts iestāžu darbiniekiem.</w:t>
      </w:r>
    </w:p>
    <w:p w14:paraId="3E539BFA" w14:textId="480F0FD3" w:rsidR="00D364CA" w:rsidRPr="00307028" w:rsidRDefault="00AE7B9D" w:rsidP="00D364CA">
      <w:pPr>
        <w:spacing w:after="120" w:line="259" w:lineRule="auto"/>
        <w:ind w:firstLine="709"/>
        <w:jc w:val="both"/>
        <w:rPr>
          <w:rFonts w:eastAsiaTheme="minorHAnsi" w:cstheme="minorBidi"/>
          <w:kern w:val="2"/>
          <w:lang w:eastAsia="en-US"/>
          <w14:ligatures w14:val="standardContextual"/>
        </w:rPr>
      </w:pPr>
      <w:r w:rsidRPr="00307028">
        <w:rPr>
          <w:noProof/>
          <w:lang w:eastAsia="en-US"/>
        </w:rPr>
        <mc:AlternateContent>
          <mc:Choice Requires="wps">
            <w:drawing>
              <wp:anchor distT="0" distB="0" distL="114300" distR="114300" simplePos="0" relativeHeight="251711488" behindDoc="0" locked="0" layoutInCell="1" allowOverlap="1" wp14:anchorId="5C3C5769" wp14:editId="6ABACDA5">
                <wp:simplePos x="0" y="0"/>
                <wp:positionH relativeFrom="margin">
                  <wp:align>left</wp:align>
                </wp:positionH>
                <wp:positionV relativeFrom="paragraph">
                  <wp:posOffset>795931</wp:posOffset>
                </wp:positionV>
                <wp:extent cx="5762625" cy="314325"/>
                <wp:effectExtent l="0" t="0" r="9525" b="9525"/>
                <wp:wrapTopAndBottom/>
                <wp:docPr id="1013877494" name="Rectangle 1013877494"/>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042FDDFA" w14:textId="77777777" w:rsidR="00D364CA" w:rsidRPr="00307028" w:rsidRDefault="00D364CA" w:rsidP="0016333F">
                            <w:pPr>
                              <w:rPr>
                                <w:b/>
                                <w:bCs/>
                                <w:color w:val="000000" w:themeColor="text1"/>
                              </w:rPr>
                            </w:pPr>
                            <w:r w:rsidRPr="00307028">
                              <w:rPr>
                                <w:b/>
                                <w:bCs/>
                              </w:rPr>
                              <w:t>SECINĀJUMI:</w:t>
                            </w:r>
                          </w:p>
                          <w:p w14:paraId="3B6371CC" w14:textId="77777777" w:rsidR="008A578D" w:rsidRPr="00307028" w:rsidRDefault="008A578D"/>
                          <w:p w14:paraId="71117EDD" w14:textId="77777777" w:rsidR="00D364CA" w:rsidRPr="00307028" w:rsidRDefault="00D364CA" w:rsidP="0016333F">
                            <w:pPr>
                              <w:rPr>
                                <w:b/>
                                <w:bCs/>
                                <w:color w:val="000000" w:themeColor="text1"/>
                              </w:rPr>
                            </w:pPr>
                            <w:r w:rsidRPr="00307028">
                              <w:rPr>
                                <w:b/>
                                <w:bCs/>
                              </w:rPr>
                              <w:t>SECINĀJUMI:</w:t>
                            </w:r>
                          </w:p>
                          <w:p w14:paraId="473CE9BB" w14:textId="77777777" w:rsidR="008A578D" w:rsidRPr="00307028" w:rsidRDefault="008A578D"/>
                          <w:p w14:paraId="4A68CEF0" w14:textId="06DF981C" w:rsidR="00D364CA" w:rsidRPr="00307028" w:rsidRDefault="00D364CA" w:rsidP="0016333F">
                            <w:pPr>
                              <w:rPr>
                                <w:b/>
                                <w:bCs/>
                                <w:color w:val="000000" w:themeColor="text1"/>
                              </w:rPr>
                            </w:pPr>
                            <w:r w:rsidRPr="00307028">
                              <w:rPr>
                                <w:b/>
                                <w:bCs/>
                              </w:rPr>
                              <w:t>SECINĀJUMI:</w:t>
                            </w:r>
                          </w:p>
                          <w:p w14:paraId="31D7B869" w14:textId="77777777" w:rsidR="008A578D" w:rsidRPr="00307028" w:rsidRDefault="008A578D"/>
                          <w:p w14:paraId="2893AD86" w14:textId="3BCA6B36" w:rsidR="00D364CA" w:rsidRPr="00307028" w:rsidRDefault="00D364CA" w:rsidP="0016333F">
                            <w:pPr>
                              <w:rPr>
                                <w:b/>
                                <w:bCs/>
                                <w:color w:val="000000" w:themeColor="text1"/>
                              </w:rPr>
                            </w:pPr>
                            <w:r w:rsidRPr="00307028">
                              <w:rPr>
                                <w:b/>
                                <w:bCs/>
                              </w:rPr>
                              <w:t>SECINĀJUMI: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C5769" id="Rectangle 1013877494" o:spid="_x0000_s1045" style="position:absolute;left:0;text-align:left;margin-left:0;margin-top:62.65pt;width:453.75pt;height:24.75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" fillcolor="#85c2e0" stroked="f" strokeweight="2pt">
                <v:textbox>
                  <w:txbxContent>
                    <w:p w14:paraId="042FDDFA" w14:textId="77777777" w:rsidR="00D364CA" w:rsidRPr="00307028" w:rsidRDefault="00D364CA" w:rsidP="0016333F">
                      <w:pPr>
                        <w:rPr>
                          <w:b/>
                          <w:bCs/>
                          <w:color w:val="000000" w:themeColor="text1"/>
                        </w:rPr>
                      </w:pPr>
                      <w:r w:rsidRPr="00307028">
                        <w:rPr>
                          <w:b/>
                          <w:bCs/>
                        </w:rPr>
                        <w:t>SECINĀJUMI:</w:t>
                      </w:r>
                    </w:p>
                    <w:p w14:paraId="3B6371CC" w14:textId="77777777" w:rsidR="008A578D" w:rsidRPr="00307028" w:rsidRDefault="008A578D"/>
                    <w:p w14:paraId="71117EDD" w14:textId="77777777" w:rsidR="00D364CA" w:rsidRPr="00307028" w:rsidRDefault="00D364CA" w:rsidP="0016333F">
                      <w:pPr>
                        <w:rPr>
                          <w:b/>
                          <w:bCs/>
                          <w:color w:val="000000" w:themeColor="text1"/>
                        </w:rPr>
                      </w:pPr>
                      <w:r w:rsidRPr="00307028">
                        <w:rPr>
                          <w:b/>
                          <w:bCs/>
                        </w:rPr>
                        <w:t>SECINĀJUMI:</w:t>
                      </w:r>
                    </w:p>
                    <w:p w14:paraId="473CE9BB" w14:textId="77777777" w:rsidR="008A578D" w:rsidRPr="00307028" w:rsidRDefault="008A578D"/>
                    <w:p w14:paraId="4A68CEF0" w14:textId="06DF981C" w:rsidR="00D364CA" w:rsidRPr="00307028" w:rsidRDefault="00D364CA" w:rsidP="0016333F">
                      <w:pPr>
                        <w:rPr>
                          <w:b/>
                          <w:bCs/>
                          <w:color w:val="000000" w:themeColor="text1"/>
                        </w:rPr>
                      </w:pPr>
                      <w:r w:rsidRPr="00307028">
                        <w:rPr>
                          <w:b/>
                          <w:bCs/>
                        </w:rPr>
                        <w:t>SECINĀJUMI:</w:t>
                      </w:r>
                    </w:p>
                    <w:p w14:paraId="31D7B869" w14:textId="77777777" w:rsidR="008A578D" w:rsidRPr="00307028" w:rsidRDefault="008A578D"/>
                    <w:p w14:paraId="2893AD86" w14:textId="3BCA6B36" w:rsidR="00D364CA" w:rsidRPr="00307028" w:rsidRDefault="00D364CA" w:rsidP="0016333F">
                      <w:pPr>
                        <w:rPr>
                          <w:b/>
                          <w:bCs/>
                          <w:color w:val="000000" w:themeColor="text1"/>
                        </w:rPr>
                      </w:pPr>
                      <w:r w:rsidRPr="00307028">
                        <w:rPr>
                          <w:b/>
                          <w:bCs/>
                        </w:rPr>
                        <w:t>SECINĀJUMI:</w:t>
                      </w:r>
                    </w:p>
                  </w:txbxContent>
                </v:textbox>
                <w10:wrap type="topAndBottom" anchorx="margin"/>
              </v:rect>
            </w:pict>
          </mc:Fallback>
        </mc:AlternateContent>
      </w:r>
      <w:r w:rsidR="00925688" w:rsidRPr="00307028">
        <w:rPr>
          <w:rFonts w:eastAsia="Times New Roman"/>
          <w:b/>
          <w:bCs/>
          <w:color w:val="000000"/>
          <w:lang w:eastAsia="lv-LV"/>
        </w:rPr>
        <w:t>ZM (LAD)</w:t>
      </w:r>
      <w:r w:rsidR="00925688" w:rsidRPr="00307028">
        <w:rPr>
          <w:rFonts w:eastAsia="Times New Roman"/>
          <w:color w:val="000000"/>
          <w:lang w:eastAsia="lv-LV"/>
        </w:rPr>
        <w:t xml:space="preserve"> Saldus novadā (Viesnīcas ielā 1, Saldū) </w:t>
      </w:r>
      <w:r w:rsidR="00925688" w:rsidRPr="00307028">
        <w:rPr>
          <w:rFonts w:eastAsiaTheme="minorHAnsi" w:cstheme="minorBidi"/>
          <w:kern w:val="2"/>
          <w:lang w:eastAsia="en-US"/>
          <w14:ligatures w14:val="standardContextual"/>
        </w:rPr>
        <w:t>varētu atvēlēt 412,9 m</w:t>
      </w:r>
      <w:r w:rsidR="00925688" w:rsidRPr="00307028">
        <w:rPr>
          <w:rFonts w:eastAsiaTheme="minorHAnsi" w:cstheme="minorBidi"/>
          <w:kern w:val="2"/>
          <w:vertAlign w:val="superscript"/>
          <w:lang w:eastAsia="en-US"/>
          <w14:ligatures w14:val="standardContextual"/>
        </w:rPr>
        <w:t>2</w:t>
      </w:r>
      <w:r w:rsidR="00925688" w:rsidRPr="00307028">
        <w:rPr>
          <w:rFonts w:eastAsiaTheme="minorHAnsi" w:cstheme="minorBidi"/>
          <w:kern w:val="2"/>
          <w:lang w:eastAsia="en-US"/>
          <w14:ligatures w14:val="standardContextual"/>
        </w:rPr>
        <w:t xml:space="preserve">, Talsu novadā </w:t>
      </w:r>
      <w:r w:rsidR="00925688" w:rsidRPr="00307028">
        <w:rPr>
          <w:rFonts w:eastAsia="Times New Roman"/>
          <w:color w:val="000000"/>
          <w:lang w:eastAsia="lv-LV"/>
        </w:rPr>
        <w:t xml:space="preserve">(Dundagas ielā 4, Talsos) </w:t>
      </w:r>
      <w:r w:rsidR="00925688" w:rsidRPr="00307028">
        <w:rPr>
          <w:rFonts w:eastAsiaTheme="minorHAnsi" w:cstheme="minorBidi"/>
          <w:kern w:val="2"/>
          <w:lang w:eastAsia="en-US"/>
          <w14:ligatures w14:val="standardContextual"/>
        </w:rPr>
        <w:t>varētu atvēlēt 70,3 m</w:t>
      </w:r>
      <w:r w:rsidR="00925688" w:rsidRPr="00307028">
        <w:rPr>
          <w:rFonts w:eastAsiaTheme="minorHAnsi" w:cstheme="minorBidi"/>
          <w:kern w:val="2"/>
          <w:vertAlign w:val="superscript"/>
          <w:lang w:eastAsia="en-US"/>
          <w14:ligatures w14:val="standardContextual"/>
        </w:rPr>
        <w:t>2</w:t>
      </w:r>
      <w:r w:rsidR="00925688" w:rsidRPr="00307028">
        <w:rPr>
          <w:rFonts w:eastAsiaTheme="minorHAnsi" w:cstheme="minorBidi"/>
          <w:kern w:val="2"/>
          <w:lang w:eastAsia="en-US"/>
          <w14:ligatures w14:val="standardContextual"/>
        </w:rPr>
        <w:t xml:space="preserve">, Valmieras novadā </w:t>
      </w:r>
      <w:r w:rsidR="00925688" w:rsidRPr="00307028">
        <w:rPr>
          <w:rFonts w:eastAsia="Times New Roman"/>
          <w:color w:val="000000"/>
          <w:lang w:eastAsia="lv-LV"/>
        </w:rPr>
        <w:t xml:space="preserve">(Mūrmuižas ielā 18, Valmierā) </w:t>
      </w:r>
      <w:r w:rsidR="00925688" w:rsidRPr="00307028">
        <w:rPr>
          <w:rFonts w:eastAsiaTheme="minorHAnsi" w:cstheme="minorBidi"/>
          <w:kern w:val="2"/>
          <w:lang w:eastAsia="en-US"/>
          <w14:ligatures w14:val="standardContextual"/>
        </w:rPr>
        <w:t>varētu atvēlēt 136,2 m</w:t>
      </w:r>
      <w:r w:rsidR="00925688" w:rsidRPr="00307028">
        <w:rPr>
          <w:rFonts w:eastAsiaTheme="minorHAnsi" w:cstheme="minorBidi"/>
          <w:kern w:val="2"/>
          <w:vertAlign w:val="superscript"/>
          <w:lang w:eastAsia="en-US"/>
          <w14:ligatures w14:val="standardContextual"/>
        </w:rPr>
        <w:t>2</w:t>
      </w:r>
      <w:r w:rsidR="00925688" w:rsidRPr="00307028">
        <w:rPr>
          <w:rFonts w:eastAsiaTheme="minorHAnsi" w:cstheme="minorBidi"/>
          <w:kern w:val="2"/>
          <w:lang w:eastAsia="en-US"/>
          <w14:ligatures w14:val="standardContextual"/>
        </w:rPr>
        <w:t>, Rēzeknes novadā (Brāļu Skrindu ielā 11, Rēzeknē) varētu atvēlēt 481,9 m</w:t>
      </w:r>
      <w:r w:rsidR="00925688" w:rsidRPr="00307028">
        <w:rPr>
          <w:rFonts w:eastAsiaTheme="minorHAnsi" w:cstheme="minorBidi"/>
          <w:kern w:val="2"/>
          <w:vertAlign w:val="superscript"/>
          <w:lang w:eastAsia="en-US"/>
          <w14:ligatures w14:val="standardContextual"/>
        </w:rPr>
        <w:t>2</w:t>
      </w:r>
      <w:r w:rsidR="00925688" w:rsidRPr="00307028">
        <w:rPr>
          <w:rFonts w:eastAsiaTheme="minorHAnsi" w:cstheme="minorBidi"/>
          <w:kern w:val="2"/>
          <w:lang w:eastAsia="en-US"/>
          <w14:ligatures w14:val="standardContextual"/>
        </w:rPr>
        <w:t xml:space="preserve"> savu telpu kopstrādei citiem valsts iestāžu darbiniekiem. </w:t>
      </w:r>
    </w:p>
    <w:p w14:paraId="03670F8D" w14:textId="4CC762A7"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bookmarkStart w:id="172" w:name="_Hlk141270988"/>
      <w:r w:rsidRPr="00307028">
        <w:rPr>
          <w:rFonts w:eastAsiaTheme="minorHAnsi"/>
          <w:kern w:val="2"/>
          <w:lang w:eastAsia="en-US"/>
          <w14:ligatures w14:val="standardContextual"/>
        </w:rPr>
        <w:t>Reģionos iestāžu vajadzībām 2023. gadā tiek izmantoti 559 nekustamie īpašumi (biroja ēkas), kuru kopējā platība ir aptuveni 244,8 tūkst. m</w:t>
      </w:r>
      <w:r w:rsidRPr="00307028">
        <w:rPr>
          <w:rFonts w:eastAsiaTheme="minorHAnsi"/>
          <w:kern w:val="2"/>
          <w:vertAlign w:val="superscript"/>
          <w:lang w:eastAsia="en-US"/>
          <w14:ligatures w14:val="standardContextual"/>
        </w:rPr>
        <w:t>2</w:t>
      </w:r>
      <w:r w:rsidRPr="00307028">
        <w:rPr>
          <w:rFonts w:eastAsiaTheme="minorHAnsi"/>
          <w:kern w:val="2"/>
          <w:lang w:eastAsia="en-US"/>
          <w14:ligatures w14:val="standardContextual"/>
        </w:rPr>
        <w:t>. Nekustamo īpašumu (biroja ēku) lietošanas tiesiskais pamats galvenokārt ir nomas līgums.</w:t>
      </w:r>
      <w:r w:rsidR="00052A7E" w:rsidRPr="00307028">
        <w:rPr>
          <w:rFonts w:eastAsiaTheme="minorHAnsi"/>
          <w:kern w:val="2"/>
          <w:lang w:eastAsia="en-US"/>
          <w14:ligatures w14:val="standardContextual"/>
        </w:rPr>
        <w:t xml:space="preserve"> </w:t>
      </w:r>
      <w:r w:rsidRPr="00307028">
        <w:rPr>
          <w:rFonts w:eastAsiaTheme="minorHAnsi" w:cstheme="minorBidi"/>
          <w:kern w:val="2"/>
          <w:lang w:eastAsia="en-US"/>
          <w14:ligatures w14:val="standardContextual"/>
        </w:rPr>
        <w:t>Nekustamā īpašuma lietošanas tiesiskā pamata griezumā visaugstākās izmaksas par viena m</w:t>
      </w:r>
      <w:r w:rsidRPr="00307028">
        <w:rPr>
          <w:rFonts w:eastAsiaTheme="minorHAnsi" w:cstheme="minorBidi"/>
          <w:kern w:val="2"/>
          <w:vertAlign w:val="superscript"/>
          <w:lang w:eastAsia="en-US"/>
          <w14:ligatures w14:val="standardContextual"/>
        </w:rPr>
        <w:t xml:space="preserve">2 </w:t>
      </w:r>
      <w:r w:rsidRPr="00307028">
        <w:rPr>
          <w:rFonts w:eastAsiaTheme="minorHAnsi" w:cstheme="minorBidi"/>
          <w:kern w:val="2"/>
          <w:lang w:eastAsia="en-US"/>
          <w14:ligatures w14:val="standardContextual"/>
        </w:rPr>
        <w:t>uzturēšanu ir tieši biroja telpām ar nomas līgumu (103,1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 savukārt viszemākās – biroja telpām, kas ir bezatlīdzības lietošanā (42,0 </w:t>
      </w:r>
      <w:r w:rsidRPr="00307028">
        <w:rPr>
          <w:rFonts w:eastAsiaTheme="minorHAnsi" w:cstheme="minorBidi"/>
          <w:i/>
          <w:iCs/>
          <w:kern w:val="2"/>
          <w:lang w:eastAsia="en-US"/>
          <w14:ligatures w14:val="standardContextual"/>
        </w:rPr>
        <w:t>euro</w:t>
      </w:r>
      <w:r w:rsidRPr="00307028">
        <w:rPr>
          <w:rFonts w:eastAsiaTheme="minorHAnsi" w:cstheme="minorBidi"/>
          <w:kern w:val="2"/>
          <w:lang w:eastAsia="en-US"/>
          <w14:ligatures w14:val="standardContextual"/>
        </w:rPr>
        <w:t>).</w:t>
      </w:r>
    </w:p>
    <w:bookmarkEnd w:id="172"/>
    <w:p w14:paraId="23CC4933" w14:textId="77777777"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kern w:val="2"/>
          <w:lang w:eastAsia="en-US"/>
          <w14:ligatures w14:val="standardContextual"/>
        </w:rPr>
        <w:t>Visvairāk iestāžu nekustamo īpašumu (biroja ēku) atrodas piecās valstspilsētās – Daugavpilī, Jelgavā, Rēzeknē, Valmieras novadā un Liepājā, bet neviena nav Varakļānu novadā un Jelgavas novadā.</w:t>
      </w:r>
    </w:p>
    <w:p w14:paraId="6F20ED1C" w14:textId="513B86F5"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66% nekustamo īpašumu plānots strādāt tikai klātienē, 25% nekustamo īpašumu plānots strādāt 3</w:t>
      </w:r>
      <w:r w:rsidR="00525759" w:rsidRPr="00307028">
        <w:rPr>
          <w:rFonts w:eastAsiaTheme="minorHAnsi" w:cstheme="minorBidi"/>
          <w:kern w:val="2"/>
          <w:lang w:eastAsia="en-US"/>
          <w14:ligatures w14:val="standardContextual"/>
        </w:rPr>
        <w:t xml:space="preserve"> </w:t>
      </w:r>
      <w:r w:rsidR="00525759" w:rsidRPr="00307028">
        <w:rPr>
          <w:rFonts w:eastAsiaTheme="minorHAnsi"/>
          <w:kern w:val="2"/>
          <w:lang w:eastAsia="en-US"/>
          <w14:ligatures w14:val="standardContextual"/>
        </w:rPr>
        <w:t xml:space="preserve">– </w:t>
      </w:r>
      <w:r w:rsidRPr="00307028">
        <w:rPr>
          <w:rFonts w:eastAsiaTheme="minorHAnsi" w:cstheme="minorBidi"/>
          <w:kern w:val="2"/>
          <w:lang w:eastAsia="en-US"/>
          <w14:ligatures w14:val="standardContextual"/>
        </w:rPr>
        <w:t>4 dienas klātienē, 6% nekustamo īpašumu plānots strādāt 1</w:t>
      </w:r>
      <w:r w:rsidR="00525759" w:rsidRPr="00307028">
        <w:rPr>
          <w:rFonts w:eastAsiaTheme="minorHAnsi" w:cstheme="minorBidi"/>
          <w:kern w:val="2"/>
          <w:lang w:eastAsia="en-US"/>
          <w14:ligatures w14:val="standardContextual"/>
        </w:rPr>
        <w:t xml:space="preserve"> </w:t>
      </w:r>
      <w:r w:rsidR="00525759" w:rsidRPr="00307028">
        <w:rPr>
          <w:rFonts w:eastAsiaTheme="minorHAnsi"/>
          <w:kern w:val="2"/>
          <w:lang w:eastAsia="en-US"/>
          <w14:ligatures w14:val="standardContextual"/>
        </w:rPr>
        <w:t xml:space="preserve">– </w:t>
      </w:r>
      <w:r w:rsidRPr="00307028">
        <w:rPr>
          <w:rFonts w:eastAsiaTheme="minorHAnsi" w:cstheme="minorBidi"/>
          <w:kern w:val="2"/>
          <w:lang w:eastAsia="en-US"/>
          <w14:ligatures w14:val="standardContextual"/>
        </w:rPr>
        <w:t>2 dienas klātienē, savukārt 3% nekustamo īpašumu tiek plānots hibrīda darba organizācijas modelis.</w:t>
      </w:r>
    </w:p>
    <w:p w14:paraId="5D35453B" w14:textId="1CEF1233"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Iestādes 77% nekustam</w:t>
      </w:r>
      <w:r w:rsidR="00525759" w:rsidRPr="00307028">
        <w:rPr>
          <w:rFonts w:eastAsiaTheme="minorHAnsi" w:cstheme="minorBidi"/>
          <w:kern w:val="2"/>
          <w:lang w:eastAsia="en-US"/>
          <w14:ligatures w14:val="standardContextual"/>
        </w:rPr>
        <w:t>o</w:t>
      </w:r>
      <w:r w:rsidRPr="00307028">
        <w:rPr>
          <w:rFonts w:eastAsiaTheme="minorHAnsi" w:cstheme="minorBidi"/>
          <w:kern w:val="2"/>
          <w:lang w:eastAsia="en-US"/>
          <w14:ligatures w14:val="standardContextual"/>
        </w:rPr>
        <w:t xml:space="preserve"> īpašum</w:t>
      </w:r>
      <w:r w:rsidR="00525759" w:rsidRPr="00307028">
        <w:rPr>
          <w:rFonts w:eastAsiaTheme="minorHAnsi" w:cstheme="minorBidi"/>
          <w:kern w:val="2"/>
          <w:lang w:eastAsia="en-US"/>
          <w14:ligatures w14:val="standardContextual"/>
        </w:rPr>
        <w:t>u</w:t>
      </w:r>
      <w:r w:rsidRPr="00307028">
        <w:rPr>
          <w:rFonts w:eastAsiaTheme="minorHAnsi" w:cstheme="minorBidi"/>
          <w:kern w:val="2"/>
          <w:lang w:eastAsia="en-US"/>
          <w14:ligatures w14:val="standardContextual"/>
        </w:rPr>
        <w:t xml:space="preserve"> nodrošina katram darbiniekam savu darba galdu. Iespēju birojā izvēlēties starp dažādām zonām, pamatojoties uz aktivitātēm nodrošina 6% nekustam</w:t>
      </w:r>
      <w:r w:rsidR="00525759" w:rsidRPr="00307028">
        <w:rPr>
          <w:rFonts w:eastAsiaTheme="minorHAnsi" w:cstheme="minorBidi"/>
          <w:kern w:val="2"/>
          <w:lang w:eastAsia="en-US"/>
          <w14:ligatures w14:val="standardContextual"/>
        </w:rPr>
        <w:t>o</w:t>
      </w:r>
      <w:r w:rsidRPr="00307028">
        <w:rPr>
          <w:rFonts w:eastAsiaTheme="minorHAnsi" w:cstheme="minorBidi"/>
          <w:kern w:val="2"/>
          <w:lang w:eastAsia="en-US"/>
          <w14:ligatures w14:val="standardContextual"/>
        </w:rPr>
        <w:t xml:space="preserve"> īpašum</w:t>
      </w:r>
      <w:r w:rsidR="00525759" w:rsidRPr="00307028">
        <w:rPr>
          <w:rFonts w:eastAsiaTheme="minorHAnsi" w:cstheme="minorBidi"/>
          <w:kern w:val="2"/>
          <w:lang w:eastAsia="en-US"/>
          <w14:ligatures w14:val="standardContextual"/>
        </w:rPr>
        <w:t>u</w:t>
      </w:r>
      <w:r w:rsidRPr="00307028">
        <w:rPr>
          <w:rFonts w:eastAsiaTheme="minorHAnsi" w:cstheme="minorBidi"/>
          <w:kern w:val="2"/>
          <w:lang w:eastAsia="en-US"/>
          <w14:ligatures w14:val="standardContextual"/>
        </w:rPr>
        <w:t>. Savukārt tikai 2% nekustam</w:t>
      </w:r>
      <w:r w:rsidR="00525759" w:rsidRPr="00307028">
        <w:rPr>
          <w:rFonts w:eastAsiaTheme="minorHAnsi" w:cstheme="minorBidi"/>
          <w:kern w:val="2"/>
          <w:lang w:eastAsia="en-US"/>
          <w14:ligatures w14:val="standardContextual"/>
        </w:rPr>
        <w:t>o</w:t>
      </w:r>
      <w:r w:rsidRPr="00307028">
        <w:rPr>
          <w:rFonts w:eastAsiaTheme="minorHAnsi" w:cstheme="minorBidi"/>
          <w:kern w:val="2"/>
          <w:lang w:eastAsia="en-US"/>
          <w14:ligatures w14:val="standardContextual"/>
        </w:rPr>
        <w:t xml:space="preserve"> īpašum</w:t>
      </w:r>
      <w:r w:rsidR="00525759" w:rsidRPr="00307028">
        <w:rPr>
          <w:rFonts w:eastAsiaTheme="minorHAnsi" w:cstheme="minorBidi"/>
          <w:kern w:val="2"/>
          <w:lang w:eastAsia="en-US"/>
          <w14:ligatures w14:val="standardContextual"/>
        </w:rPr>
        <w:t>u</w:t>
      </w:r>
      <w:r w:rsidRPr="00307028">
        <w:rPr>
          <w:rFonts w:eastAsiaTheme="minorHAnsi" w:cstheme="minorBidi"/>
          <w:kern w:val="2"/>
          <w:lang w:eastAsia="en-US"/>
          <w14:ligatures w14:val="standardContextual"/>
        </w:rPr>
        <w:t xml:space="preserve"> nodrošināta iespēja darbiniekiem brīvi izvēlēties savu darba vietu un dalīt darba galdu ar citiem. Visas iepriekš minētās pieejas darba organizācijā vienlaikus pielieto 16% nekustam</w:t>
      </w:r>
      <w:r w:rsidR="00525759" w:rsidRPr="00307028">
        <w:rPr>
          <w:rFonts w:eastAsiaTheme="minorHAnsi" w:cstheme="minorBidi"/>
          <w:kern w:val="2"/>
          <w:lang w:eastAsia="en-US"/>
          <w14:ligatures w14:val="standardContextual"/>
        </w:rPr>
        <w:t>o</w:t>
      </w:r>
      <w:r w:rsidRPr="00307028">
        <w:rPr>
          <w:rFonts w:eastAsiaTheme="minorHAnsi" w:cstheme="minorBidi"/>
          <w:kern w:val="2"/>
          <w:lang w:eastAsia="en-US"/>
          <w14:ligatures w14:val="standardContextual"/>
        </w:rPr>
        <w:t xml:space="preserve"> īpašum</w:t>
      </w:r>
      <w:r w:rsidR="00525759" w:rsidRPr="00307028">
        <w:rPr>
          <w:rFonts w:eastAsiaTheme="minorHAnsi" w:cstheme="minorBidi"/>
          <w:kern w:val="2"/>
          <w:lang w:eastAsia="en-US"/>
          <w14:ligatures w14:val="standardContextual"/>
        </w:rPr>
        <w:t>u</w:t>
      </w:r>
      <w:r w:rsidRPr="00307028">
        <w:rPr>
          <w:rFonts w:eastAsiaTheme="minorHAnsi" w:cstheme="minorBidi"/>
          <w:kern w:val="2"/>
          <w:lang w:eastAsia="en-US"/>
          <w14:ligatures w14:val="standardContextual"/>
        </w:rPr>
        <w:t>.</w:t>
      </w:r>
    </w:p>
    <w:p w14:paraId="5FADBE3A" w14:textId="3DDBA011"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Aptuveni 16,1% no kopējās </w:t>
      </w:r>
      <w:r w:rsidR="00525759" w:rsidRPr="00307028">
        <w:rPr>
          <w:rFonts w:eastAsiaTheme="minorHAnsi" w:cstheme="minorBidi"/>
          <w:kern w:val="2"/>
          <w:lang w:eastAsia="en-US"/>
          <w14:ligatures w14:val="standardContextual"/>
        </w:rPr>
        <w:t xml:space="preserve">reģionos esošās </w:t>
      </w:r>
      <w:r w:rsidRPr="00307028">
        <w:rPr>
          <w:rFonts w:eastAsiaTheme="minorHAnsi" w:cstheme="minorBidi"/>
          <w:kern w:val="2"/>
          <w:lang w:eastAsia="en-US"/>
          <w14:ligatures w14:val="standardContextual"/>
        </w:rPr>
        <w:t>nekustamo īpašumu (biroja ēku) platības tiek izmantota klientu apkalpošanai, klātienē apkalpo</w:t>
      </w:r>
      <w:r w:rsidR="00525759" w:rsidRPr="00307028">
        <w:rPr>
          <w:rFonts w:eastAsiaTheme="minorHAnsi" w:cstheme="minorBidi"/>
          <w:kern w:val="2"/>
          <w:lang w:eastAsia="en-US"/>
          <w14:ligatures w14:val="standardContextual"/>
        </w:rPr>
        <w:t>jot vidēji</w:t>
      </w:r>
      <w:r w:rsidRPr="00307028">
        <w:rPr>
          <w:rFonts w:eastAsiaTheme="minorHAnsi" w:cstheme="minorBidi"/>
          <w:kern w:val="2"/>
          <w:lang w:eastAsia="en-US"/>
          <w14:ligatures w14:val="standardContextual"/>
        </w:rPr>
        <w:t xml:space="preserve"> 23,4% klientu. </w:t>
      </w:r>
    </w:p>
    <w:p w14:paraId="27679016" w14:textId="77777777"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Viena no iespējām, kā iestādes gūst papildus ieņēmumus izdevumu segšanai, ir biroja telpu samazināšana, daļu telpu nododot nomai. </w:t>
      </w:r>
    </w:p>
    <w:p w14:paraId="4B0F6DBD" w14:textId="77777777" w:rsidR="00925688"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Iestādes norādījušas, ka vēlētos nomāt kopstrādes darba vietas saviem darbiniekiem pilnībā aprīkotās biroja telpās Rīgā, Talejas ielā 1, kā arī būtu nepieciešama pārstāvniecība kādā pilsētā, kur tā šobrīd nav pārstāvēta.</w:t>
      </w:r>
    </w:p>
    <w:p w14:paraId="3258C46D" w14:textId="77777777" w:rsidR="004732F5" w:rsidRPr="00307028" w:rsidRDefault="00925688" w:rsidP="00BE4409">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Septiņu resoru iestādēs 2022. gadā un 2023. gada pirmajos piecos mēnešos samazināta iznomāto biroja telpu platība, iestādes atteikušās no nekustamajiem īpašumiem (biroja ēkām), kā arī veikta biroja telpu maiņa uz mazākām.</w:t>
      </w:r>
    </w:p>
    <w:p w14:paraId="71A158BD" w14:textId="4EDA4C3F" w:rsidR="00925688" w:rsidRPr="00F7258A" w:rsidRDefault="004732F5" w:rsidP="00925688">
      <w:pPr>
        <w:numPr>
          <w:ilvl w:val="0"/>
          <w:numId w:val="10"/>
        </w:numPr>
        <w:spacing w:before="120" w:after="120" w:line="259" w:lineRule="auto"/>
        <w:ind w:left="714" w:hanging="430"/>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Deviņu resoru iestādes norādījušas, ka plāno 2023. gadā turpināt uzsākto biroja telpu optimizāciju, tajā skaitā atsevišķas iestādes </w:t>
      </w:r>
      <w:r w:rsidR="008305EA" w:rsidRPr="00307028">
        <w:rPr>
          <w:rFonts w:eastAsiaTheme="minorHAnsi" w:cstheme="minorBidi"/>
          <w:kern w:val="2"/>
          <w:lang w:eastAsia="en-US"/>
          <w14:ligatures w14:val="standardContextual"/>
        </w:rPr>
        <w:t xml:space="preserve">kopā </w:t>
      </w:r>
      <w:r w:rsidRPr="00307028">
        <w:rPr>
          <w:rFonts w:eastAsiaTheme="minorHAnsi" w:cstheme="minorBidi"/>
          <w:kern w:val="2"/>
          <w:lang w:eastAsia="en-US"/>
          <w14:ligatures w14:val="standardContextual"/>
        </w:rPr>
        <w:t>varētu atvēlēt 2 044,7 m</w:t>
      </w:r>
      <w:r w:rsidRPr="00307028">
        <w:rPr>
          <w:rFonts w:eastAsiaTheme="minorHAnsi" w:cstheme="minorBidi"/>
          <w:kern w:val="2"/>
          <w:vertAlign w:val="superscript"/>
          <w:lang w:eastAsia="en-US"/>
          <w14:ligatures w14:val="standardContextual"/>
        </w:rPr>
        <w:t>2</w:t>
      </w:r>
      <w:r w:rsidRPr="00307028">
        <w:rPr>
          <w:rFonts w:eastAsiaTheme="minorHAnsi" w:cstheme="minorBidi"/>
          <w:kern w:val="2"/>
          <w:lang w:eastAsia="en-US"/>
          <w14:ligatures w14:val="standardContextual"/>
        </w:rPr>
        <w:t xml:space="preserve"> savu telpu kopstrādei citu iestāžu darbiniekiem, kā arī būtu gatavas strādāt kopstrādē ar citām iestādēm. Vienlaikus iestādes norādījušas arī dažādus objektīvus iemeslus, kāpēc tās nevarētu optimizēt telpas vai strādāt kopstrādē ar citām iestādēm.</w:t>
      </w:r>
    </w:p>
    <w:p w14:paraId="55D63D4D" w14:textId="1FC6034B" w:rsidR="00925688" w:rsidRPr="00307028" w:rsidRDefault="004732F5" w:rsidP="00BE4409">
      <w:pPr>
        <w:numPr>
          <w:ilvl w:val="0"/>
          <w:numId w:val="7"/>
        </w:numPr>
        <w:spacing w:after="120" w:line="259" w:lineRule="auto"/>
        <w:ind w:hanging="436"/>
        <w:jc w:val="both"/>
        <w:rPr>
          <w:rFonts w:eastAsiaTheme="minorHAnsi"/>
          <w:kern w:val="2"/>
          <w:sz w:val="22"/>
          <w:szCs w:val="22"/>
          <w:lang w:eastAsia="en-US"/>
          <w14:ligatures w14:val="standardContextual"/>
        </w:rPr>
      </w:pPr>
      <w:r w:rsidRPr="00307028">
        <w:rPr>
          <w:noProof/>
          <w:lang w:eastAsia="en-US"/>
        </w:rPr>
        <w:lastRenderedPageBreak/>
        <mc:AlternateContent>
          <mc:Choice Requires="wps">
            <w:drawing>
              <wp:anchor distT="0" distB="0" distL="114300" distR="114300" simplePos="0" relativeHeight="251713536" behindDoc="0" locked="0" layoutInCell="1" allowOverlap="1" wp14:anchorId="3DAB967D" wp14:editId="505BB77E">
                <wp:simplePos x="0" y="0"/>
                <wp:positionH relativeFrom="margin">
                  <wp:align>left</wp:align>
                </wp:positionH>
                <wp:positionV relativeFrom="paragraph">
                  <wp:posOffset>0</wp:posOffset>
                </wp:positionV>
                <wp:extent cx="5762625" cy="314325"/>
                <wp:effectExtent l="0" t="0" r="9525" b="9525"/>
                <wp:wrapTopAndBottom/>
                <wp:docPr id="608349200" name="Rectangle 608349200"/>
                <wp:cNvGraphicFramePr/>
                <a:graphic xmlns:a="http://schemas.openxmlformats.org/drawingml/2006/main">
                  <a:graphicData uri="http://schemas.microsoft.com/office/word/2010/wordprocessingShape">
                    <wps:wsp>
                      <wps:cNvSpPr/>
                      <wps:spPr>
                        <a:xfrm>
                          <a:off x="0" y="0"/>
                          <a:ext cx="5762625" cy="314325"/>
                        </a:xfrm>
                        <a:prstGeom prst="rect">
                          <a:avLst/>
                        </a:prstGeom>
                        <a:solidFill>
                          <a:srgbClr val="3399CC">
                            <a:lumMod val="60000"/>
                            <a:lumOff val="40000"/>
                          </a:srgbClr>
                        </a:solidFill>
                        <a:ln w="25400" cap="flat" cmpd="sng" algn="ctr">
                          <a:noFill/>
                          <a:prstDash val="solid"/>
                        </a:ln>
                        <a:effectLst/>
                      </wps:spPr>
                      <wps:txbx>
                        <w:txbxContent>
                          <w:p w14:paraId="4EBB4533" w14:textId="62A1464E" w:rsidR="00052A7E" w:rsidRPr="00307028" w:rsidRDefault="004732F5" w:rsidP="0016333F">
                            <w:pPr>
                              <w:rPr>
                                <w:b/>
                                <w:bCs/>
                                <w:color w:val="000000" w:themeColor="text1"/>
                              </w:rPr>
                            </w:pPr>
                            <w:r w:rsidRPr="00307028">
                              <w:rPr>
                                <w:b/>
                                <w:bCs/>
                              </w:rPr>
                              <w:t>PRIEKŠLIKUM</w:t>
                            </w:r>
                            <w:r w:rsidR="00052A7E" w:rsidRPr="00307028">
                              <w:rPr>
                                <w:b/>
                                <w:bCs/>
                              </w:rPr>
                              <w:t>I:</w:t>
                            </w:r>
                          </w:p>
                          <w:p w14:paraId="015A906B" w14:textId="77777777" w:rsidR="008A578D" w:rsidRPr="00307028" w:rsidRDefault="008A578D"/>
                          <w:p w14:paraId="0A631903" w14:textId="77777777" w:rsidR="00052A7E" w:rsidRPr="00307028" w:rsidRDefault="004732F5" w:rsidP="0016333F">
                            <w:pPr>
                              <w:rPr>
                                <w:b/>
                                <w:bCs/>
                                <w:color w:val="000000" w:themeColor="text1"/>
                              </w:rPr>
                            </w:pPr>
                            <w:r w:rsidRPr="00307028">
                              <w:rPr>
                                <w:b/>
                                <w:bCs/>
                              </w:rPr>
                              <w:t>PRIEKŠLIKUM</w:t>
                            </w:r>
                            <w:r w:rsidR="00052A7E" w:rsidRPr="00307028">
                              <w:rPr>
                                <w:b/>
                                <w:bCs/>
                              </w:rPr>
                              <w:t>I:</w:t>
                            </w:r>
                          </w:p>
                          <w:p w14:paraId="16C34E27" w14:textId="77777777" w:rsidR="008A578D" w:rsidRPr="00307028" w:rsidRDefault="008A578D"/>
                          <w:p w14:paraId="19098AA5" w14:textId="77777777" w:rsidR="00052A7E" w:rsidRPr="00307028" w:rsidRDefault="004732F5" w:rsidP="0016333F">
                            <w:pPr>
                              <w:rPr>
                                <w:b/>
                                <w:bCs/>
                                <w:color w:val="000000" w:themeColor="text1"/>
                              </w:rPr>
                            </w:pPr>
                            <w:r w:rsidRPr="00307028">
                              <w:rPr>
                                <w:b/>
                                <w:bCs/>
                              </w:rPr>
                              <w:t>PRIEKŠLIKUM</w:t>
                            </w:r>
                            <w:r w:rsidR="00052A7E" w:rsidRPr="00307028">
                              <w:rPr>
                                <w:b/>
                                <w:bCs/>
                              </w:rPr>
                              <w:t>I:</w:t>
                            </w:r>
                          </w:p>
                          <w:p w14:paraId="1E18A66C" w14:textId="77777777" w:rsidR="008A578D" w:rsidRPr="00307028" w:rsidRDefault="008A578D"/>
                          <w:p w14:paraId="7C53E06C" w14:textId="77777777" w:rsidR="00052A7E" w:rsidRPr="00307028" w:rsidRDefault="004732F5" w:rsidP="0016333F">
                            <w:pPr>
                              <w:rPr>
                                <w:b/>
                                <w:bCs/>
                                <w:color w:val="000000" w:themeColor="text1"/>
                              </w:rPr>
                            </w:pPr>
                            <w:r w:rsidRPr="00307028">
                              <w:rPr>
                                <w:b/>
                                <w:bCs/>
                              </w:rPr>
                              <w:t>PRIEKŠLIKUM</w:t>
                            </w:r>
                            <w:r w:rsidR="00052A7E" w:rsidRPr="00307028">
                              <w:rPr>
                                <w:b/>
                                <w:bCs/>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B967D" id="Rectangle 608349200" o:spid="_x0000_s1046" style="position:absolute;left:0;text-align:left;margin-left:0;margin-top:0;width:453.75pt;height:24.7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" fillcolor="#85c2e0" stroked="f" strokeweight="2pt">
                <v:textbox>
                  <w:txbxContent>
                    <w:p w14:paraId="4EBB4533" w14:textId="62A1464E" w:rsidR="00052A7E" w:rsidRPr="00307028" w:rsidRDefault="004732F5" w:rsidP="0016333F">
                      <w:pPr>
                        <w:rPr>
                          <w:b/>
                          <w:bCs/>
                          <w:color w:val="000000" w:themeColor="text1"/>
                        </w:rPr>
                      </w:pPr>
                      <w:r w:rsidRPr="00307028">
                        <w:rPr>
                          <w:b/>
                          <w:bCs/>
                        </w:rPr>
                        <w:t>PRIEKŠLIKUM</w:t>
                      </w:r>
                      <w:r w:rsidR="00052A7E" w:rsidRPr="00307028">
                        <w:rPr>
                          <w:b/>
                          <w:bCs/>
                        </w:rPr>
                        <w:t>I:</w:t>
                      </w:r>
                    </w:p>
                    <w:p w14:paraId="015A906B" w14:textId="77777777" w:rsidR="008A578D" w:rsidRPr="00307028" w:rsidRDefault="008A578D"/>
                    <w:p w14:paraId="0A631903" w14:textId="77777777" w:rsidR="00052A7E" w:rsidRPr="00307028" w:rsidRDefault="004732F5" w:rsidP="0016333F">
                      <w:pPr>
                        <w:rPr>
                          <w:b/>
                          <w:bCs/>
                          <w:color w:val="000000" w:themeColor="text1"/>
                        </w:rPr>
                      </w:pPr>
                      <w:r w:rsidRPr="00307028">
                        <w:rPr>
                          <w:b/>
                          <w:bCs/>
                        </w:rPr>
                        <w:t>PRIEKŠLIKUM</w:t>
                      </w:r>
                      <w:r w:rsidR="00052A7E" w:rsidRPr="00307028">
                        <w:rPr>
                          <w:b/>
                          <w:bCs/>
                        </w:rPr>
                        <w:t>I:</w:t>
                      </w:r>
                    </w:p>
                    <w:p w14:paraId="16C34E27" w14:textId="77777777" w:rsidR="008A578D" w:rsidRPr="00307028" w:rsidRDefault="008A578D"/>
                    <w:p w14:paraId="19098AA5" w14:textId="77777777" w:rsidR="00052A7E" w:rsidRPr="00307028" w:rsidRDefault="004732F5" w:rsidP="0016333F">
                      <w:pPr>
                        <w:rPr>
                          <w:b/>
                          <w:bCs/>
                          <w:color w:val="000000" w:themeColor="text1"/>
                        </w:rPr>
                      </w:pPr>
                      <w:r w:rsidRPr="00307028">
                        <w:rPr>
                          <w:b/>
                          <w:bCs/>
                        </w:rPr>
                        <w:t>PRIEKŠLIKUM</w:t>
                      </w:r>
                      <w:r w:rsidR="00052A7E" w:rsidRPr="00307028">
                        <w:rPr>
                          <w:b/>
                          <w:bCs/>
                        </w:rPr>
                        <w:t>I:</w:t>
                      </w:r>
                    </w:p>
                    <w:p w14:paraId="1E18A66C" w14:textId="77777777" w:rsidR="008A578D" w:rsidRPr="00307028" w:rsidRDefault="008A578D"/>
                    <w:p w14:paraId="7C53E06C" w14:textId="77777777" w:rsidR="00052A7E" w:rsidRPr="00307028" w:rsidRDefault="004732F5" w:rsidP="0016333F">
                      <w:pPr>
                        <w:rPr>
                          <w:b/>
                          <w:bCs/>
                          <w:color w:val="000000" w:themeColor="text1"/>
                        </w:rPr>
                      </w:pPr>
                      <w:r w:rsidRPr="00307028">
                        <w:rPr>
                          <w:b/>
                          <w:bCs/>
                        </w:rPr>
                        <w:t>PRIEKŠLIKUM</w:t>
                      </w:r>
                      <w:r w:rsidR="00052A7E" w:rsidRPr="00307028">
                        <w:rPr>
                          <w:b/>
                          <w:bCs/>
                        </w:rPr>
                        <w:t>I:</w:t>
                      </w:r>
                    </w:p>
                  </w:txbxContent>
                </v:textbox>
                <w10:wrap type="topAndBottom" anchorx="margin"/>
              </v:rect>
            </w:pict>
          </mc:Fallback>
        </mc:AlternateContent>
      </w:r>
      <w:r w:rsidR="00925688" w:rsidRPr="00307028">
        <w:rPr>
          <w:rFonts w:eastAsiaTheme="minorHAnsi" w:cstheme="minorBidi"/>
          <w:kern w:val="2"/>
          <w:szCs w:val="28"/>
          <w:lang w:eastAsia="en-US"/>
          <w14:ligatures w14:val="standardContextual"/>
        </w:rPr>
        <w:t>Covid-19 izraisītās pandēmijas ieviesto epidemioloģisko ierobežojumu ietekmē</w:t>
      </w:r>
      <w:r w:rsidR="00925688" w:rsidRPr="00307028">
        <w:rPr>
          <w:rFonts w:eastAsiaTheme="minorHAnsi"/>
          <w:kern w:val="2"/>
          <w:lang w:eastAsia="en-US"/>
          <w14:ligatures w14:val="standardContextual"/>
        </w:rPr>
        <w:t xml:space="preserve"> tika gūta pieredze darba organizēšanā attālināti</w:t>
      </w:r>
      <w:r w:rsidR="00525759" w:rsidRPr="00307028">
        <w:rPr>
          <w:rFonts w:eastAsiaTheme="minorHAnsi"/>
          <w:kern w:val="2"/>
          <w:lang w:eastAsia="en-US"/>
          <w14:ligatures w14:val="standardContextual"/>
        </w:rPr>
        <w:t>. A</w:t>
      </w:r>
      <w:r w:rsidR="00925688" w:rsidRPr="00307028">
        <w:rPr>
          <w:rFonts w:eastAsiaTheme="minorHAnsi"/>
          <w:kern w:val="2"/>
          <w:lang w:eastAsia="en-US"/>
          <w14:ligatures w14:val="standardContextual"/>
        </w:rPr>
        <w:t>pzinoties nepieciešamos procesu uzlabojumus šobrīd iestādes var pilnvērtīgi veikt savas funkcijas arī attālināti, līdz ar to arī turpmāk jāizvērtē iespēja veikt darba pienākumus attālināti, ja darba pienākumi un tehnoloģiskie risinājumi to pieļauj.</w:t>
      </w:r>
    </w:p>
    <w:p w14:paraId="03A06BFE" w14:textId="6330B492" w:rsidR="00A64BAF" w:rsidRPr="00307028" w:rsidRDefault="00A64BAF" w:rsidP="00BE4409">
      <w:pPr>
        <w:pStyle w:val="ListParagraph"/>
        <w:numPr>
          <w:ilvl w:val="0"/>
          <w:numId w:val="7"/>
        </w:numPr>
        <w:spacing w:after="120" w:line="259" w:lineRule="auto"/>
        <w:ind w:hanging="436"/>
        <w:contextualSpacing w:val="0"/>
        <w:jc w:val="both"/>
        <w:rPr>
          <w:color w:val="212529"/>
        </w:rPr>
      </w:pPr>
      <w:r w:rsidRPr="00307028">
        <w:t xml:space="preserve">Turpināt izvērtēt iestāžu vajadzībām izmantotā nekustamā īpašuma (biroja telpu) noslodzi (ēkās kur tas ir iespējams, nosakot to ar piekļuves datu analīzi) un iespējamo atteikšanos no nekustamā īpašuma (biroja telpām), to daļām, biroja telpu apvienošanu, iespēju atvēlēt daļu savu telpu kopstrādei citu iestāžu darbiniekiem vai pāreju uz kopstrādes biroja telpām, tādējādi </w:t>
      </w:r>
      <w:r w:rsidRPr="00307028">
        <w:rPr>
          <w:shd w:val="clear" w:color="auto" w:fill="FFFFFF"/>
        </w:rPr>
        <w:t xml:space="preserve">optimizējot kopējās apsaimniekošanas, ēku uzturēšanas, kā arī atjaunošanas un renovācijas izmaksas, </w:t>
      </w:r>
      <w:r w:rsidRPr="00307028">
        <w:t xml:space="preserve">kas </w:t>
      </w:r>
      <w:r w:rsidR="00525759" w:rsidRPr="00307028">
        <w:t>radītu</w:t>
      </w:r>
      <w:r w:rsidRPr="00307028">
        <w:t xml:space="preserve"> </w:t>
      </w:r>
      <w:r w:rsidRPr="00307028">
        <w:rPr>
          <w:color w:val="212529"/>
          <w:shd w:val="clear" w:color="auto" w:fill="FFFFFF"/>
        </w:rPr>
        <w:t xml:space="preserve">ietaupījumu valsts budžetā. </w:t>
      </w:r>
      <w:r w:rsidR="00525759" w:rsidRPr="00307028">
        <w:rPr>
          <w:color w:val="212529"/>
          <w:shd w:val="clear" w:color="auto" w:fill="FFFFFF"/>
        </w:rPr>
        <w:t>V</w:t>
      </w:r>
      <w:r w:rsidRPr="00307028">
        <w:rPr>
          <w:color w:val="212529"/>
        </w:rPr>
        <w:t>alsts pārvald</w:t>
      </w:r>
      <w:r w:rsidR="00525759" w:rsidRPr="00307028">
        <w:rPr>
          <w:color w:val="212529"/>
        </w:rPr>
        <w:t>es koncentrēšana</w:t>
      </w:r>
      <w:r w:rsidRPr="00307028">
        <w:rPr>
          <w:color w:val="212529"/>
        </w:rPr>
        <w:t xml:space="preserve"> mazākā skaitā kvalitatīvi uzturētu ēku, kur</w:t>
      </w:r>
      <w:r w:rsidR="00525759" w:rsidRPr="00307028">
        <w:rPr>
          <w:color w:val="212529"/>
        </w:rPr>
        <w:t>u</w:t>
      </w:r>
      <w:r w:rsidRPr="00307028">
        <w:rPr>
          <w:color w:val="212529"/>
        </w:rPr>
        <w:t xml:space="preserve"> nomas maksā ir iekļauta ēku atjaunošanas komponente, ļautu izvairīties no lieliem renovācijas ieguldījumiem</w:t>
      </w:r>
      <w:r w:rsidRPr="00307028">
        <w:rPr>
          <w:color w:val="212529"/>
          <w:shd w:val="clear" w:color="auto" w:fill="FFFFFF"/>
        </w:rPr>
        <w:t xml:space="preserve"> </w:t>
      </w:r>
      <w:r w:rsidR="00525759" w:rsidRPr="00307028">
        <w:rPr>
          <w:color w:val="212529"/>
          <w:shd w:val="clear" w:color="auto" w:fill="FFFFFF"/>
        </w:rPr>
        <w:t xml:space="preserve">tajās </w:t>
      </w:r>
      <w:r w:rsidRPr="00307028">
        <w:rPr>
          <w:color w:val="212529"/>
          <w:shd w:val="clear" w:color="auto" w:fill="FFFFFF"/>
        </w:rPr>
        <w:t xml:space="preserve">ēkās, </w:t>
      </w:r>
      <w:r w:rsidR="00525759" w:rsidRPr="00307028">
        <w:rPr>
          <w:color w:val="212529"/>
          <w:shd w:val="clear" w:color="auto" w:fill="FFFFFF"/>
        </w:rPr>
        <w:t>kas</w:t>
      </w:r>
      <w:r w:rsidRPr="00307028">
        <w:rPr>
          <w:color w:val="212529"/>
          <w:shd w:val="clear" w:color="auto" w:fill="FFFFFF"/>
        </w:rPr>
        <w:t xml:space="preserve"> nav pienācīgi uzturētas.</w:t>
      </w:r>
    </w:p>
    <w:p w14:paraId="247A5EED" w14:textId="77777777" w:rsidR="00925688" w:rsidRPr="00307028" w:rsidRDefault="00925688" w:rsidP="00BE4409">
      <w:pPr>
        <w:numPr>
          <w:ilvl w:val="0"/>
          <w:numId w:val="7"/>
        </w:numPr>
        <w:spacing w:before="120" w:after="120" w:line="259" w:lineRule="auto"/>
        <w:ind w:hanging="436"/>
        <w:jc w:val="both"/>
        <w:rPr>
          <w:rFonts w:eastAsiaTheme="minorHAnsi" w:cstheme="minorBidi"/>
          <w:kern w:val="2"/>
          <w:lang w:eastAsia="en-US"/>
          <w14:ligatures w14:val="standardContextual"/>
        </w:rPr>
      </w:pPr>
      <w:r w:rsidRPr="00307028">
        <w:rPr>
          <w:rFonts w:eastAsiaTheme="minorHAnsi" w:cstheme="minorBidi"/>
          <w:kern w:val="2"/>
          <w:lang w:eastAsia="en-US"/>
          <w14:ligatures w14:val="standardContextual"/>
        </w:rPr>
        <w:t xml:space="preserve">Arvien vairāk orientēties uz attālinātu klientu apkalpošanu, tādējādi samazinot klientu apkalpošanai nepieciešamo telpu platību. </w:t>
      </w:r>
    </w:p>
    <w:p w14:paraId="05987900" w14:textId="75A7548C" w:rsidR="00925688" w:rsidRPr="00307028" w:rsidRDefault="00925688" w:rsidP="00BE4409">
      <w:pPr>
        <w:numPr>
          <w:ilvl w:val="0"/>
          <w:numId w:val="7"/>
        </w:numPr>
        <w:spacing w:after="120" w:line="259" w:lineRule="auto"/>
        <w:ind w:hanging="436"/>
        <w:jc w:val="both"/>
        <w:rPr>
          <w:rFonts w:eastAsiaTheme="minorHAnsi"/>
          <w:kern w:val="2"/>
          <w:sz w:val="22"/>
          <w:szCs w:val="22"/>
          <w:lang w:eastAsia="en-US"/>
          <w14:ligatures w14:val="standardContextual"/>
        </w:rPr>
      </w:pPr>
      <w:r w:rsidRPr="00307028">
        <w:rPr>
          <w:rFonts w:eastAsiaTheme="minorHAnsi" w:cstheme="minorBidi"/>
          <w:kern w:val="2"/>
          <w:lang w:eastAsia="en-US"/>
          <w14:ligatures w14:val="standardContextual"/>
        </w:rPr>
        <w:t>Izvērtēt iespēju pāriet uz aktivitātēs balstītu biroju, sadalot biroju funkcionālās zonās un atsakoties no piesaistītas darba vietas katram darbiniekam</w:t>
      </w:r>
      <w:r w:rsidR="00525759" w:rsidRPr="00307028">
        <w:rPr>
          <w:rFonts w:eastAsiaTheme="minorHAnsi" w:cstheme="minorBidi"/>
          <w:kern w:val="2"/>
          <w:lang w:eastAsia="en-US"/>
          <w14:ligatures w14:val="standardContextual"/>
        </w:rPr>
        <w:t xml:space="preserve"> –</w:t>
      </w:r>
      <w:r w:rsidRPr="00307028">
        <w:rPr>
          <w:rFonts w:eastAsiaTheme="minorHAnsi" w:cstheme="minorBidi"/>
          <w:kern w:val="2"/>
          <w:lang w:eastAsia="en-US"/>
          <w14:ligatures w14:val="standardContextual"/>
        </w:rPr>
        <w:t xml:space="preserve"> attiecīgi darba vide tiek veidota vidēji par 30% mazākā platībā, tiek optimizēts atbalsta personāls, </w:t>
      </w:r>
      <w:r w:rsidR="00525759" w:rsidRPr="00307028">
        <w:rPr>
          <w:rFonts w:eastAsiaTheme="minorHAnsi" w:cstheme="minorBidi"/>
          <w:kern w:val="2"/>
          <w:lang w:eastAsia="en-US"/>
          <w14:ligatures w14:val="standardContextual"/>
        </w:rPr>
        <w:t xml:space="preserve">kā arī </w:t>
      </w:r>
      <w:r w:rsidRPr="00307028">
        <w:rPr>
          <w:rFonts w:eastAsiaTheme="minorHAnsi" w:cstheme="minorBidi"/>
          <w:kern w:val="2"/>
          <w:lang w:eastAsia="en-US"/>
          <w14:ligatures w14:val="standardContextual"/>
        </w:rPr>
        <w:t xml:space="preserve">biroja telpu uzturēšanas un aprīkojuma izmaksas, </w:t>
      </w:r>
      <w:r w:rsidRPr="00307028">
        <w:rPr>
          <w:rFonts w:eastAsiaTheme="minorHAnsi"/>
          <w:kern w:val="2"/>
          <w:lang w:eastAsia="en-US"/>
          <w14:ligatures w14:val="standardContextual"/>
        </w:rPr>
        <w:t xml:space="preserve">kas </w:t>
      </w:r>
      <w:r w:rsidR="00525759" w:rsidRPr="00307028">
        <w:rPr>
          <w:rFonts w:eastAsiaTheme="minorHAnsi"/>
          <w:kern w:val="2"/>
          <w:lang w:eastAsia="en-US"/>
          <w14:ligatures w14:val="standardContextual"/>
        </w:rPr>
        <w:t>radītu</w:t>
      </w:r>
      <w:r w:rsidRPr="00307028">
        <w:rPr>
          <w:rFonts w:eastAsiaTheme="minorHAnsi"/>
          <w:kern w:val="2"/>
          <w:lang w:eastAsia="en-US"/>
          <w14:ligatures w14:val="standardContextual"/>
        </w:rPr>
        <w:t xml:space="preserve"> </w:t>
      </w:r>
      <w:r w:rsidRPr="00307028">
        <w:rPr>
          <w:rFonts w:eastAsiaTheme="minorHAnsi" w:cstheme="minorBidi"/>
          <w:color w:val="212529"/>
          <w:kern w:val="2"/>
          <w:shd w:val="clear" w:color="auto" w:fill="FFFFFF"/>
          <w:lang w:eastAsia="en-US"/>
          <w14:ligatures w14:val="standardContextual"/>
        </w:rPr>
        <w:t>ietaupījumu valsts budžetā.</w:t>
      </w:r>
    </w:p>
    <w:p w14:paraId="7710D337" w14:textId="6CE26713" w:rsidR="00E441C1" w:rsidRPr="00307028" w:rsidRDefault="00A64BAF" w:rsidP="00E441C1">
      <w:pPr>
        <w:pStyle w:val="ListParagraph"/>
        <w:numPr>
          <w:ilvl w:val="0"/>
          <w:numId w:val="7"/>
        </w:numPr>
        <w:spacing w:after="120" w:line="259" w:lineRule="auto"/>
        <w:ind w:hanging="436"/>
        <w:contextualSpacing w:val="0"/>
        <w:jc w:val="both"/>
      </w:pPr>
      <w:r w:rsidRPr="00307028">
        <w:rPr>
          <w:color w:val="212529"/>
        </w:rPr>
        <w:t xml:space="preserve">Sadarbojoties ar VNĪ iesaistīties valsts biroju kopstrādes telpu tīkla izveidē. Vietās, kur biroju ēkas netiek pilnībā noslogotas, apsvērt iespēju apvienoties ar citām valsts iestādēm </w:t>
      </w:r>
      <w:r w:rsidR="00C3089F" w:rsidRPr="00307028">
        <w:rPr>
          <w:color w:val="212529"/>
        </w:rPr>
        <w:t xml:space="preserve">tajās </w:t>
      </w:r>
      <w:r w:rsidRPr="00307028">
        <w:rPr>
          <w:color w:val="212529"/>
        </w:rPr>
        <w:t xml:space="preserve">ēkās, kuras ir labā tehniskā stāvoklī, atrodas sabiedrībai viegli sasniedzamā vietā un ir piemērotas, lai tajās realizētu “Valsts publiskā sektora vadlīnijās” ieteiktos viedas darba vides izveides principus. Valsts pārvaldei neizmantotās ēkas </w:t>
      </w:r>
      <w:r w:rsidR="00C3089F" w:rsidRPr="00307028">
        <w:rPr>
          <w:color w:val="212529"/>
        </w:rPr>
        <w:t>būtu atsavināmas</w:t>
      </w:r>
      <w:r w:rsidRPr="00307028">
        <w:rPr>
          <w:color w:val="212529"/>
        </w:rPr>
        <w:t xml:space="preserve"> normatīvajos aktos noteiktajā kārtībā.</w:t>
      </w:r>
    </w:p>
    <w:p w14:paraId="06D0D57D" w14:textId="77777777" w:rsidR="00F7258A" w:rsidRDefault="00F7258A" w:rsidP="00E441C1">
      <w:pPr>
        <w:tabs>
          <w:tab w:val="right" w:pos="9071"/>
        </w:tabs>
        <w:rPr>
          <w:rFonts w:eastAsia="Times New Roman"/>
          <w:bCs/>
          <w:sz w:val="26"/>
          <w:szCs w:val="26"/>
          <w:lang w:eastAsia="en-US"/>
        </w:rPr>
      </w:pPr>
    </w:p>
    <w:p w14:paraId="36229542" w14:textId="77777777" w:rsidR="00931049" w:rsidRDefault="00931049" w:rsidP="00E441C1">
      <w:pPr>
        <w:tabs>
          <w:tab w:val="right" w:pos="9071"/>
        </w:tabs>
        <w:rPr>
          <w:rFonts w:eastAsia="Times New Roman"/>
          <w:bCs/>
          <w:sz w:val="26"/>
          <w:szCs w:val="26"/>
          <w:lang w:eastAsia="en-US"/>
        </w:rPr>
      </w:pPr>
    </w:p>
    <w:p w14:paraId="058B1647" w14:textId="77777777" w:rsidR="00931049" w:rsidRDefault="00931049" w:rsidP="00E441C1">
      <w:pPr>
        <w:tabs>
          <w:tab w:val="right" w:pos="9071"/>
        </w:tabs>
        <w:rPr>
          <w:rFonts w:eastAsia="Times New Roman"/>
          <w:bCs/>
          <w:sz w:val="26"/>
          <w:szCs w:val="26"/>
          <w:lang w:eastAsia="en-US"/>
        </w:rPr>
      </w:pPr>
    </w:p>
    <w:p w14:paraId="14D22A5C" w14:textId="5DAFCF15" w:rsidR="00F7258A" w:rsidRDefault="00E441C1" w:rsidP="00F7258A">
      <w:pPr>
        <w:tabs>
          <w:tab w:val="right" w:pos="9071"/>
        </w:tabs>
        <w:rPr>
          <w:rFonts w:eastAsia="Times New Roman"/>
          <w:bCs/>
          <w:sz w:val="26"/>
          <w:szCs w:val="26"/>
          <w:lang w:eastAsia="en-US"/>
        </w:rPr>
      </w:pPr>
      <w:r w:rsidRPr="00307028">
        <w:rPr>
          <w:rFonts w:eastAsia="Times New Roman"/>
          <w:bCs/>
          <w:sz w:val="26"/>
          <w:szCs w:val="26"/>
          <w:lang w:eastAsia="en-US"/>
        </w:rPr>
        <w:t>Finanšu ministrs</w:t>
      </w:r>
      <w:r w:rsidRPr="00307028">
        <w:rPr>
          <w:rFonts w:eastAsia="Times New Roman"/>
          <w:bCs/>
          <w:sz w:val="26"/>
          <w:szCs w:val="26"/>
          <w:lang w:eastAsia="en-US"/>
        </w:rPr>
        <w:tab/>
        <w:t xml:space="preserve"> A.Ašeradens</w:t>
      </w:r>
    </w:p>
    <w:p w14:paraId="1BC495D8" w14:textId="77777777" w:rsidR="00F7258A" w:rsidRDefault="00F7258A" w:rsidP="00F7258A">
      <w:pPr>
        <w:tabs>
          <w:tab w:val="right" w:pos="9071"/>
        </w:tabs>
        <w:rPr>
          <w:rFonts w:eastAsia="Times New Roman"/>
          <w:bCs/>
          <w:sz w:val="26"/>
          <w:szCs w:val="26"/>
          <w:lang w:eastAsia="en-US"/>
        </w:rPr>
      </w:pPr>
    </w:p>
    <w:p w14:paraId="4A136A2D" w14:textId="77777777" w:rsidR="00F7258A" w:rsidRDefault="00F7258A" w:rsidP="00F7258A">
      <w:pPr>
        <w:tabs>
          <w:tab w:val="right" w:pos="9071"/>
        </w:tabs>
        <w:rPr>
          <w:rFonts w:eastAsia="Times New Roman"/>
          <w:bCs/>
          <w:sz w:val="26"/>
          <w:szCs w:val="26"/>
          <w:lang w:eastAsia="en-US"/>
        </w:rPr>
      </w:pPr>
    </w:p>
    <w:p w14:paraId="5A2529CF" w14:textId="77777777" w:rsidR="00931049" w:rsidRDefault="00931049" w:rsidP="00F7258A">
      <w:pPr>
        <w:tabs>
          <w:tab w:val="right" w:pos="9071"/>
        </w:tabs>
        <w:rPr>
          <w:rFonts w:eastAsia="Times New Roman"/>
          <w:bCs/>
          <w:sz w:val="26"/>
          <w:szCs w:val="26"/>
          <w:lang w:eastAsia="en-US"/>
        </w:rPr>
      </w:pPr>
    </w:p>
    <w:p w14:paraId="4E281BA9" w14:textId="77777777" w:rsidR="00931049" w:rsidRDefault="00931049" w:rsidP="00F7258A">
      <w:pPr>
        <w:tabs>
          <w:tab w:val="right" w:pos="9071"/>
        </w:tabs>
        <w:rPr>
          <w:rFonts w:eastAsia="Times New Roman"/>
          <w:bCs/>
          <w:sz w:val="26"/>
          <w:szCs w:val="26"/>
          <w:lang w:eastAsia="en-US"/>
        </w:rPr>
      </w:pPr>
    </w:p>
    <w:p w14:paraId="4358C116" w14:textId="77777777" w:rsidR="00931049" w:rsidRDefault="00931049" w:rsidP="00F7258A">
      <w:pPr>
        <w:tabs>
          <w:tab w:val="right" w:pos="9071"/>
        </w:tabs>
        <w:rPr>
          <w:rFonts w:eastAsia="Times New Roman"/>
          <w:bCs/>
          <w:sz w:val="26"/>
          <w:szCs w:val="26"/>
          <w:lang w:eastAsia="en-US"/>
        </w:rPr>
      </w:pPr>
    </w:p>
    <w:p w14:paraId="3C27B1E1" w14:textId="77777777" w:rsidR="00931049" w:rsidRDefault="00931049" w:rsidP="00F7258A">
      <w:pPr>
        <w:tabs>
          <w:tab w:val="right" w:pos="9071"/>
        </w:tabs>
        <w:rPr>
          <w:rFonts w:eastAsia="Times New Roman"/>
          <w:bCs/>
          <w:sz w:val="26"/>
          <w:szCs w:val="26"/>
          <w:lang w:eastAsia="en-US"/>
        </w:rPr>
      </w:pPr>
    </w:p>
    <w:p w14:paraId="7AA479DE" w14:textId="77777777" w:rsidR="00931049" w:rsidRDefault="00931049" w:rsidP="00F7258A">
      <w:pPr>
        <w:tabs>
          <w:tab w:val="right" w:pos="9071"/>
        </w:tabs>
        <w:rPr>
          <w:rFonts w:eastAsia="Times New Roman"/>
          <w:bCs/>
          <w:sz w:val="26"/>
          <w:szCs w:val="26"/>
          <w:lang w:eastAsia="en-US"/>
        </w:rPr>
      </w:pPr>
    </w:p>
    <w:p w14:paraId="5852B487" w14:textId="77777777" w:rsidR="00931049" w:rsidRDefault="00931049" w:rsidP="00F7258A">
      <w:pPr>
        <w:tabs>
          <w:tab w:val="right" w:pos="9071"/>
        </w:tabs>
        <w:rPr>
          <w:rFonts w:eastAsia="Times New Roman"/>
          <w:bCs/>
          <w:sz w:val="26"/>
          <w:szCs w:val="26"/>
          <w:lang w:eastAsia="en-US"/>
        </w:rPr>
      </w:pPr>
    </w:p>
    <w:p w14:paraId="14D2D2B2" w14:textId="77777777" w:rsidR="00931049" w:rsidRPr="00F7258A" w:rsidRDefault="00931049" w:rsidP="00F7258A">
      <w:pPr>
        <w:tabs>
          <w:tab w:val="right" w:pos="9071"/>
        </w:tabs>
        <w:rPr>
          <w:rFonts w:eastAsia="Times New Roman"/>
          <w:bCs/>
          <w:sz w:val="26"/>
          <w:szCs w:val="26"/>
          <w:lang w:eastAsia="en-US"/>
        </w:rPr>
      </w:pPr>
    </w:p>
    <w:p w14:paraId="2F103FCF" w14:textId="09CCBAC5" w:rsidR="00E441C1" w:rsidRPr="00307028" w:rsidRDefault="00E441C1" w:rsidP="00E441C1">
      <w:pPr>
        <w:rPr>
          <w:rFonts w:eastAsia="Calibri"/>
          <w:sz w:val="16"/>
          <w:szCs w:val="16"/>
          <w:lang w:eastAsia="en-US"/>
        </w:rPr>
      </w:pPr>
      <w:r w:rsidRPr="00307028">
        <w:rPr>
          <w:rFonts w:eastAsia="Calibri"/>
          <w:sz w:val="16"/>
          <w:szCs w:val="16"/>
          <w:lang w:eastAsia="en-US"/>
        </w:rPr>
        <w:t>Adijāne, 26663998</w:t>
      </w:r>
    </w:p>
    <w:p w14:paraId="7390BF3C" w14:textId="139112FC" w:rsidR="00E441C1" w:rsidRPr="00307028" w:rsidRDefault="00E441C1" w:rsidP="0054659E">
      <w:pPr>
        <w:spacing w:after="120"/>
        <w:rPr>
          <w:rFonts w:eastAsia="Calibri"/>
          <w:sz w:val="16"/>
          <w:szCs w:val="16"/>
          <w:lang w:eastAsia="en-US"/>
        </w:rPr>
      </w:pPr>
      <w:r w:rsidRPr="00307028">
        <w:rPr>
          <w:rFonts w:eastAsia="Calibri"/>
          <w:sz w:val="16"/>
          <w:szCs w:val="16"/>
          <w:lang w:eastAsia="en-US"/>
        </w:rPr>
        <w:t>Zane.Adijane@fm.gov.lv</w:t>
      </w:r>
    </w:p>
    <w:p w14:paraId="7173E91E" w14:textId="6BFC85A4" w:rsidR="00E441C1" w:rsidRPr="00307028" w:rsidRDefault="00E441C1" w:rsidP="00E441C1">
      <w:pPr>
        <w:rPr>
          <w:rFonts w:eastAsia="Calibri"/>
          <w:sz w:val="16"/>
          <w:szCs w:val="16"/>
          <w:lang w:eastAsia="en-US"/>
        </w:rPr>
      </w:pPr>
      <w:r w:rsidRPr="00307028">
        <w:rPr>
          <w:rFonts w:eastAsia="Calibri"/>
          <w:sz w:val="16"/>
          <w:szCs w:val="16"/>
          <w:lang w:eastAsia="en-US"/>
        </w:rPr>
        <w:t>Stepanova, 2</w:t>
      </w:r>
      <w:r w:rsidR="0054659E" w:rsidRPr="00307028">
        <w:rPr>
          <w:rFonts w:eastAsia="Calibri"/>
          <w:sz w:val="16"/>
          <w:szCs w:val="16"/>
          <w:lang w:eastAsia="en-US"/>
        </w:rPr>
        <w:t>5747458</w:t>
      </w:r>
    </w:p>
    <w:p w14:paraId="06C32827" w14:textId="29F06997" w:rsidR="00E441C1" w:rsidRPr="00307028" w:rsidRDefault="0054659E" w:rsidP="00E441C1">
      <w:pPr>
        <w:rPr>
          <w:rFonts w:eastAsia="Calibri"/>
          <w:sz w:val="16"/>
          <w:szCs w:val="16"/>
          <w:lang w:eastAsia="en-US"/>
        </w:rPr>
      </w:pPr>
      <w:r w:rsidRPr="00307028">
        <w:rPr>
          <w:rFonts w:eastAsia="Calibri"/>
          <w:sz w:val="16"/>
          <w:szCs w:val="16"/>
          <w:lang w:eastAsia="en-US"/>
        </w:rPr>
        <w:t>Mara.Stepanova</w:t>
      </w:r>
      <w:r w:rsidR="00E441C1" w:rsidRPr="00307028">
        <w:rPr>
          <w:rFonts w:eastAsia="Calibri"/>
          <w:sz w:val="16"/>
          <w:szCs w:val="16"/>
          <w:lang w:eastAsia="en-US"/>
        </w:rPr>
        <w:t>@fm.gov.lv</w:t>
      </w:r>
    </w:p>
    <w:p w14:paraId="52CF3011" w14:textId="77777777" w:rsidR="00E441C1" w:rsidRPr="00E441C1" w:rsidRDefault="00E441C1" w:rsidP="00E441C1">
      <w:pPr>
        <w:spacing w:after="120" w:line="259" w:lineRule="auto"/>
        <w:jc w:val="both"/>
      </w:pPr>
    </w:p>
    <w:sectPr w:rsidR="00E441C1" w:rsidRPr="00E441C1" w:rsidSect="001F4D57">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AD54" w14:textId="77777777" w:rsidR="00A26EAE" w:rsidRPr="00307028" w:rsidRDefault="00A26EAE" w:rsidP="00A26EAE">
      <w:r w:rsidRPr="00307028">
        <w:separator/>
      </w:r>
    </w:p>
  </w:endnote>
  <w:endnote w:type="continuationSeparator" w:id="0">
    <w:p w14:paraId="754E2537" w14:textId="77777777" w:rsidR="00A26EAE" w:rsidRPr="00307028" w:rsidRDefault="00A26EAE" w:rsidP="00A26EAE">
      <w:r w:rsidRPr="00307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090036"/>
      <w:docPartObj>
        <w:docPartGallery w:val="Page Numbers (Bottom of Page)"/>
        <w:docPartUnique/>
      </w:docPartObj>
    </w:sdtPr>
    <w:sdtEndPr/>
    <w:sdtContent>
      <w:p w14:paraId="60BAEC35" w14:textId="77CB335E" w:rsidR="0016333F" w:rsidRPr="00307028" w:rsidRDefault="0016333F">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0BE7A3F2" w14:textId="37845600" w:rsidR="0016333F" w:rsidRPr="00307028" w:rsidRDefault="002B2091">
    <w:pPr>
      <w:pStyle w:val="Footer"/>
    </w:pPr>
    <w:r>
      <w:fldChar w:fldCharType="begin"/>
    </w:r>
    <w:r>
      <w:instrText xml:space="preserve"> FILENAME \* MERGEFORMAT </w:instrText>
    </w:r>
    <w:r>
      <w:fldChar w:fldCharType="separate"/>
    </w:r>
    <w:r w:rsidR="009472E1" w:rsidRPr="00307028">
      <w:t>FMZin_150823_Baze_Izdparsk_projekts.docx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FA38" w14:textId="77777777" w:rsidR="00A26EAE" w:rsidRPr="00307028" w:rsidRDefault="00A26EAE" w:rsidP="00A26EAE">
      <w:r w:rsidRPr="00307028">
        <w:separator/>
      </w:r>
    </w:p>
  </w:footnote>
  <w:footnote w:type="continuationSeparator" w:id="0">
    <w:p w14:paraId="1C1BD7E0" w14:textId="77777777" w:rsidR="00A26EAE" w:rsidRPr="00307028" w:rsidRDefault="00A26EAE" w:rsidP="00A26EAE">
      <w:r w:rsidRPr="00307028">
        <w:continuationSeparator/>
      </w:r>
    </w:p>
  </w:footnote>
  <w:footnote w:id="1">
    <w:p w14:paraId="06DE6749" w14:textId="342CFD24" w:rsidR="00674C69" w:rsidRPr="00307028" w:rsidRDefault="00674C69" w:rsidP="00CB3873">
      <w:pPr>
        <w:pStyle w:val="FootnoteText"/>
        <w:jc w:val="both"/>
      </w:pPr>
      <w:r w:rsidRPr="00307028">
        <w:rPr>
          <w:rStyle w:val="FootnoteReference"/>
        </w:rPr>
        <w:footnoteRef/>
      </w:r>
      <w:r w:rsidRPr="00307028">
        <w:t xml:space="preserve"> 2023. gada 17. janvāra MK noteikumi Nr.15 “Maksimāli pieļaujamā valsts budžeta izdevumu kopapjoma un</w:t>
      </w:r>
      <w:r w:rsidR="00EE2D2F" w:rsidRPr="00307028">
        <w:t xml:space="preserve"> </w:t>
      </w:r>
      <w:r w:rsidRPr="00307028">
        <w:t xml:space="preserve">katrai ministrijai un citai centrālajai valsts iestādei paredzētā izdevumu kopējā apjoma noteikšanas kārtība vidējam termiņam” </w:t>
      </w:r>
    </w:p>
  </w:footnote>
  <w:footnote w:id="2">
    <w:p w14:paraId="5D9493F1" w14:textId="3129407D" w:rsidR="005A1F81" w:rsidRPr="00307028" w:rsidRDefault="005A1F81" w:rsidP="00C66CAC">
      <w:pPr>
        <w:pStyle w:val="FootnoteText"/>
        <w:jc w:val="both"/>
      </w:pPr>
      <w:r w:rsidRPr="00307028">
        <w:rPr>
          <w:rStyle w:val="FootnoteReference"/>
        </w:rPr>
        <w:footnoteRef/>
      </w:r>
      <w:r w:rsidRPr="00307028">
        <w:t xml:space="preserve"> </w:t>
      </w:r>
      <w:r w:rsidRPr="00307028">
        <w:rPr>
          <w:rFonts w:eastAsiaTheme="minorEastAsia"/>
        </w:rPr>
        <w:t>Informatīvais ziņojums “</w:t>
      </w:r>
      <w:r w:rsidRPr="00307028">
        <w:rPr>
          <w:color w:val="000000"/>
          <w:shd w:val="clear" w:color="auto" w:fill="FFFFFF"/>
          <w:lang w:eastAsia="lv-LV"/>
        </w:rPr>
        <w:t>Par valsts budžeta izdevumu pārskatīšanas rezultātiem un priekšlikumi par šo rezultātu izmantošanu likumprojekta “Par vidēja termiņa budžeta ietvaru 2023., 2024. un 2025.gadam” un likumprojekta “Par valsts budžetu 2023.gadam” izstrādes procesā</w:t>
      </w:r>
      <w:r w:rsidRPr="00307028">
        <w:rPr>
          <w:rFonts w:eastAsiaTheme="minorEastAsia"/>
        </w:rPr>
        <w:t>”</w:t>
      </w:r>
    </w:p>
  </w:footnote>
  <w:footnote w:id="3">
    <w:p w14:paraId="658CCBDA" w14:textId="77777777" w:rsidR="00F64ADC" w:rsidRPr="00307028" w:rsidRDefault="00F64ADC" w:rsidP="000B531B">
      <w:pPr>
        <w:pStyle w:val="FootnoteText"/>
        <w:jc w:val="both"/>
      </w:pPr>
      <w:r w:rsidRPr="00307028">
        <w:rPr>
          <w:rStyle w:val="FootnoteReference"/>
        </w:rPr>
        <w:footnoteRef/>
      </w:r>
      <w:r w:rsidRPr="00307028">
        <w:t xml:space="preserve"> Ar MK 2015. gada 2. decembra rīkojumu Nr. 759 apstiprinātā rīcības plāna “Rīcības plāns personu, kurām nepieciešama starptautiskā aizsardzība, pārvietošanai un uzņemšanai Latvijā”</w:t>
      </w:r>
    </w:p>
  </w:footnote>
  <w:footnote w:id="4">
    <w:p w14:paraId="373DDBAF" w14:textId="33621674" w:rsidR="00221AD8" w:rsidRPr="00307028" w:rsidRDefault="00221AD8" w:rsidP="000B531B">
      <w:pPr>
        <w:pStyle w:val="FootnoteText"/>
        <w:jc w:val="both"/>
      </w:pPr>
      <w:r w:rsidRPr="00307028">
        <w:rPr>
          <w:rStyle w:val="FootnoteReference"/>
        </w:rPr>
        <w:footnoteRef/>
      </w:r>
      <w:r w:rsidRPr="00307028">
        <w:t xml:space="preserve"> Atbilstoši MK 2022. gada 13. decembra rīkojumam Nr. 898 “Par Izglītības un zinātnes ministrijas padotībā esošo profesionālās izglītības iestāžu statusa noteikšanu un to nosaukumiem” sākot ar 2023. gada 1. janvāri – tehnikumi un mākslu izglītības kompetences centri</w:t>
      </w:r>
    </w:p>
  </w:footnote>
  <w:footnote w:id="5">
    <w:p w14:paraId="5F0DA967" w14:textId="0A8635F9" w:rsidR="00EE3DBD" w:rsidRPr="00307028" w:rsidRDefault="00EE3DBD" w:rsidP="00F12FB5">
      <w:pPr>
        <w:pStyle w:val="FootnoteText"/>
        <w:jc w:val="both"/>
      </w:pPr>
      <w:r w:rsidRPr="00307028">
        <w:rPr>
          <w:rStyle w:val="FootnoteReference"/>
        </w:rPr>
        <w:footnoteRef/>
      </w:r>
      <w:r w:rsidRPr="00307028">
        <w:t xml:space="preserve"> </w:t>
      </w:r>
      <w:r w:rsidRPr="00307028">
        <w:rPr>
          <w:rFonts w:cs="Times New Roman"/>
          <w:szCs w:val="24"/>
        </w:rPr>
        <w:t xml:space="preserve">09.09.00 “Sporta federācijas un sporta pasākumi”, 09.16.00 “Dotācija nacionālas nozīmes starptautisku sporta pasākumu organizēšanai Latvijā”, 09.17.00 “Dotācija komandu sporta spēļu izlašu nodrošināšanai”, 09.21.00 “Augstas klases sasniegumu sports”, </w:t>
      </w:r>
      <w:bookmarkStart w:id="69" w:name="_Hlk141338186"/>
      <w:r w:rsidRPr="00307028">
        <w:rPr>
          <w:rFonts w:cs="Times New Roman"/>
          <w:szCs w:val="24"/>
        </w:rPr>
        <w:t xml:space="preserve">09.23.00 “Valsts ilgtermiņa saistības sportā - dotācija LOK </w:t>
      </w:r>
      <w:r w:rsidR="00F12FB5" w:rsidRPr="00307028">
        <w:rPr>
          <w:rFonts w:cs="Times New Roman"/>
          <w:szCs w:val="24"/>
        </w:rPr>
        <w:t>–</w:t>
      </w:r>
      <w:r w:rsidRPr="00307028">
        <w:rPr>
          <w:rFonts w:cs="Times New Roman"/>
          <w:szCs w:val="24"/>
        </w:rPr>
        <w:t xml:space="preserve"> valsts galvoto aizdevumu atmaksai” </w:t>
      </w:r>
      <w:bookmarkEnd w:id="69"/>
      <w:r w:rsidRPr="00307028">
        <w:rPr>
          <w:rFonts w:cs="Times New Roman"/>
          <w:szCs w:val="24"/>
        </w:rPr>
        <w:t xml:space="preserve">un </w:t>
      </w:r>
      <w:bookmarkStart w:id="70" w:name="_Hlk140482736"/>
      <w:r w:rsidRPr="00307028">
        <w:rPr>
          <w:rFonts w:cs="Times New Roman"/>
          <w:szCs w:val="24"/>
        </w:rPr>
        <w:t>09.25.00 “Dotācija biedrībai “Latvijas Paralimpiskā komiteja” pielāgotā sporta attīstībai”</w:t>
      </w:r>
      <w:bookmarkEnd w:id="70"/>
    </w:p>
  </w:footnote>
  <w:footnote w:id="6">
    <w:p w14:paraId="2A28D093" w14:textId="77777777" w:rsidR="00EE3DBD" w:rsidRPr="00307028" w:rsidRDefault="00EE3DBD" w:rsidP="00F12FB5">
      <w:pPr>
        <w:pStyle w:val="FootnoteText"/>
        <w:jc w:val="both"/>
      </w:pPr>
      <w:r w:rsidRPr="00307028">
        <w:rPr>
          <w:rStyle w:val="FootnoteReference"/>
        </w:rPr>
        <w:footnoteRef/>
      </w:r>
      <w:r w:rsidRPr="00307028">
        <w:t xml:space="preserve"> 09.09.00 “Sporta federācijas un sporta pasākumi” , 09.21.00 “Augstas klases sasniegumu sports” un 09.25.00 “Dotācija biedrībai “Latvijas Paralimpiskā komiteja” pielāgotā sporta attīstībai”</w:t>
      </w:r>
    </w:p>
  </w:footnote>
  <w:footnote w:id="7">
    <w:p w14:paraId="7AD6706A" w14:textId="77777777" w:rsidR="00EE3DBD" w:rsidRPr="00307028" w:rsidRDefault="00EE3DBD" w:rsidP="00EE3DBD">
      <w:pPr>
        <w:pStyle w:val="FootnoteText"/>
      </w:pPr>
      <w:r w:rsidRPr="00307028">
        <w:rPr>
          <w:rStyle w:val="FootnoteReference"/>
        </w:rPr>
        <w:footnoteRef/>
      </w:r>
      <w:r w:rsidRPr="00307028">
        <w:t xml:space="preserve"> IZM informācija no VIIS</w:t>
      </w:r>
    </w:p>
  </w:footnote>
  <w:footnote w:id="8">
    <w:p w14:paraId="0FA38A9F" w14:textId="77777777" w:rsidR="00EE3DBD" w:rsidRPr="00307028" w:rsidRDefault="00EE3DBD" w:rsidP="00EE3DBD">
      <w:pPr>
        <w:pStyle w:val="FootnoteText"/>
      </w:pPr>
      <w:r w:rsidRPr="00307028">
        <w:rPr>
          <w:rStyle w:val="FootnoteReference"/>
        </w:rPr>
        <w:footnoteRef/>
      </w:r>
      <w:r w:rsidRPr="00307028">
        <w:t xml:space="preserve"> Summas noteiktas preventīvi, ņemot vērā vidējo izcenojumu, un tās var mainīties pa sugām atkarībā no faktiskā dzīvnieku skaita</w:t>
      </w:r>
    </w:p>
  </w:footnote>
  <w:footnote w:id="9">
    <w:p w14:paraId="212A1DB2" w14:textId="77777777" w:rsidR="00CD647B" w:rsidRPr="00307028" w:rsidRDefault="00CD647B" w:rsidP="00CD647B">
      <w:pPr>
        <w:pStyle w:val="FootnoteText"/>
        <w:jc w:val="both"/>
      </w:pPr>
      <w:r w:rsidRPr="00307028">
        <w:rPr>
          <w:rStyle w:val="FootnoteReference"/>
        </w:rPr>
        <w:footnoteRef/>
      </w:r>
      <w:r w:rsidRPr="00307028">
        <w:t> Likumprojekts “Grozījumi Sociālo pakalpojumu un sociālās palīdzības likumā” (Nr.222/Ls14) ir atbalstīts Saeimas Sociālo un darba lietu komisijas sēdē uz 2. lasījumu. Plānots, ka Saeimas sēdē 2. lasījumā tas tiks pieņemts septembra sākumā.</w:t>
      </w:r>
    </w:p>
  </w:footnote>
  <w:footnote w:id="10">
    <w:p w14:paraId="134C6BC5" w14:textId="77777777" w:rsidR="000C0BF7" w:rsidRPr="00307028" w:rsidRDefault="000C0BF7" w:rsidP="000C0BF7">
      <w:pPr>
        <w:pStyle w:val="FootnoteText"/>
        <w:jc w:val="both"/>
      </w:pPr>
      <w:r w:rsidRPr="00307028">
        <w:rPr>
          <w:rStyle w:val="FootnoteReference"/>
        </w:rPr>
        <w:footnoteRef/>
      </w:r>
      <w:r w:rsidRPr="00307028">
        <w:t xml:space="preserve"> MK 2009. gada 1. septembra noteikumi Nr. 979 “Rezultātu un rezultatīvo rādītāju sistēmas darbības kārtība” 17. punkts.</w:t>
      </w:r>
    </w:p>
  </w:footnote>
  <w:footnote w:id="11">
    <w:p w14:paraId="75CF2DB2" w14:textId="77777777" w:rsidR="000C0BF7" w:rsidRPr="00307028" w:rsidRDefault="000C0BF7" w:rsidP="000C0BF7">
      <w:pPr>
        <w:pStyle w:val="FootnoteText"/>
        <w:jc w:val="both"/>
      </w:pPr>
      <w:r w:rsidRPr="00307028">
        <w:rPr>
          <w:rStyle w:val="FootnoteReference"/>
        </w:rPr>
        <w:footnoteRef/>
      </w:r>
      <w:r w:rsidRPr="00307028">
        <w:t xml:space="preserve"> MK 2018. gada 10. aprīļa instrukcija Nr. 2 “Instrukcija par valsts budžeta izpildes analīzi”.</w:t>
      </w:r>
    </w:p>
  </w:footnote>
  <w:footnote w:id="12">
    <w:p w14:paraId="2818EA4B" w14:textId="77777777" w:rsidR="000C0BF7" w:rsidRPr="00307028" w:rsidRDefault="000C0BF7" w:rsidP="000C0BF7">
      <w:pPr>
        <w:pStyle w:val="FootnoteText"/>
      </w:pPr>
      <w:r w:rsidRPr="00307028">
        <w:rPr>
          <w:rStyle w:val="FootnoteReference"/>
        </w:rPr>
        <w:footnoteRef/>
      </w:r>
      <w:r w:rsidRPr="00307028">
        <w:t xml:space="preserve"> </w:t>
      </w:r>
      <w:hyperlink r:id="rId1" w:history="1">
        <w:r w:rsidRPr="00307028">
          <w:rPr>
            <w:rStyle w:val="Hyperlink"/>
            <w:color w:val="auto"/>
          </w:rPr>
          <w:t>https://data.gov.lv/dati/lv/dataset/ministriju-un-citu-centralo-valsts-iestazu-rezultatu-un-to-rezultativo-raditaju-izpilde</w:t>
        </w:r>
      </w:hyperlink>
    </w:p>
  </w:footnote>
  <w:footnote w:id="13">
    <w:p w14:paraId="382F137C" w14:textId="77777777" w:rsidR="000C0BF7" w:rsidRPr="00307028" w:rsidRDefault="000C0BF7" w:rsidP="000C0BF7">
      <w:pPr>
        <w:pStyle w:val="FootnoteText"/>
      </w:pPr>
      <w:r w:rsidRPr="00307028">
        <w:rPr>
          <w:rStyle w:val="FootnoteReference"/>
        </w:rPr>
        <w:footnoteRef/>
      </w:r>
      <w:r w:rsidRPr="00307028">
        <w:t xml:space="preserve"> Šeit un turpmākajos attēlos izdevumu izpildes līmeņa aprēķinos izmantots precizētais izdevumu plāns.</w:t>
      </w:r>
    </w:p>
  </w:footnote>
  <w:footnote w:id="14">
    <w:p w14:paraId="010B3B71" w14:textId="77777777" w:rsidR="000C0BF7" w:rsidRPr="000006F7" w:rsidRDefault="000C0BF7" w:rsidP="000C0BF7">
      <w:pPr>
        <w:pStyle w:val="FootnoteText"/>
        <w:rPr>
          <w:szCs w:val="18"/>
        </w:rPr>
      </w:pPr>
      <w:r w:rsidRPr="000006F7">
        <w:rPr>
          <w:rStyle w:val="FootnoteReference"/>
          <w:szCs w:val="18"/>
        </w:rPr>
        <w:footnoteRef/>
      </w:r>
      <w:r w:rsidRPr="000006F7">
        <w:rPr>
          <w:szCs w:val="18"/>
        </w:rPr>
        <w:t xml:space="preserve"> </w:t>
      </w:r>
      <w:hyperlink r:id="rId2" w:history="1">
        <w:r w:rsidRPr="000006F7">
          <w:rPr>
            <w:rStyle w:val="Hyperlink"/>
            <w:color w:val="auto"/>
            <w:szCs w:val="18"/>
            <w:u w:val="none"/>
          </w:rPr>
          <w:t>https://data.gov.lv/dati/lv/dataset/ministriju-un-citu-centralo-valsts-iestazu-rezultatu-un-to-rezultativo-raditaju-izpilde</w:t>
        </w:r>
      </w:hyperlink>
      <w:r w:rsidRPr="000006F7">
        <w:rPr>
          <w:szCs w:val="18"/>
        </w:rPr>
        <w:t xml:space="preserve"> </w:t>
      </w:r>
    </w:p>
  </w:footnote>
  <w:footnote w:id="15">
    <w:p w14:paraId="2A099DA7" w14:textId="77777777" w:rsidR="00555485" w:rsidRPr="00307028" w:rsidRDefault="00555485" w:rsidP="00555485">
      <w:pPr>
        <w:pStyle w:val="FootnoteText"/>
        <w:jc w:val="both"/>
      </w:pPr>
      <w:r w:rsidRPr="00307028">
        <w:rPr>
          <w:rStyle w:val="FootnoteReference"/>
        </w:rPr>
        <w:footnoteRef/>
      </w:r>
      <w:r w:rsidRPr="00307028">
        <w:t xml:space="preserve"> </w:t>
      </w:r>
      <w:r w:rsidRPr="00307028">
        <w:rPr>
          <w:rFonts w:cs="Times New Roman"/>
          <w:szCs w:val="24"/>
        </w:rPr>
        <w:t>Zemais izdevumu izpildes līmenis 2021. gadā skaidrojams ar izdevumu neizpildi vairākās budžeta programmās, tostarp ar enerģētikas jomu saistītās programmās.</w:t>
      </w:r>
    </w:p>
  </w:footnote>
  <w:footnote w:id="16">
    <w:p w14:paraId="4DF1E682" w14:textId="77777777" w:rsidR="00555485" w:rsidRPr="00307028" w:rsidRDefault="00555485" w:rsidP="00555485">
      <w:pPr>
        <w:pStyle w:val="FootnoteText"/>
        <w:jc w:val="both"/>
      </w:pPr>
      <w:r w:rsidRPr="00307028">
        <w:rPr>
          <w:rStyle w:val="FootnoteReference"/>
        </w:rPr>
        <w:footnoteRef/>
      </w:r>
      <w:r w:rsidRPr="00307028">
        <w:t xml:space="preserve"> </w:t>
      </w:r>
      <w:r w:rsidRPr="00307028">
        <w:rPr>
          <w:rFonts w:cs="Times New Roman"/>
          <w:szCs w:val="24"/>
        </w:rPr>
        <w:t>MK 08.11.2022. noteikumi Nr. 668 “Noteikumi par ilgtspējas un siltumnīcefekta gāzu emisiju ietaupījuma kritērijiem, no biomasas kurināmā ražotās elektroenerģijas kritērijiem un kārtību, kādā pamatojama, apliecināma un uzraugāma atbilstība minētajiem kritērijiem”.</w:t>
      </w:r>
    </w:p>
  </w:footnote>
  <w:footnote w:id="17">
    <w:p w14:paraId="4CDFD230" w14:textId="77777777" w:rsidR="0016333F" w:rsidRPr="00307028" w:rsidRDefault="0016333F" w:rsidP="00267B87">
      <w:pPr>
        <w:pStyle w:val="FootnoteText"/>
        <w:jc w:val="both"/>
        <w:rPr>
          <w:rFonts w:cs="Times New Roman"/>
        </w:rPr>
      </w:pPr>
      <w:r w:rsidRPr="00307028">
        <w:rPr>
          <w:rStyle w:val="FootnoteReference"/>
          <w:rFonts w:cs="Times New Roman"/>
        </w:rPr>
        <w:footnoteRef/>
      </w:r>
      <w:r w:rsidRPr="00307028">
        <w:rPr>
          <w:rFonts w:cs="Times New Roman"/>
        </w:rPr>
        <w:t xml:space="preserve"> CSP, Oficiālais statistikas portāls: </w:t>
      </w:r>
      <w:hyperlink r:id="rId3" w:history="1">
        <w:r w:rsidRPr="00307028">
          <w:rPr>
            <w:rStyle w:val="Hyperlink"/>
            <w:rFonts w:cs="Times New Roman"/>
          </w:rPr>
          <w:t>https://stat.gov.lv/lv/statistikas-temas/informacijas-tehn/interneta-lietosana/tabulas/dlm010-iedzivotaji-kuri-lieto</w:t>
        </w:r>
      </w:hyperlink>
      <w:r w:rsidRPr="00307028">
        <w:rPr>
          <w:rFonts w:cs="Times New Roman"/>
        </w:rPr>
        <w:t xml:space="preserve"> </w:t>
      </w:r>
    </w:p>
  </w:footnote>
  <w:footnote w:id="18">
    <w:p w14:paraId="418F5221" w14:textId="77777777" w:rsidR="0016333F" w:rsidRPr="00307028" w:rsidRDefault="0016333F" w:rsidP="00267B87">
      <w:pPr>
        <w:pStyle w:val="FootnoteText"/>
        <w:jc w:val="both"/>
      </w:pPr>
      <w:r w:rsidRPr="00307028">
        <w:rPr>
          <w:rStyle w:val="FootnoteReference"/>
          <w:rFonts w:cs="Times New Roman"/>
        </w:rPr>
        <w:footnoteRef/>
      </w:r>
      <w:r w:rsidRPr="00307028">
        <w:rPr>
          <w:rFonts w:cs="Times New Roman"/>
        </w:rPr>
        <w:t xml:space="preserve"> CSP, Oficiālais statistikas portāls: </w:t>
      </w:r>
      <w:hyperlink r:id="rId4" w:history="1">
        <w:r w:rsidRPr="00307028">
          <w:rPr>
            <w:rStyle w:val="Hyperlink"/>
            <w:rFonts w:cs="Times New Roman"/>
          </w:rPr>
          <w:t>https://stat.gov.lv/lv/statistikas-temas/informacijas-tehn/interneta-lietosana/tabulas/dlm040-sadarbiba-ar-valsts-vai</w:t>
        </w:r>
      </w:hyperlink>
      <w:r w:rsidRPr="00307028">
        <w:rPr>
          <w:rFonts w:cs="Times New Roman"/>
        </w:rPr>
        <w:t xml:space="preserve"> </w:t>
      </w:r>
    </w:p>
  </w:footnote>
  <w:footnote w:id="19">
    <w:p w14:paraId="7E82A78E" w14:textId="1AEA42B6" w:rsidR="00DC6B33" w:rsidRPr="00307028" w:rsidRDefault="00DC6B33" w:rsidP="00267B87">
      <w:pPr>
        <w:pStyle w:val="FootnoteText"/>
        <w:jc w:val="both"/>
        <w:rPr>
          <w:rFonts w:cs="Times New Roman"/>
        </w:rPr>
      </w:pPr>
      <w:r w:rsidRPr="00307028">
        <w:rPr>
          <w:rStyle w:val="FootnoteReference"/>
          <w:rFonts w:cs="Times New Roman"/>
        </w:rPr>
        <w:footnoteRef/>
      </w:r>
      <w:r w:rsidRPr="00307028">
        <w:rPr>
          <w:rFonts w:cs="Times New Roman"/>
        </w:rPr>
        <w:t xml:space="preserve"> Tiešās pārvaldes iestādes, pašvaldības un tiešās pārvaldes iestāžu un pašvaldību padotībā esošajās institūcijas</w:t>
      </w:r>
    </w:p>
  </w:footnote>
  <w:footnote w:id="20">
    <w:p w14:paraId="324E9BE6"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5" w:history="1">
        <w:r w:rsidRPr="00307028">
          <w:rPr>
            <w:rStyle w:val="Hyperlink"/>
            <w:rFonts w:cs="Times New Roman"/>
          </w:rPr>
          <w:t>https://tapportals.mk.gov.lv/legal_acts/df72db33-6d9b-4e8e-9e93-56672aca929f</w:t>
        </w:r>
      </w:hyperlink>
      <w:r w:rsidRPr="00307028">
        <w:rPr>
          <w:rFonts w:cs="Times New Roman"/>
        </w:rPr>
        <w:t xml:space="preserve"> </w:t>
      </w:r>
    </w:p>
  </w:footnote>
  <w:footnote w:id="21">
    <w:p w14:paraId="0CBF8D37"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6" w:history="1">
        <w:r w:rsidRPr="00307028">
          <w:rPr>
            <w:rStyle w:val="Hyperlink"/>
            <w:rFonts w:cs="Times New Roman"/>
          </w:rPr>
          <w:t>https://data.gov.lv/dati/eng/dataset/iestazu-mobilas-lietotnes</w:t>
        </w:r>
      </w:hyperlink>
      <w:r w:rsidRPr="00307028">
        <w:rPr>
          <w:rFonts w:cs="Times New Roman"/>
        </w:rPr>
        <w:t xml:space="preserve"> </w:t>
      </w:r>
    </w:p>
  </w:footnote>
  <w:footnote w:id="22">
    <w:p w14:paraId="2B993579"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7" w:history="1">
        <w:r w:rsidRPr="00307028">
          <w:rPr>
            <w:rStyle w:val="Hyperlink"/>
            <w:rFonts w:cs="Times New Roman"/>
          </w:rPr>
          <w:t>https://covid19.gov.lv/aktualites/no-1aprila-atcelti-visi-covid-19-ierobezojumi-pasakumu-norisei-un-kulturvietu-darbibai</w:t>
        </w:r>
      </w:hyperlink>
      <w:r w:rsidRPr="00307028">
        <w:rPr>
          <w:rFonts w:cs="Times New Roman"/>
        </w:rPr>
        <w:t xml:space="preserve"> </w:t>
      </w:r>
    </w:p>
  </w:footnote>
  <w:footnote w:id="23">
    <w:p w14:paraId="2FA5292B" w14:textId="77777777" w:rsidR="0016333F" w:rsidRPr="00307028" w:rsidRDefault="0016333F" w:rsidP="0016333F">
      <w:pPr>
        <w:pStyle w:val="FootnoteText"/>
      </w:pPr>
      <w:r w:rsidRPr="00307028">
        <w:rPr>
          <w:rStyle w:val="FootnoteReference"/>
          <w:rFonts w:cs="Times New Roman"/>
        </w:rPr>
        <w:footnoteRef/>
      </w:r>
      <w:r w:rsidRPr="00307028">
        <w:rPr>
          <w:rFonts w:cs="Times New Roman"/>
        </w:rPr>
        <w:t xml:space="preserve"> </w:t>
      </w:r>
      <w:hyperlink r:id="rId8" w:history="1">
        <w:r w:rsidRPr="00307028">
          <w:rPr>
            <w:rStyle w:val="Hyperlink"/>
          </w:rPr>
          <w:t>https://www.spkc.gov.lv/lv/valstu-saslimstibas-raditaji-ar-covid-19-0</w:t>
        </w:r>
      </w:hyperlink>
      <w:r w:rsidRPr="00307028">
        <w:t xml:space="preserve"> </w:t>
      </w:r>
    </w:p>
  </w:footnote>
  <w:footnote w:id="24">
    <w:p w14:paraId="6E2911A9"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9" w:history="1">
        <w:r w:rsidRPr="00307028">
          <w:rPr>
            <w:rStyle w:val="Hyperlink"/>
            <w:rFonts w:cs="Times New Roman"/>
          </w:rPr>
          <w:t>https://www.varam.gov.lv/lv/jaunums/iedzivotaji-2022-gada-aktivak-neka-ieprieks-zinojusi-valsts-vides-dienestam-par-iespejamiem-vides-parkapumiem</w:t>
        </w:r>
      </w:hyperlink>
      <w:r w:rsidRPr="00307028">
        <w:rPr>
          <w:rFonts w:cs="Times New Roman"/>
        </w:rPr>
        <w:t xml:space="preserve"> </w:t>
      </w:r>
    </w:p>
  </w:footnote>
  <w:footnote w:id="25">
    <w:p w14:paraId="389785B1"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Memorands sabiedrības līdzdalībai COVID-19 ierobežošanā, pieejams: </w:t>
      </w:r>
      <w:hyperlink r:id="rId10" w:history="1">
        <w:r w:rsidRPr="00307028">
          <w:rPr>
            <w:rStyle w:val="Hyperlink"/>
            <w:rFonts w:cs="Times New Roman"/>
          </w:rPr>
          <w:t>https://apturicovid.lv/documents/memorands-lv.pdf</w:t>
        </w:r>
      </w:hyperlink>
      <w:r w:rsidRPr="00307028">
        <w:rPr>
          <w:rFonts w:cs="Times New Roman"/>
        </w:rPr>
        <w:t xml:space="preserve"> </w:t>
      </w:r>
    </w:p>
  </w:footnote>
  <w:footnote w:id="26">
    <w:p w14:paraId="27F0B689"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11" w:history="1">
        <w:r w:rsidRPr="00307028">
          <w:rPr>
            <w:rStyle w:val="Hyperlink"/>
            <w:rFonts w:cs="Times New Roman"/>
          </w:rPr>
          <w:t>https://www.retv.lv/raksts/pielauj-iespeju-apturet-lietotnes-apturi-covid-darbosanos-latvija</w:t>
        </w:r>
      </w:hyperlink>
      <w:r w:rsidRPr="00307028">
        <w:rPr>
          <w:rFonts w:cs="Times New Roman"/>
        </w:rPr>
        <w:t xml:space="preserve"> </w:t>
      </w:r>
    </w:p>
  </w:footnote>
  <w:footnote w:id="27">
    <w:p w14:paraId="4640FE44"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12" w:history="1">
        <w:r w:rsidRPr="00307028">
          <w:rPr>
            <w:rStyle w:val="Hyperlink"/>
            <w:rFonts w:cs="Times New Roman"/>
          </w:rPr>
          <w:t>https://juristavards.lv/zinas/265512-valsts-kancelejas-mobila-aplikaciju-futbols-starp-40-labakajam-pasaule/</w:t>
        </w:r>
      </w:hyperlink>
      <w:r w:rsidRPr="00307028">
        <w:rPr>
          <w:rFonts w:cs="Times New Roman"/>
        </w:rPr>
        <w:t xml:space="preserve"> </w:t>
      </w:r>
    </w:p>
  </w:footnote>
  <w:footnote w:id="28">
    <w:p w14:paraId="46675FE7" w14:textId="77777777" w:rsidR="0016333F" w:rsidRPr="00307028" w:rsidRDefault="0016333F" w:rsidP="0016333F">
      <w:pPr>
        <w:pStyle w:val="FootnoteText"/>
        <w:rPr>
          <w:rFonts w:cs="Times New Roman"/>
        </w:rPr>
      </w:pPr>
      <w:r w:rsidRPr="00307028">
        <w:rPr>
          <w:rStyle w:val="FootnoteReference"/>
          <w:rFonts w:cs="Times New Roman"/>
        </w:rPr>
        <w:footnoteRef/>
      </w:r>
      <w:r w:rsidRPr="00307028">
        <w:rPr>
          <w:rFonts w:cs="Times New Roman"/>
        </w:rPr>
        <w:t xml:space="preserve"> </w:t>
      </w:r>
      <w:hyperlink r:id="rId13" w:history="1">
        <w:r w:rsidRPr="00307028">
          <w:rPr>
            <w:rStyle w:val="Hyperlink"/>
            <w:rFonts w:cs="Times New Roman"/>
          </w:rPr>
          <w:t>https://tap.mk.gov.lv/lv/mk/tap/?pid=40380885&amp;mode=mk&amp;date=2016-02-02</w:t>
        </w:r>
      </w:hyperlink>
      <w:r w:rsidRPr="00307028">
        <w:rPr>
          <w:rFonts w:cs="Times New Roman"/>
        </w:rPr>
        <w:t xml:space="preserve"> </w:t>
      </w:r>
    </w:p>
  </w:footnote>
  <w:footnote w:id="29">
    <w:p w14:paraId="4FCE5CE3" w14:textId="77777777" w:rsidR="009E5D04" w:rsidRPr="00307028" w:rsidRDefault="009E5D04" w:rsidP="009E5D04">
      <w:pPr>
        <w:pStyle w:val="FootnoteText"/>
        <w:rPr>
          <w:rFonts w:cs="Times New Roman"/>
          <w:szCs w:val="18"/>
        </w:rPr>
      </w:pPr>
      <w:r w:rsidRPr="00307028">
        <w:rPr>
          <w:rStyle w:val="FootnoteReference"/>
          <w:rFonts w:cs="Times New Roman"/>
          <w:szCs w:val="18"/>
        </w:rPr>
        <w:footnoteRef/>
      </w:r>
      <w:r w:rsidRPr="00307028">
        <w:rPr>
          <w:rFonts w:cs="Times New Roman"/>
          <w:szCs w:val="18"/>
        </w:rPr>
        <w:t xml:space="preserve"> Likumprojekta “Administratīvās atbildības likums” anotācija. Pieejams:</w:t>
      </w:r>
    </w:p>
    <w:p w14:paraId="3ACE56D1" w14:textId="77777777" w:rsidR="009E5D04" w:rsidRPr="00307028" w:rsidRDefault="002B2091" w:rsidP="009E5D04">
      <w:pPr>
        <w:pStyle w:val="FootnoteText"/>
      </w:pPr>
      <w:hyperlink r:id="rId14" w:history="1">
        <w:r w:rsidR="009E5D04" w:rsidRPr="00307028">
          <w:rPr>
            <w:rStyle w:val="Hyperlink"/>
            <w:rFonts w:cs="Times New Roman"/>
            <w:color w:val="auto"/>
            <w:szCs w:val="18"/>
          </w:rPr>
          <w:t>https://titania.saeima.lv/LIVS12/SaeimaLIVS12.nsf/0/8F85FC1AE272C759C2257D8E004788AD?OpenDocument</w:t>
        </w:r>
      </w:hyperlink>
      <w:r w:rsidR="009E5D04" w:rsidRPr="00307028">
        <w:t xml:space="preserve"> </w:t>
      </w:r>
    </w:p>
  </w:footnote>
  <w:footnote w:id="30">
    <w:p w14:paraId="18E56E6A" w14:textId="77777777" w:rsidR="009E5D04" w:rsidRPr="00307028" w:rsidRDefault="009E5D04" w:rsidP="009E5D04">
      <w:pPr>
        <w:pStyle w:val="FootnoteText"/>
        <w:rPr>
          <w:rFonts w:cs="Times New Roman"/>
        </w:rPr>
      </w:pPr>
      <w:r w:rsidRPr="00307028">
        <w:rPr>
          <w:rStyle w:val="FootnoteReference"/>
          <w:rFonts w:cs="Times New Roman"/>
          <w:szCs w:val="18"/>
        </w:rPr>
        <w:footnoteRef/>
      </w:r>
      <w:r w:rsidRPr="00307028">
        <w:rPr>
          <w:rFonts w:cs="Times New Roman"/>
          <w:szCs w:val="18"/>
        </w:rPr>
        <w:t xml:space="preserve"> Latviešu literārās valodas vārdnīca. 1.–8. Rīga, Zinātne, 1972.–1996.</w:t>
      </w:r>
    </w:p>
  </w:footnote>
  <w:footnote w:id="31">
    <w:p w14:paraId="34C98DDC" w14:textId="77777777" w:rsidR="009E5D04" w:rsidRPr="00307028" w:rsidRDefault="009E5D04" w:rsidP="00BF15EE">
      <w:pPr>
        <w:pStyle w:val="FootnoteText"/>
        <w:jc w:val="both"/>
      </w:pPr>
      <w:r w:rsidRPr="00307028">
        <w:rPr>
          <w:rStyle w:val="FootnoteReference"/>
          <w:rFonts w:cs="Times New Roman"/>
        </w:rPr>
        <w:footnoteRef/>
      </w:r>
      <w:r w:rsidRPr="00307028">
        <w:rPr>
          <w:rFonts w:cs="Times New Roman"/>
        </w:rPr>
        <w:t xml:space="preserve"> Plašāka informācija par Hugo.lv pieejama: </w:t>
      </w:r>
      <w:hyperlink r:id="rId15" w:history="1">
        <w:r w:rsidRPr="00307028">
          <w:rPr>
            <w:rStyle w:val="Hyperlink"/>
            <w:rFonts w:cs="Times New Roman"/>
            <w:color w:val="auto"/>
          </w:rPr>
          <w:t>hugo.lv</w:t>
        </w:r>
      </w:hyperlink>
      <w:r w:rsidRPr="00307028">
        <w:rPr>
          <w:rFonts w:cs="Times New Roman"/>
        </w:rPr>
        <w:t xml:space="preserve"> un </w:t>
      </w:r>
      <w:hyperlink r:id="rId16" w:history="1">
        <w:r w:rsidRPr="00307028">
          <w:rPr>
            <w:rStyle w:val="Hyperlink"/>
            <w:rFonts w:cs="Times New Roman"/>
            <w:color w:val="auto"/>
          </w:rPr>
          <w:t>Valodas tehnoloģiju platformā Hugo.lv pieejama automātiskā tulkošana visās Eiropas valodās | Kultūras informācijas sistēmu centrs (kis.gov.lv)</w:t>
        </w:r>
      </w:hyperlink>
      <w:r w:rsidRPr="00307028">
        <w:rPr>
          <w:rFonts w:cs="Times New Roman"/>
        </w:rPr>
        <w:t>.</w:t>
      </w:r>
    </w:p>
  </w:footnote>
  <w:footnote w:id="32">
    <w:p w14:paraId="71D61B93" w14:textId="77777777" w:rsidR="002D3A05" w:rsidRPr="00307028" w:rsidRDefault="002D3A05" w:rsidP="002D3A05">
      <w:pPr>
        <w:pStyle w:val="FootnoteText"/>
      </w:pPr>
      <w:r w:rsidRPr="00307028">
        <w:rPr>
          <w:rStyle w:val="FootnoteReference"/>
        </w:rPr>
        <w:footnoteRef/>
      </w:r>
      <w:r w:rsidRPr="00307028">
        <w:t xml:space="preserve"> Datu avots: Latvijas Atvērto datu portāls</w:t>
      </w:r>
    </w:p>
  </w:footnote>
  <w:footnote w:id="33">
    <w:p w14:paraId="0A5274FB" w14:textId="2ED34E23" w:rsidR="007D4D60" w:rsidRPr="00307028" w:rsidRDefault="007D4D60" w:rsidP="008D6A22">
      <w:pPr>
        <w:pStyle w:val="FootnoteText"/>
        <w:jc w:val="both"/>
      </w:pPr>
      <w:r w:rsidRPr="00307028">
        <w:rPr>
          <w:rStyle w:val="FootnoteReference"/>
        </w:rPr>
        <w:footnoteRef/>
      </w:r>
      <w:r w:rsidRPr="00307028">
        <w:t xml:space="preserve"> 2023. gada 27. aprīļa protokols Nr.15 3.§ “Par ERAF projekta "Valsts un pašvaldību iestāžu tīmekļvietņu vienotā platforma" ietvaros radītā IKT risinājuma uzturēšanas izmaksu segšanu”</w:t>
      </w:r>
    </w:p>
  </w:footnote>
  <w:footnote w:id="34">
    <w:p w14:paraId="5C7467AA" w14:textId="0F25CA3B" w:rsidR="00145AB8" w:rsidRPr="00307028" w:rsidRDefault="00145AB8">
      <w:pPr>
        <w:pStyle w:val="FootnoteText"/>
      </w:pPr>
      <w:r w:rsidRPr="00307028">
        <w:rPr>
          <w:rStyle w:val="FootnoteReference"/>
        </w:rPr>
        <w:footnoteRef/>
      </w:r>
      <w:r w:rsidRPr="00307028">
        <w:t xml:space="preserve"> VK iesniegtie dati FM</w:t>
      </w:r>
    </w:p>
  </w:footnote>
  <w:footnote w:id="35">
    <w:p w14:paraId="40C5286D" w14:textId="441A837B" w:rsidR="008938FF" w:rsidRPr="00307028" w:rsidRDefault="008938FF" w:rsidP="008938FF">
      <w:pPr>
        <w:pStyle w:val="FootnoteText"/>
      </w:pPr>
      <w:r w:rsidRPr="00307028">
        <w:rPr>
          <w:rStyle w:val="FootnoteReference"/>
        </w:rPr>
        <w:footnoteRef/>
      </w:r>
      <w:r w:rsidRPr="00307028">
        <w:t xml:space="preserve"> </w:t>
      </w:r>
      <w:r w:rsidR="006278A7" w:rsidRPr="00307028">
        <w:t>MK</w:t>
      </w:r>
      <w:r w:rsidRPr="00307028">
        <w:t xml:space="preserve"> 2017. gada 7. novembra noteikumi Nr. 662 “Noteikumi par valsts tiešās pārvaldes iestāžu un citu valsts un pašvaldību institūciju amatpersonu (darbinieku) atlīdzības un personu uzskaites sistēmu”. </w:t>
      </w:r>
    </w:p>
  </w:footnote>
  <w:footnote w:id="36">
    <w:p w14:paraId="6096A1CB" w14:textId="48CDE6DF" w:rsidR="006278A7" w:rsidRPr="00307028" w:rsidRDefault="006278A7">
      <w:pPr>
        <w:pStyle w:val="FootnoteText"/>
      </w:pPr>
      <w:r w:rsidRPr="00307028">
        <w:rPr>
          <w:rStyle w:val="FootnoteReference"/>
        </w:rPr>
        <w:footnoteRef/>
      </w:r>
      <w:r w:rsidRPr="00307028">
        <w:t xml:space="preserve"> VK iesniegtie dati FM</w:t>
      </w:r>
    </w:p>
  </w:footnote>
  <w:footnote w:id="37">
    <w:p w14:paraId="4CAD4A24" w14:textId="77777777" w:rsidR="00FD7666" w:rsidRPr="00307028" w:rsidRDefault="00FD7666" w:rsidP="00FD7666">
      <w:pPr>
        <w:pStyle w:val="FootnoteText"/>
        <w:jc w:val="both"/>
      </w:pPr>
      <w:r w:rsidRPr="00307028">
        <w:rPr>
          <w:rStyle w:val="FootnoteReference"/>
        </w:rPr>
        <w:footnoteRef/>
      </w:r>
      <w:r w:rsidRPr="00307028">
        <w:t xml:space="preserve"> MK rīkojuma Nr. 130 “Par likumprojekta “Par valsts budžetu 2024. gadam un budžeta ietvaru 2024., 2025. un 2026. gadam” sagatavošanas grafiku” 2.1.1. punkts.</w:t>
      </w:r>
    </w:p>
  </w:footnote>
  <w:footnote w:id="38">
    <w:p w14:paraId="7E7508A0" w14:textId="77777777" w:rsidR="00276424" w:rsidRPr="00307028" w:rsidRDefault="00276424" w:rsidP="00276424">
      <w:pPr>
        <w:pStyle w:val="FootnoteText"/>
      </w:pPr>
      <w:r w:rsidRPr="00307028">
        <w:rPr>
          <w:rStyle w:val="FootnoteReference"/>
        </w:rPr>
        <w:footnoteRef/>
      </w:r>
      <w:r w:rsidRPr="00307028">
        <w:t xml:space="preserve"> Izskatīts MK 2023. gada 30. maija sēdē (Protokola Nr. 28 2. </w:t>
      </w:r>
      <w:r w:rsidRPr="00307028">
        <w:rPr>
          <w:rFonts w:cs="Times New Roman"/>
        </w:rPr>
        <w:t>§</w:t>
      </w:r>
      <w:r w:rsidRPr="00307028">
        <w:t>)</w:t>
      </w:r>
    </w:p>
  </w:footnote>
  <w:footnote w:id="39">
    <w:p w14:paraId="7F960A76" w14:textId="77777777" w:rsidR="00FD7666" w:rsidRPr="00307028" w:rsidRDefault="00FD7666" w:rsidP="00FD7666">
      <w:pPr>
        <w:pStyle w:val="FootnoteText"/>
      </w:pPr>
      <w:r w:rsidRPr="00307028">
        <w:rPr>
          <w:rStyle w:val="FootnoteReference"/>
        </w:rPr>
        <w:footnoteRef/>
      </w:r>
      <w:r w:rsidRPr="00307028">
        <w:t xml:space="preserve"> Datu avots: Eurostat</w:t>
      </w:r>
    </w:p>
  </w:footnote>
  <w:footnote w:id="40">
    <w:p w14:paraId="3A1C5797" w14:textId="77777777" w:rsidR="00FD7666" w:rsidRPr="00307028" w:rsidRDefault="00FD7666" w:rsidP="00FD7666">
      <w:pPr>
        <w:pStyle w:val="FootnoteText"/>
      </w:pPr>
      <w:r w:rsidRPr="00307028">
        <w:rPr>
          <w:rStyle w:val="FootnoteReference"/>
        </w:rPr>
        <w:footnoteRef/>
      </w:r>
      <w:r w:rsidRPr="00307028">
        <w:t xml:space="preserve"> Datu avots: Eurostat</w:t>
      </w:r>
    </w:p>
  </w:footnote>
  <w:footnote w:id="41">
    <w:p w14:paraId="6C59061B" w14:textId="77777777" w:rsidR="00FD7666" w:rsidRPr="00307028" w:rsidRDefault="00FD7666" w:rsidP="00FD7666">
      <w:pPr>
        <w:pStyle w:val="FootnoteText"/>
      </w:pPr>
      <w:r w:rsidRPr="00307028">
        <w:rPr>
          <w:rStyle w:val="FootnoteReference"/>
        </w:rPr>
        <w:footnoteRef/>
      </w:r>
      <w:r w:rsidRPr="00307028">
        <w:t xml:space="preserve"> Datu avots: OECD</w:t>
      </w:r>
    </w:p>
  </w:footnote>
  <w:footnote w:id="42">
    <w:p w14:paraId="2E4C3A3D" w14:textId="77777777" w:rsidR="00FD7666" w:rsidRPr="00307028" w:rsidRDefault="00FD7666" w:rsidP="00FD7666">
      <w:pPr>
        <w:pStyle w:val="FootnoteText"/>
      </w:pPr>
      <w:r w:rsidRPr="00307028">
        <w:rPr>
          <w:rStyle w:val="FootnoteReference"/>
        </w:rPr>
        <w:footnoteRef/>
      </w:r>
      <w:r w:rsidRPr="00307028">
        <w:t xml:space="preserve"> Datu avots: OECD</w:t>
      </w:r>
    </w:p>
  </w:footnote>
  <w:footnote w:id="43">
    <w:p w14:paraId="3D62F686" w14:textId="77777777" w:rsidR="00FD7666" w:rsidRPr="00307028" w:rsidRDefault="00FD7666" w:rsidP="00FD7666">
      <w:pPr>
        <w:pStyle w:val="FootnoteText"/>
      </w:pPr>
      <w:r w:rsidRPr="00307028">
        <w:rPr>
          <w:rStyle w:val="FootnoteReference"/>
        </w:rPr>
        <w:footnoteRef/>
      </w:r>
      <w:r w:rsidRPr="00307028">
        <w:t xml:space="preserve"> Datu avots: OECD, PVO</w:t>
      </w:r>
    </w:p>
  </w:footnote>
  <w:footnote w:id="44">
    <w:p w14:paraId="18984DA5" w14:textId="77777777" w:rsidR="00FD7666" w:rsidRPr="00307028" w:rsidRDefault="00FD7666" w:rsidP="00FD7666">
      <w:pPr>
        <w:pStyle w:val="FootnoteText"/>
      </w:pPr>
      <w:r w:rsidRPr="00307028">
        <w:rPr>
          <w:rStyle w:val="FootnoteReference"/>
        </w:rPr>
        <w:footnoteRef/>
      </w:r>
      <w:r w:rsidRPr="00307028">
        <w:t xml:space="preserve"> Datu avots: OECD, PVO</w:t>
      </w:r>
    </w:p>
  </w:footnote>
  <w:footnote w:id="45">
    <w:p w14:paraId="25E77A0D" w14:textId="77777777" w:rsidR="00FD7666" w:rsidRPr="00307028" w:rsidRDefault="00FD7666" w:rsidP="00FD7666">
      <w:pPr>
        <w:pStyle w:val="FootnoteText"/>
      </w:pPr>
      <w:r w:rsidRPr="00307028">
        <w:rPr>
          <w:rStyle w:val="FootnoteReference"/>
        </w:rPr>
        <w:footnoteRef/>
      </w:r>
      <w:r w:rsidRPr="00307028">
        <w:t xml:space="preserve"> Datu avots: Vašingtonas Universitātes Veselības metrikas un vērtēšanas institūts</w:t>
      </w:r>
    </w:p>
  </w:footnote>
  <w:footnote w:id="46">
    <w:p w14:paraId="3C4206A9" w14:textId="77777777" w:rsidR="00FD7666" w:rsidRPr="00307028" w:rsidRDefault="00FD7666" w:rsidP="00FD7666">
      <w:pPr>
        <w:pStyle w:val="FootnoteText"/>
      </w:pPr>
      <w:r w:rsidRPr="00307028">
        <w:rPr>
          <w:rStyle w:val="FootnoteReference"/>
        </w:rPr>
        <w:footnoteRef/>
      </w:r>
      <w:r w:rsidRPr="00307028">
        <w:t xml:space="preserve"> Datu avots: Vašingtonas Universitātes Veselības metrikas un vērtēšanas institūts</w:t>
      </w:r>
    </w:p>
  </w:footnote>
  <w:footnote w:id="47">
    <w:p w14:paraId="4C06553D" w14:textId="77777777" w:rsidR="00FD7666" w:rsidRPr="00307028" w:rsidRDefault="00FD7666" w:rsidP="00FD7666">
      <w:pPr>
        <w:pStyle w:val="FootnoteText"/>
      </w:pPr>
      <w:r w:rsidRPr="00307028">
        <w:rPr>
          <w:rStyle w:val="FootnoteReference"/>
        </w:rPr>
        <w:footnoteRef/>
      </w:r>
      <w:r w:rsidRPr="00307028">
        <w:t xml:space="preserve"> Datu avots: Vašingtonas Universitātes Veselības metrikas un vērtēšanas institūts</w:t>
      </w:r>
    </w:p>
  </w:footnote>
  <w:footnote w:id="48">
    <w:p w14:paraId="2A00E8D1" w14:textId="77777777" w:rsidR="00FD7666" w:rsidRPr="00307028" w:rsidRDefault="00FD7666" w:rsidP="00FD7666">
      <w:pPr>
        <w:pStyle w:val="FootnoteText"/>
      </w:pPr>
      <w:r w:rsidRPr="00307028">
        <w:rPr>
          <w:rStyle w:val="FootnoteReference"/>
        </w:rPr>
        <w:footnoteRef/>
      </w:r>
      <w:r w:rsidRPr="00307028">
        <w:t xml:space="preserve"> Datu avots: OECD</w:t>
      </w:r>
    </w:p>
  </w:footnote>
  <w:footnote w:id="49">
    <w:p w14:paraId="7FF063BA" w14:textId="77777777" w:rsidR="00FD7666" w:rsidRPr="00307028" w:rsidRDefault="00FD7666" w:rsidP="00FD7666">
      <w:pPr>
        <w:pStyle w:val="FootnoteText"/>
      </w:pPr>
      <w:r w:rsidRPr="00307028">
        <w:rPr>
          <w:rStyle w:val="FootnoteReference"/>
        </w:rPr>
        <w:footnoteRef/>
      </w:r>
      <w:r w:rsidRPr="00307028">
        <w:t xml:space="preserve"> Datu avots: Eurostat</w:t>
      </w:r>
    </w:p>
  </w:footnote>
  <w:footnote w:id="50">
    <w:p w14:paraId="442ED38D" w14:textId="77777777" w:rsidR="00FD7666" w:rsidRPr="00307028" w:rsidRDefault="00FD7666" w:rsidP="00FD7666">
      <w:pPr>
        <w:pStyle w:val="FootnoteText"/>
      </w:pPr>
      <w:r w:rsidRPr="00307028">
        <w:rPr>
          <w:rStyle w:val="FootnoteReference"/>
        </w:rPr>
        <w:footnoteRef/>
      </w:r>
      <w:r w:rsidRPr="00307028">
        <w:t xml:space="preserve"> Datu avots: OECD</w:t>
      </w:r>
    </w:p>
  </w:footnote>
  <w:footnote w:id="51">
    <w:p w14:paraId="5376A129" w14:textId="77777777" w:rsidR="00FD7666" w:rsidRPr="00307028" w:rsidRDefault="00FD7666" w:rsidP="00FD7666">
      <w:pPr>
        <w:pStyle w:val="FootnoteText"/>
      </w:pPr>
      <w:r w:rsidRPr="00307028">
        <w:rPr>
          <w:rStyle w:val="FootnoteReference"/>
        </w:rPr>
        <w:footnoteRef/>
      </w:r>
      <w:r w:rsidRPr="00307028">
        <w:t xml:space="preserve"> Datu avots: OECD</w:t>
      </w:r>
    </w:p>
  </w:footnote>
  <w:footnote w:id="52">
    <w:p w14:paraId="0911930A" w14:textId="77777777" w:rsidR="00FD7666" w:rsidRPr="00307028" w:rsidRDefault="00FD7666" w:rsidP="00FD7666">
      <w:pPr>
        <w:pStyle w:val="FootnoteText"/>
      </w:pPr>
      <w:r w:rsidRPr="00307028">
        <w:rPr>
          <w:rStyle w:val="FootnoteReference"/>
        </w:rPr>
        <w:footnoteRef/>
      </w:r>
      <w:r w:rsidRPr="00307028">
        <w:t xml:space="preserve"> Datu avots: Eurostat</w:t>
      </w:r>
    </w:p>
  </w:footnote>
  <w:footnote w:id="53">
    <w:p w14:paraId="0242A4C1" w14:textId="77777777" w:rsidR="00FD7666" w:rsidRPr="00307028" w:rsidRDefault="00FD7666" w:rsidP="00FD7666">
      <w:pPr>
        <w:pStyle w:val="FootnoteText"/>
      </w:pPr>
      <w:r w:rsidRPr="00307028">
        <w:rPr>
          <w:rStyle w:val="FootnoteReference"/>
        </w:rPr>
        <w:footnoteRef/>
      </w:r>
      <w:r w:rsidRPr="00307028">
        <w:t xml:space="preserve"> Datu avots: Eurostat</w:t>
      </w:r>
    </w:p>
  </w:footnote>
  <w:footnote w:id="54">
    <w:p w14:paraId="4ABA56C7" w14:textId="16B255C9" w:rsidR="009A11B4" w:rsidRPr="00307028" w:rsidRDefault="009A11B4" w:rsidP="009A11B4">
      <w:pPr>
        <w:pStyle w:val="FootnoteText"/>
      </w:pPr>
      <w:r w:rsidRPr="00307028">
        <w:rPr>
          <w:rStyle w:val="FootnoteReference"/>
        </w:rPr>
        <w:footnoteRef/>
      </w:r>
      <w:r w:rsidRPr="00307028">
        <w:t xml:space="preserve"> Augstskolu likuma 4.</w:t>
      </w:r>
      <w:r w:rsidR="00C35142" w:rsidRPr="00307028">
        <w:t> </w:t>
      </w:r>
      <w:r w:rsidRPr="00307028">
        <w:t>pants</w:t>
      </w:r>
    </w:p>
  </w:footnote>
  <w:footnote w:id="55">
    <w:p w14:paraId="206629F3" w14:textId="77777777" w:rsidR="00FD7666" w:rsidRPr="00307028" w:rsidRDefault="00FD7666" w:rsidP="00FD7666">
      <w:pPr>
        <w:pStyle w:val="FootnoteText"/>
      </w:pPr>
      <w:r w:rsidRPr="00307028">
        <w:rPr>
          <w:rStyle w:val="FootnoteReference"/>
        </w:rPr>
        <w:footnoteRef/>
      </w:r>
      <w:r w:rsidRPr="00307028">
        <w:t xml:space="preserve"> Datu avots: Uzņēmumu reģistrs</w:t>
      </w:r>
    </w:p>
  </w:footnote>
  <w:footnote w:id="56">
    <w:p w14:paraId="0A64030E" w14:textId="77777777" w:rsidR="00FD7666" w:rsidRPr="00307028" w:rsidRDefault="00FD7666" w:rsidP="00FD7666">
      <w:pPr>
        <w:pStyle w:val="FootnoteText"/>
      </w:pPr>
      <w:r w:rsidRPr="00307028">
        <w:rPr>
          <w:rStyle w:val="FootnoteReference"/>
        </w:rPr>
        <w:footnoteRef/>
      </w:r>
      <w:r w:rsidRPr="00307028">
        <w:t xml:space="preserve"> Datu avots: Uzņēmumu reģistrs</w:t>
      </w:r>
    </w:p>
  </w:footnote>
  <w:footnote w:id="57">
    <w:p w14:paraId="39D5F745" w14:textId="77777777" w:rsidR="00FD7666" w:rsidRPr="00307028" w:rsidRDefault="00FD7666" w:rsidP="00FD7666">
      <w:pPr>
        <w:pStyle w:val="FootnoteText"/>
      </w:pPr>
      <w:r w:rsidRPr="00307028">
        <w:rPr>
          <w:rStyle w:val="FootnoteReference"/>
        </w:rPr>
        <w:footnoteRef/>
      </w:r>
      <w:r w:rsidRPr="00307028">
        <w:t xml:space="preserve"> Datu avots: Uzņēmumu reģistrs</w:t>
      </w:r>
    </w:p>
  </w:footnote>
  <w:footnote w:id="58">
    <w:p w14:paraId="607BDAF8"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59">
    <w:p w14:paraId="0A8C522F"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60">
    <w:p w14:paraId="443992BE"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61">
    <w:p w14:paraId="6FBF494E"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62">
    <w:p w14:paraId="186C1DB7"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63">
    <w:p w14:paraId="06BCAA02" w14:textId="77777777" w:rsidR="00FD7666" w:rsidRPr="00307028" w:rsidRDefault="00FD7666" w:rsidP="00FD7666">
      <w:pPr>
        <w:pStyle w:val="FootnoteText"/>
      </w:pPr>
      <w:r w:rsidRPr="00307028">
        <w:rPr>
          <w:rStyle w:val="FootnoteReference"/>
        </w:rPr>
        <w:footnoteRef/>
      </w:r>
      <w:r w:rsidRPr="00307028">
        <w:t xml:space="preserve"> Datu avots: Veselības informācijas sistēma</w:t>
      </w:r>
    </w:p>
  </w:footnote>
  <w:footnote w:id="64">
    <w:p w14:paraId="0ED2CEDE" w14:textId="05755406" w:rsidR="00FD7666" w:rsidRPr="00307028" w:rsidRDefault="00FD7666" w:rsidP="00FD7666">
      <w:pPr>
        <w:pStyle w:val="FootnoteText"/>
      </w:pPr>
      <w:r w:rsidRPr="00307028">
        <w:rPr>
          <w:rStyle w:val="FootnoteReference"/>
        </w:rPr>
        <w:footnoteRef/>
      </w:r>
      <w:r w:rsidRPr="00307028">
        <w:t xml:space="preserve"> PVO pētījums “Budgetary space for health in the Republic of Tajikistan: options for more public resources</w:t>
      </w:r>
      <w:r w:rsidR="00697E5F" w:rsidRPr="00307028">
        <w:t>”</w:t>
      </w:r>
      <w:r w:rsidRPr="00307028">
        <w:t>.</w:t>
      </w:r>
    </w:p>
  </w:footnote>
  <w:footnote w:id="65">
    <w:p w14:paraId="109BEC8B" w14:textId="5CA015B6" w:rsidR="00A673DB" w:rsidRPr="00307028" w:rsidRDefault="00A673DB">
      <w:pPr>
        <w:pStyle w:val="FootnoteText"/>
      </w:pPr>
      <w:r w:rsidRPr="00307028">
        <w:rPr>
          <w:rStyle w:val="FootnoteReference"/>
        </w:rPr>
        <w:footnoteRef/>
      </w:r>
      <w:r w:rsidRPr="00307028">
        <w:t xml:space="preserve"> </w:t>
      </w:r>
      <w:hyperlink r:id="rId17" w:anchor="2020-gads" w:history="1">
        <w:r w:rsidRPr="00307028">
          <w:rPr>
            <w:rStyle w:val="Hyperlink"/>
          </w:rPr>
          <w:t>https://www.fm.gov.lv/lv/izdevumu-parskatisana#2020-gads</w:t>
        </w:r>
      </w:hyperlink>
      <w:r w:rsidRPr="00307028">
        <w:t xml:space="preserve"> </w:t>
      </w:r>
    </w:p>
  </w:footnote>
  <w:footnote w:id="66">
    <w:p w14:paraId="5FB66D00" w14:textId="77777777" w:rsidR="00C27709" w:rsidRPr="00307028" w:rsidRDefault="00C27709" w:rsidP="00C27709">
      <w:pPr>
        <w:pStyle w:val="FootnoteText"/>
      </w:pPr>
      <w:r w:rsidRPr="00307028">
        <w:rPr>
          <w:rStyle w:val="FootnoteReference"/>
        </w:rPr>
        <w:footnoteRef/>
      </w:r>
      <w:r w:rsidRPr="00307028">
        <w:t xml:space="preserve"> MK 20.08.2019. protokola Nr. 35 26. </w:t>
      </w:r>
      <w:r w:rsidRPr="00307028">
        <w:rPr>
          <w:rFonts w:cs="Times New Roman"/>
        </w:rPr>
        <w:t>§</w:t>
      </w:r>
      <w:r w:rsidRPr="00307028">
        <w:t xml:space="preserve"> 24. punkts.</w:t>
      </w:r>
    </w:p>
  </w:footnote>
  <w:footnote w:id="67">
    <w:p w14:paraId="7480947B" w14:textId="77777777" w:rsidR="00C27709" w:rsidRPr="00307028" w:rsidRDefault="00C27709" w:rsidP="00C27709">
      <w:pPr>
        <w:pStyle w:val="FootnoteText"/>
      </w:pPr>
      <w:r w:rsidRPr="00307028">
        <w:rPr>
          <w:rStyle w:val="FootnoteReference"/>
        </w:rPr>
        <w:footnoteRef/>
      </w:r>
      <w:r w:rsidRPr="00307028">
        <w:t xml:space="preserve"> MK 20.08.2019. protokola Nr. 35 26. </w:t>
      </w:r>
      <w:r w:rsidRPr="00307028">
        <w:rPr>
          <w:rFonts w:cs="Times New Roman"/>
        </w:rPr>
        <w:t>§</w:t>
      </w:r>
      <w:r w:rsidRPr="00307028">
        <w:t xml:space="preserve"> 25. un 28. punkts.</w:t>
      </w:r>
    </w:p>
  </w:footnote>
  <w:footnote w:id="68">
    <w:p w14:paraId="03CD19B7" w14:textId="77777777" w:rsidR="00C27709" w:rsidRPr="00307028" w:rsidRDefault="00C27709" w:rsidP="00C27709">
      <w:pPr>
        <w:pStyle w:val="FootnoteText"/>
      </w:pPr>
      <w:r w:rsidRPr="00307028">
        <w:rPr>
          <w:rStyle w:val="FootnoteReference"/>
        </w:rPr>
        <w:footnoteRef/>
      </w:r>
      <w:r w:rsidRPr="00307028">
        <w:t xml:space="preserve"> MK 20.08.2019. protokola Nr. 35 26. </w:t>
      </w:r>
      <w:r w:rsidRPr="00307028">
        <w:rPr>
          <w:rFonts w:cs="Times New Roman"/>
        </w:rPr>
        <w:t>§</w:t>
      </w:r>
      <w:r w:rsidRPr="00307028">
        <w:t xml:space="preserve"> 26. punkts.</w:t>
      </w:r>
    </w:p>
  </w:footnote>
  <w:footnote w:id="69">
    <w:p w14:paraId="6E602BAA" w14:textId="77777777" w:rsidR="00C27709" w:rsidRPr="00307028" w:rsidRDefault="00C27709" w:rsidP="00C27709">
      <w:pPr>
        <w:pStyle w:val="FootnoteText"/>
      </w:pPr>
      <w:r w:rsidRPr="00307028">
        <w:rPr>
          <w:rStyle w:val="FootnoteReference"/>
        </w:rPr>
        <w:footnoteRef/>
      </w:r>
      <w:r w:rsidRPr="00307028">
        <w:t xml:space="preserve"> MK 20.08.2019. protokola Nr. 35 26. </w:t>
      </w:r>
      <w:r w:rsidRPr="00307028">
        <w:rPr>
          <w:rFonts w:cs="Times New Roman"/>
        </w:rPr>
        <w:t>§</w:t>
      </w:r>
      <w:r w:rsidRPr="00307028">
        <w:t xml:space="preserve"> 27. punkts.</w:t>
      </w:r>
    </w:p>
  </w:footnote>
  <w:footnote w:id="70">
    <w:p w14:paraId="18E8D3D7" w14:textId="54E16300" w:rsidR="007261A1" w:rsidRPr="00307028" w:rsidRDefault="007261A1">
      <w:pPr>
        <w:pStyle w:val="FootnoteText"/>
        <w:rPr>
          <w:szCs w:val="18"/>
        </w:rPr>
      </w:pPr>
      <w:r w:rsidRPr="00307028">
        <w:rPr>
          <w:rStyle w:val="FootnoteReference"/>
          <w:szCs w:val="18"/>
        </w:rPr>
        <w:footnoteRef/>
      </w:r>
      <w:r w:rsidRPr="00307028">
        <w:rPr>
          <w:szCs w:val="18"/>
        </w:rPr>
        <w:t xml:space="preserve"> </w:t>
      </w:r>
      <w:r w:rsidRPr="00307028">
        <w:rPr>
          <w:kern w:val="2"/>
          <w:szCs w:val="18"/>
          <w14:ligatures w14:val="standardContextual"/>
        </w:rPr>
        <w:t>LLU mainījusi nosaukumu uz Latvijas Biozinātņu un tehnoloģiju universitāti</w:t>
      </w:r>
    </w:p>
  </w:footnote>
  <w:footnote w:id="71">
    <w:p w14:paraId="0F0F842B" w14:textId="15207549" w:rsidR="00A26EAE" w:rsidRPr="00307028" w:rsidRDefault="00A26EAE" w:rsidP="0044796B">
      <w:pPr>
        <w:pStyle w:val="FootnoteText"/>
        <w:jc w:val="both"/>
        <w:rPr>
          <w:rFonts w:cs="Times New Roman"/>
          <w:sz w:val="16"/>
          <w:szCs w:val="16"/>
        </w:rPr>
      </w:pPr>
      <w:r w:rsidRPr="00307028">
        <w:rPr>
          <w:rStyle w:val="FootnoteReference"/>
          <w:rFonts w:cs="Times New Roman"/>
          <w:szCs w:val="18"/>
        </w:rPr>
        <w:footnoteRef/>
      </w:r>
      <w:r w:rsidRPr="00307028">
        <w:rPr>
          <w:rFonts w:cs="Times New Roman"/>
          <w:szCs w:val="18"/>
        </w:rPr>
        <w:t xml:space="preserve"> </w:t>
      </w:r>
      <w:r w:rsidR="00031C67">
        <w:rPr>
          <w:rFonts w:cs="Times New Roman"/>
          <w:szCs w:val="18"/>
        </w:rPr>
        <w:t>FM apkopotā informācija</w:t>
      </w:r>
      <w:r w:rsidRPr="00307028">
        <w:rPr>
          <w:rFonts w:cs="Times New Roman"/>
          <w:sz w:val="16"/>
          <w:szCs w:val="16"/>
        </w:rPr>
        <w:t xml:space="preserve"> </w:t>
      </w:r>
    </w:p>
  </w:footnote>
  <w:footnote w:id="72">
    <w:p w14:paraId="1538DC0E" w14:textId="02CA3E52" w:rsidR="00B42A37" w:rsidRPr="00307028" w:rsidRDefault="00B42A37" w:rsidP="0044796B">
      <w:pPr>
        <w:pStyle w:val="FootnoteText"/>
        <w:jc w:val="both"/>
        <w:rPr>
          <w:rFonts w:cs="Times New Roman"/>
          <w:szCs w:val="18"/>
        </w:rPr>
      </w:pPr>
      <w:r w:rsidRPr="00307028">
        <w:rPr>
          <w:rStyle w:val="FootnoteReference"/>
          <w:rFonts w:cs="Times New Roman"/>
          <w:szCs w:val="18"/>
        </w:rPr>
        <w:footnoteRef/>
      </w:r>
      <w:r w:rsidRPr="00307028">
        <w:rPr>
          <w:rFonts w:cs="Times New Roman"/>
          <w:szCs w:val="18"/>
        </w:rPr>
        <w:t xml:space="preserve"> </w:t>
      </w:r>
      <w:hyperlink r:id="rId18" w:history="1">
        <w:r w:rsidR="00097D0A" w:rsidRPr="00247BB1">
          <w:rPr>
            <w:rStyle w:val="Hyperlink"/>
            <w:rFonts w:cs="Times New Roman"/>
            <w:szCs w:val="18"/>
          </w:rPr>
          <w:t>https://lzp.gov.lv/programmas/valsts-petijumu-programmas/</w:t>
        </w:r>
      </w:hyperlink>
      <w:r w:rsidRPr="00307028">
        <w:rPr>
          <w:rFonts w:cs="Times New Roman"/>
          <w:szCs w:val="18"/>
        </w:rPr>
        <w:t xml:space="preserve"> </w:t>
      </w:r>
    </w:p>
  </w:footnote>
  <w:footnote w:id="73">
    <w:p w14:paraId="415EB08B" w14:textId="77777777" w:rsidR="00B42A37" w:rsidRPr="00307028" w:rsidRDefault="00B42A37" w:rsidP="00B42A37">
      <w:pPr>
        <w:pStyle w:val="FootnoteText"/>
        <w:rPr>
          <w:rFonts w:cs="Times New Roman"/>
          <w:szCs w:val="18"/>
        </w:rPr>
      </w:pPr>
      <w:r w:rsidRPr="00307028">
        <w:rPr>
          <w:rStyle w:val="FootnoteReference"/>
          <w:rFonts w:cs="Times New Roman"/>
          <w:szCs w:val="18"/>
        </w:rPr>
        <w:footnoteRef/>
      </w:r>
      <w:r w:rsidRPr="00307028">
        <w:rPr>
          <w:rFonts w:cs="Times New Roman"/>
          <w:szCs w:val="18"/>
        </w:rPr>
        <w:t xml:space="preserve"> </w:t>
      </w:r>
      <w:hyperlink r:id="rId19" w:history="1">
        <w:r w:rsidRPr="00307028">
          <w:rPr>
            <w:rStyle w:val="Hyperlink"/>
            <w:rFonts w:cs="Times New Roman"/>
            <w:szCs w:val="18"/>
          </w:rPr>
          <w:t>https://likumi.lv/doc.php?id=107337</w:t>
        </w:r>
      </w:hyperlink>
      <w:r w:rsidRPr="00307028">
        <w:rPr>
          <w:rFonts w:cs="Times New Roman"/>
          <w:szCs w:val="18"/>
        </w:rPr>
        <w:t xml:space="preserve"> </w:t>
      </w:r>
    </w:p>
  </w:footnote>
  <w:footnote w:id="74">
    <w:p w14:paraId="3161A735" w14:textId="77777777" w:rsidR="003D7C30" w:rsidRPr="00307028" w:rsidRDefault="003D7C30" w:rsidP="003D7C30">
      <w:pPr>
        <w:pStyle w:val="FootnoteText"/>
      </w:pPr>
      <w:r w:rsidRPr="00307028">
        <w:rPr>
          <w:rStyle w:val="FootnoteReference"/>
          <w:rFonts w:cs="Times New Roman"/>
          <w:szCs w:val="18"/>
        </w:rPr>
        <w:footnoteRef/>
      </w:r>
      <w:r w:rsidRPr="00307028">
        <w:rPr>
          <w:rFonts w:cs="Times New Roman"/>
          <w:szCs w:val="18"/>
        </w:rPr>
        <w:t xml:space="preserve"> </w:t>
      </w:r>
      <w:hyperlink r:id="rId20" w:history="1">
        <w:r w:rsidRPr="00307028">
          <w:rPr>
            <w:rStyle w:val="Hyperlink"/>
            <w:rFonts w:cs="Times New Roman"/>
            <w:szCs w:val="18"/>
          </w:rPr>
          <w:t>https://likumi.lv/ta/id/301438-valsts-petijumu-programmu-projektu-istenosanas-kartiba</w:t>
        </w:r>
      </w:hyperlink>
      <w:r w:rsidRPr="00307028">
        <w:rPr>
          <w:sz w:val="16"/>
          <w:szCs w:val="16"/>
        </w:rPr>
        <w:t xml:space="preserve"> </w:t>
      </w:r>
    </w:p>
  </w:footnote>
  <w:footnote w:id="75">
    <w:p w14:paraId="572453BD" w14:textId="77777777" w:rsidR="003D7C30" w:rsidRPr="00307028" w:rsidRDefault="003D7C30" w:rsidP="003D7C30">
      <w:pPr>
        <w:pStyle w:val="FootnoteText"/>
        <w:rPr>
          <w:rFonts w:cs="Times New Roman"/>
          <w:szCs w:val="18"/>
        </w:rPr>
      </w:pPr>
      <w:r w:rsidRPr="00307028">
        <w:rPr>
          <w:rStyle w:val="FootnoteReference"/>
          <w:rFonts w:cs="Times New Roman"/>
          <w:szCs w:val="18"/>
        </w:rPr>
        <w:footnoteRef/>
      </w:r>
      <w:r w:rsidRPr="00307028">
        <w:rPr>
          <w:rFonts w:cs="Times New Roman"/>
          <w:szCs w:val="18"/>
        </w:rPr>
        <w:t xml:space="preserve"> </w:t>
      </w:r>
      <w:hyperlink r:id="rId21" w:history="1">
        <w:r w:rsidRPr="00307028">
          <w:rPr>
            <w:rStyle w:val="Hyperlink"/>
            <w:rFonts w:cs="Times New Roman"/>
            <w:szCs w:val="18"/>
          </w:rPr>
          <w:t>https://www.lzp.gov.lv/lv/vpp-parskati</w:t>
        </w:r>
      </w:hyperlink>
      <w:r w:rsidRPr="00307028">
        <w:rPr>
          <w:rFonts w:cs="Times New Roman"/>
          <w:szCs w:val="18"/>
        </w:rPr>
        <w:t xml:space="preserve"> </w:t>
      </w:r>
    </w:p>
  </w:footnote>
  <w:footnote w:id="76">
    <w:p w14:paraId="27AD5573" w14:textId="77777777" w:rsidR="003D7C30" w:rsidRPr="00307028" w:rsidRDefault="003D7C30" w:rsidP="003D7C30">
      <w:pPr>
        <w:pStyle w:val="FootnoteText"/>
        <w:rPr>
          <w:rFonts w:cs="Times New Roman"/>
        </w:rPr>
      </w:pPr>
      <w:r w:rsidRPr="00307028">
        <w:rPr>
          <w:rStyle w:val="FootnoteReference"/>
          <w:rFonts w:cs="Times New Roman"/>
          <w:szCs w:val="18"/>
        </w:rPr>
        <w:footnoteRef/>
      </w:r>
      <w:r w:rsidRPr="00307028">
        <w:rPr>
          <w:rFonts w:cs="Times New Roman"/>
          <w:szCs w:val="18"/>
        </w:rPr>
        <w:t xml:space="preserve"> </w:t>
      </w:r>
      <w:hyperlink r:id="rId22" w:history="1">
        <w:r w:rsidRPr="00307028">
          <w:rPr>
            <w:rStyle w:val="Hyperlink"/>
            <w:rFonts w:cs="Times New Roman"/>
            <w:szCs w:val="18"/>
          </w:rPr>
          <w:t>https://lzp.gov.lv/programmas/valsts-petijumu-programmas/</w:t>
        </w:r>
      </w:hyperlink>
      <w:r w:rsidRPr="00307028">
        <w:rPr>
          <w:rFonts w:cs="Times New Roman"/>
          <w:szCs w:val="18"/>
        </w:rPr>
        <w:t xml:space="preserve"> , skatīts 23.03.2023.</w:t>
      </w:r>
    </w:p>
  </w:footnote>
  <w:footnote w:id="77">
    <w:p w14:paraId="28C5C8FD" w14:textId="77777777" w:rsidR="0080220D" w:rsidRPr="00307028" w:rsidRDefault="0080220D" w:rsidP="0080220D">
      <w:pPr>
        <w:pStyle w:val="FootnoteText"/>
        <w:rPr>
          <w:rFonts w:cs="Times New Roman"/>
          <w:szCs w:val="18"/>
        </w:rPr>
      </w:pPr>
      <w:r w:rsidRPr="00307028">
        <w:rPr>
          <w:szCs w:val="18"/>
          <w:vertAlign w:val="superscript"/>
        </w:rPr>
        <w:footnoteRef/>
      </w:r>
      <w:r w:rsidRPr="00307028">
        <w:rPr>
          <w:rFonts w:cs="Times New Roman"/>
          <w:szCs w:val="18"/>
          <w:vertAlign w:val="superscript"/>
        </w:rPr>
        <w:t xml:space="preserve"> </w:t>
      </w:r>
      <w:r w:rsidRPr="00307028">
        <w:rPr>
          <w:rFonts w:cs="Times New Roman"/>
          <w:szCs w:val="18"/>
        </w:rPr>
        <w:t>VPP noslēguma ziņojumos iekļautā informācija, LZP sniegtā informācija</w:t>
      </w:r>
    </w:p>
  </w:footnote>
  <w:footnote w:id="78">
    <w:p w14:paraId="46BC6D8C" w14:textId="758ED991" w:rsidR="0080220D" w:rsidRPr="00307028" w:rsidRDefault="0080220D" w:rsidP="0080220D">
      <w:pPr>
        <w:pStyle w:val="FootnoteText"/>
        <w:rPr>
          <w:rFonts w:cs="Times New Roman"/>
          <w:sz w:val="16"/>
          <w:szCs w:val="16"/>
        </w:rPr>
      </w:pPr>
      <w:r w:rsidRPr="00307028">
        <w:rPr>
          <w:rFonts w:cs="Times New Roman"/>
          <w:szCs w:val="18"/>
          <w:vertAlign w:val="superscript"/>
        </w:rPr>
        <w:footnoteRef/>
      </w:r>
      <w:r w:rsidRPr="00307028">
        <w:rPr>
          <w:rFonts w:cs="Times New Roman"/>
          <w:szCs w:val="18"/>
          <w:vertAlign w:val="superscript"/>
        </w:rPr>
        <w:t xml:space="preserve"> </w:t>
      </w:r>
      <w:r w:rsidR="003873CF" w:rsidRPr="00307028">
        <w:rPr>
          <w:rFonts w:cs="Times New Roman"/>
          <w:szCs w:val="18"/>
        </w:rPr>
        <w:t>I</w:t>
      </w:r>
      <w:r w:rsidRPr="00307028">
        <w:rPr>
          <w:rFonts w:cs="Times New Roman"/>
          <w:szCs w:val="18"/>
        </w:rPr>
        <w:t>zdevumu pārskatīšanas darba grupas sanāksm</w:t>
      </w:r>
      <w:r w:rsidR="003873CF" w:rsidRPr="00307028">
        <w:rPr>
          <w:rFonts w:cs="Times New Roman"/>
          <w:szCs w:val="18"/>
        </w:rPr>
        <w:t>e</w:t>
      </w:r>
      <w:r w:rsidRPr="00307028">
        <w:rPr>
          <w:rFonts w:cs="Times New Roman"/>
          <w:szCs w:val="18"/>
        </w:rPr>
        <w:t xml:space="preserve"> ar IZM, 2023.</w:t>
      </w:r>
      <w:r w:rsidR="003873CF" w:rsidRPr="00307028">
        <w:rPr>
          <w:rFonts w:cs="Times New Roman"/>
          <w:szCs w:val="18"/>
        </w:rPr>
        <w:t xml:space="preserve"> gada 7. jūnijā.</w:t>
      </w:r>
    </w:p>
  </w:footnote>
  <w:footnote w:id="79">
    <w:p w14:paraId="45C37351" w14:textId="40FB4896" w:rsidR="0080220D" w:rsidRPr="00307028" w:rsidRDefault="0080220D" w:rsidP="0080220D">
      <w:pPr>
        <w:pStyle w:val="FootnoteText"/>
      </w:pPr>
      <w:r w:rsidRPr="00307028">
        <w:rPr>
          <w:szCs w:val="18"/>
          <w:vertAlign w:val="superscript"/>
        </w:rPr>
        <w:footnoteRef/>
      </w:r>
      <w:r w:rsidRPr="00307028">
        <w:rPr>
          <w:rFonts w:cs="Times New Roman"/>
          <w:szCs w:val="18"/>
        </w:rPr>
        <w:t xml:space="preserve"> </w:t>
      </w:r>
      <w:hyperlink r:id="rId23" w:history="1">
        <w:r w:rsidR="00857D92" w:rsidRPr="00307028">
          <w:rPr>
            <w:rStyle w:val="Hyperlink"/>
            <w:rFonts w:cs="Times New Roman"/>
            <w:szCs w:val="18"/>
          </w:rPr>
          <w:t>https://www.lrvk.gov.lv/lv/getrevisionfile/29630-t5V_T2CSoGsG_Igr4bvRaDmD5lDgsAte.pdf</w:t>
        </w:r>
      </w:hyperlink>
      <w:r w:rsidR="00857D92" w:rsidRPr="00307028">
        <w:rPr>
          <w:rFonts w:cs="Times New Roman"/>
          <w:szCs w:val="18"/>
        </w:rPr>
        <w:t xml:space="preserve"> </w:t>
      </w:r>
    </w:p>
  </w:footnote>
  <w:footnote w:id="80">
    <w:p w14:paraId="762BD3FF" w14:textId="77777777" w:rsidR="0080220D" w:rsidRPr="00307028" w:rsidRDefault="0080220D" w:rsidP="0080220D">
      <w:pPr>
        <w:pStyle w:val="FootnoteText"/>
        <w:rPr>
          <w:rFonts w:cs="Times New Roman"/>
        </w:rPr>
      </w:pPr>
      <w:r w:rsidRPr="00307028">
        <w:rPr>
          <w:rStyle w:val="FootnoteReference"/>
          <w:rFonts w:cs="Times New Roman"/>
          <w:szCs w:val="18"/>
        </w:rPr>
        <w:footnoteRef/>
      </w:r>
      <w:r w:rsidRPr="00307028">
        <w:rPr>
          <w:rFonts w:cs="Times New Roman"/>
          <w:szCs w:val="18"/>
        </w:rPr>
        <w:t xml:space="preserve"> FM aprēķini</w:t>
      </w:r>
    </w:p>
  </w:footnote>
  <w:footnote w:id="81">
    <w:p w14:paraId="0A70DB38" w14:textId="77777777" w:rsidR="0080220D" w:rsidRPr="00307028" w:rsidRDefault="0080220D" w:rsidP="0080220D">
      <w:pPr>
        <w:pStyle w:val="FootnoteText"/>
        <w:rPr>
          <w:szCs w:val="18"/>
        </w:rPr>
      </w:pPr>
      <w:r w:rsidRPr="00307028">
        <w:rPr>
          <w:rStyle w:val="FootnoteReference"/>
          <w:szCs w:val="18"/>
        </w:rPr>
        <w:footnoteRef/>
      </w:r>
      <w:r w:rsidRPr="00307028">
        <w:rPr>
          <w:szCs w:val="18"/>
        </w:rPr>
        <w:t xml:space="preserve"> </w:t>
      </w:r>
      <w:r w:rsidRPr="00307028">
        <w:rPr>
          <w:rFonts w:cs="Times New Roman"/>
          <w:szCs w:val="18"/>
        </w:rPr>
        <w:t>FM aprēķini</w:t>
      </w:r>
    </w:p>
  </w:footnote>
  <w:footnote w:id="82">
    <w:p w14:paraId="2696B74E" w14:textId="77777777" w:rsidR="0080220D" w:rsidRPr="00307028" w:rsidRDefault="0080220D" w:rsidP="0080220D">
      <w:pPr>
        <w:pStyle w:val="FootnoteText"/>
        <w:rPr>
          <w:rFonts w:cs="Times New Roman"/>
          <w:szCs w:val="18"/>
        </w:rPr>
      </w:pPr>
      <w:r w:rsidRPr="00307028">
        <w:rPr>
          <w:rStyle w:val="FootnoteReference"/>
          <w:rFonts w:cs="Times New Roman"/>
          <w:szCs w:val="18"/>
        </w:rPr>
        <w:footnoteRef/>
      </w:r>
      <w:r w:rsidRPr="00307028">
        <w:rPr>
          <w:rFonts w:cs="Times New Roman"/>
          <w:szCs w:val="18"/>
        </w:rPr>
        <w:t xml:space="preserve"> FM aprēķini</w:t>
      </w:r>
    </w:p>
  </w:footnote>
  <w:footnote w:id="83">
    <w:p w14:paraId="0F5BBC33" w14:textId="77777777" w:rsidR="00AC6DC0" w:rsidRPr="00307028" w:rsidRDefault="00AC6DC0" w:rsidP="00AC6DC0">
      <w:pPr>
        <w:pStyle w:val="FootnoteText"/>
        <w:jc w:val="both"/>
        <w:rPr>
          <w:rFonts w:cs="Times New Roman"/>
        </w:rPr>
      </w:pPr>
      <w:r w:rsidRPr="00307028">
        <w:rPr>
          <w:rStyle w:val="FootnoteReference"/>
          <w:rFonts w:cs="Times New Roman"/>
        </w:rPr>
        <w:footnoteRef/>
      </w:r>
      <w:r w:rsidRPr="00307028">
        <w:rPr>
          <w:rFonts w:cs="Times New Roman"/>
        </w:rPr>
        <w:t xml:space="preserve"> Pētījums par izglītības piedāvājuma pārklājumu un izglītojamo iesaisti STEM jomā (2021. gada jūnijs). Pieejams: </w:t>
      </w:r>
      <w:hyperlink r:id="rId24" w:history="1">
        <w:r w:rsidRPr="00307028">
          <w:rPr>
            <w:rStyle w:val="Hyperlink"/>
            <w:rFonts w:cs="Times New Roman"/>
            <w:color w:val="auto"/>
          </w:rPr>
          <w:t>https://www.izm.gov.lv/lv/media/12857/download?attachment</w:t>
        </w:r>
      </w:hyperlink>
      <w:r w:rsidRPr="00307028">
        <w:rPr>
          <w:rFonts w:cs="Times New Roman"/>
        </w:rPr>
        <w:t xml:space="preserve"> </w:t>
      </w:r>
    </w:p>
  </w:footnote>
  <w:footnote w:id="84">
    <w:p w14:paraId="0751F51E" w14:textId="77777777" w:rsidR="00AB1A9C" w:rsidRPr="00307028" w:rsidRDefault="00AB1A9C" w:rsidP="00AB1A9C">
      <w:pPr>
        <w:pStyle w:val="FootnoteText"/>
        <w:jc w:val="both"/>
        <w:rPr>
          <w:rFonts w:cs="Times New Roman"/>
        </w:rPr>
      </w:pPr>
      <w:r w:rsidRPr="00307028">
        <w:rPr>
          <w:rStyle w:val="FootnoteReference"/>
          <w:rFonts w:cs="Times New Roman"/>
        </w:rPr>
        <w:footnoteRef/>
      </w:r>
      <w:r w:rsidRPr="00307028">
        <w:rPr>
          <w:rFonts w:cs="Times New Roman"/>
        </w:rPr>
        <w:t xml:space="preserve"> Aprēķinos iekļauti EKK 2250, EKK 5120, EKK 5238 ietvertie izdevumi. Ar MK</w:t>
      </w:r>
      <w:r w:rsidRPr="00307028">
        <w:t xml:space="preserve"> </w:t>
      </w:r>
      <w:r w:rsidRPr="00307028">
        <w:rPr>
          <w:rFonts w:cs="Times New Roman"/>
        </w:rPr>
        <w:t>2018. gada 27. novembra noteikumiem Nr.746 tika apvienoti EKK 2252 un EKK 5121, ar MK 2019. gada 15. oktobra noteikumiem Nr.482 tika apvienoti EKK 2251 un EKK 2259.</w:t>
      </w:r>
    </w:p>
  </w:footnote>
  <w:footnote w:id="85">
    <w:p w14:paraId="6E3535FF" w14:textId="77777777" w:rsidR="00AB1A9C" w:rsidRPr="00307028" w:rsidRDefault="00AB1A9C" w:rsidP="00AB1A9C">
      <w:pPr>
        <w:pStyle w:val="FootnoteText"/>
        <w:rPr>
          <w:rFonts w:cs="Times New Roman"/>
        </w:rPr>
      </w:pPr>
      <w:r w:rsidRPr="00307028">
        <w:rPr>
          <w:rStyle w:val="FootnoteReference"/>
          <w:rFonts w:cs="Times New Roman"/>
        </w:rPr>
        <w:footnoteRef/>
      </w:r>
      <w:r w:rsidRPr="00307028">
        <w:rPr>
          <w:rFonts w:cs="Times New Roman"/>
        </w:rPr>
        <w:t xml:space="preserve"> FM dati uz 2023. gada 30. martu</w:t>
      </w:r>
    </w:p>
  </w:footnote>
  <w:footnote w:id="86">
    <w:p w14:paraId="0A655706" w14:textId="77777777" w:rsidR="00AB1A9C" w:rsidRPr="00307028" w:rsidRDefault="00AB1A9C" w:rsidP="00AB1A9C">
      <w:pPr>
        <w:pStyle w:val="FootnoteText"/>
        <w:rPr>
          <w:rFonts w:cs="Times New Roman"/>
        </w:rPr>
      </w:pPr>
      <w:r w:rsidRPr="00307028">
        <w:rPr>
          <w:rStyle w:val="FootnoteReference"/>
          <w:rFonts w:cs="Times New Roman"/>
        </w:rPr>
        <w:footnoteRef/>
      </w:r>
      <w:r w:rsidRPr="00307028">
        <w:rPr>
          <w:rFonts w:cs="Times New Roman"/>
        </w:rPr>
        <w:t xml:space="preserve"> Pamatojoties uz Valsts kancelejas 2023. gada 14. marta sniegto informāciju</w:t>
      </w:r>
    </w:p>
  </w:footnote>
  <w:footnote w:id="87">
    <w:p w14:paraId="6CC83D7F" w14:textId="77777777" w:rsidR="00AB1A9C" w:rsidRPr="00307028" w:rsidRDefault="00AB1A9C" w:rsidP="00AB1A9C">
      <w:pPr>
        <w:pStyle w:val="FootnoteText"/>
        <w:rPr>
          <w:rFonts w:cs="Times New Roman"/>
        </w:rPr>
      </w:pPr>
      <w:r w:rsidRPr="00307028">
        <w:rPr>
          <w:rStyle w:val="FootnoteReference"/>
          <w:rFonts w:cs="Times New Roman"/>
        </w:rPr>
        <w:footnoteRef/>
      </w:r>
      <w:r w:rsidRPr="00307028">
        <w:rPr>
          <w:rFonts w:cs="Times New Roman"/>
        </w:rPr>
        <w:t xml:space="preserve"> Pamatojoties uz Valsts kancelejas 2023. gada 14. marta sniegto informāciju</w:t>
      </w:r>
    </w:p>
  </w:footnote>
  <w:footnote w:id="88">
    <w:p w14:paraId="58EC1371" w14:textId="77777777" w:rsidR="00AB1A9C" w:rsidRPr="00307028" w:rsidRDefault="00AB1A9C" w:rsidP="00AB1A9C">
      <w:pPr>
        <w:pStyle w:val="FootnoteText"/>
        <w:jc w:val="both"/>
        <w:rPr>
          <w:rFonts w:cs="Times New Roman"/>
        </w:rPr>
      </w:pPr>
      <w:r w:rsidRPr="00307028">
        <w:rPr>
          <w:rStyle w:val="FootnoteReference"/>
          <w:rFonts w:cs="Times New Roman"/>
        </w:rPr>
        <w:footnoteRef/>
      </w:r>
      <w:r w:rsidRPr="00307028">
        <w:rPr>
          <w:rFonts w:cs="Times New Roman"/>
        </w:rPr>
        <w:t xml:space="preserve"> MK 2013. gada 19. februāra rīkojums Nr.57 Par koncepciju "Valsts informācijas un komunikācijas tehnoloģiju pārvaldības organizatoriskais modelis", https://likumi.lv/doc.php?id=254909</w:t>
      </w:r>
    </w:p>
  </w:footnote>
  <w:footnote w:id="89">
    <w:p w14:paraId="73B2BBE0" w14:textId="77777777" w:rsidR="00AB1A9C" w:rsidRPr="00307028" w:rsidRDefault="00AB1A9C" w:rsidP="00AB1A9C">
      <w:pPr>
        <w:pStyle w:val="FootnoteText"/>
        <w:jc w:val="both"/>
        <w:rPr>
          <w:rFonts w:cs="Times New Roman"/>
        </w:rPr>
      </w:pPr>
      <w:r w:rsidRPr="00307028">
        <w:rPr>
          <w:rFonts w:cs="Times New Roman"/>
          <w:vertAlign w:val="superscript"/>
        </w:rPr>
        <w:footnoteRef/>
      </w:r>
      <w:r w:rsidRPr="00307028">
        <w:rPr>
          <w:rFonts w:cs="Times New Roman"/>
        </w:rPr>
        <w:t xml:space="preserve"> Digitālās transformācijas pamatnostādnes 2021.–2027. gadam, https://likumi.lv/ta/id/324715-par-digitalas-transformacijas-pamatnostadnem-20212027-gadam</w:t>
      </w:r>
    </w:p>
  </w:footnote>
  <w:footnote w:id="90">
    <w:p w14:paraId="2ADE7ACF" w14:textId="77777777" w:rsidR="00AB1A9C" w:rsidRPr="00307028" w:rsidRDefault="00AB1A9C" w:rsidP="00AB1A9C">
      <w:pPr>
        <w:pStyle w:val="FootnoteText"/>
        <w:jc w:val="both"/>
        <w:rPr>
          <w:rFonts w:cs="Times New Roman"/>
        </w:rPr>
      </w:pPr>
      <w:r w:rsidRPr="00307028">
        <w:rPr>
          <w:rStyle w:val="FootnoteReference"/>
          <w:rFonts w:cs="Times New Roman"/>
        </w:rPr>
        <w:footnoteRef/>
      </w:r>
      <w:r w:rsidRPr="00307028">
        <w:rPr>
          <w:rFonts w:cs="Times New Roman"/>
        </w:rPr>
        <w:t xml:space="preserve"> Pamatojoties uz Valsts kancelejas 2023. gada 14. marta sniegto informāciju un FM datiem</w:t>
      </w:r>
    </w:p>
  </w:footnote>
  <w:footnote w:id="91">
    <w:p w14:paraId="24648264" w14:textId="62D0F167" w:rsidR="00925688" w:rsidRPr="00307028" w:rsidRDefault="00925688" w:rsidP="00925688">
      <w:pPr>
        <w:pStyle w:val="FootnoteText"/>
        <w:jc w:val="both"/>
        <w:rPr>
          <w:rFonts w:cs="Times New Roman"/>
          <w:szCs w:val="18"/>
        </w:rPr>
      </w:pPr>
      <w:r w:rsidRPr="00307028">
        <w:rPr>
          <w:rStyle w:val="FootnoteReference"/>
          <w:rFonts w:cs="Times New Roman"/>
          <w:szCs w:val="18"/>
        </w:rPr>
        <w:footnoteRef/>
      </w:r>
      <w:r w:rsidRPr="00307028">
        <w:rPr>
          <w:rFonts w:cs="Times New Roman"/>
          <w:szCs w:val="18"/>
        </w:rPr>
        <w:t xml:space="preserve"> V</w:t>
      </w:r>
      <w:r w:rsidR="009D0EE6" w:rsidRPr="00307028">
        <w:rPr>
          <w:rFonts w:cs="Times New Roman"/>
          <w:szCs w:val="18"/>
        </w:rPr>
        <w:t xml:space="preserve">K </w:t>
      </w:r>
      <w:r w:rsidRPr="00307028">
        <w:rPr>
          <w:rFonts w:cs="Times New Roman"/>
          <w:szCs w:val="18"/>
        </w:rPr>
        <w:t>veica valsts pārvaldē nodarbināto aptauju ārkārtējās situācijas laikā (27.03.</w:t>
      </w:r>
      <w:r w:rsidR="009D0EE6" w:rsidRPr="00307028">
        <w:rPr>
          <w:rFonts w:cs="Times New Roman"/>
          <w:szCs w:val="18"/>
        </w:rPr>
        <w:t xml:space="preserve"> </w:t>
      </w:r>
      <w:r w:rsidR="009D0EE6" w:rsidRPr="00307028">
        <w:rPr>
          <w:kern w:val="2"/>
          <w:szCs w:val="28"/>
          <w14:ligatures w14:val="standardContextual"/>
        </w:rPr>
        <w:t xml:space="preserve">– </w:t>
      </w:r>
      <w:r w:rsidRPr="00307028">
        <w:rPr>
          <w:rFonts w:cs="Times New Roman"/>
          <w:szCs w:val="18"/>
        </w:rPr>
        <w:t>02.04.2020.); tajā piedalījās 3 206 respondenti</w:t>
      </w:r>
    </w:p>
  </w:footnote>
  <w:footnote w:id="92">
    <w:p w14:paraId="3EEB05C1" w14:textId="719D0677" w:rsidR="00925688" w:rsidRPr="00307028" w:rsidRDefault="00925688" w:rsidP="00925688">
      <w:pPr>
        <w:pStyle w:val="FootnoteText"/>
        <w:jc w:val="both"/>
        <w:rPr>
          <w:rFonts w:cs="Times New Roman"/>
          <w:szCs w:val="18"/>
        </w:rPr>
      </w:pPr>
      <w:r w:rsidRPr="00307028">
        <w:rPr>
          <w:rStyle w:val="FootnoteReference"/>
          <w:rFonts w:cs="Times New Roman"/>
          <w:szCs w:val="18"/>
        </w:rPr>
        <w:footnoteRef/>
      </w:r>
      <w:r w:rsidRPr="00307028">
        <w:rPr>
          <w:rFonts w:cs="Times New Roman"/>
          <w:szCs w:val="18"/>
        </w:rPr>
        <w:t xml:space="preserve"> V</w:t>
      </w:r>
      <w:r w:rsidR="009D0EE6" w:rsidRPr="00307028">
        <w:rPr>
          <w:rFonts w:cs="Times New Roman"/>
          <w:szCs w:val="18"/>
        </w:rPr>
        <w:t xml:space="preserve">K </w:t>
      </w:r>
      <w:r w:rsidR="001F5284" w:rsidRPr="00307028">
        <w:rPr>
          <w:rFonts w:cs="Times New Roman"/>
          <w:szCs w:val="18"/>
        </w:rPr>
        <w:t>v</w:t>
      </w:r>
      <w:r w:rsidRPr="00307028">
        <w:rPr>
          <w:rFonts w:cs="Times New Roman"/>
          <w:szCs w:val="18"/>
        </w:rPr>
        <w:t xml:space="preserve">adlīnijas elastīgā darba nodrošināšanai, Informatīvā ziņojuma “Elastīgā darba organizācija valsts pārvaldē” pielikums, Rīga, 2021, pieejams: </w:t>
      </w:r>
      <w:hyperlink r:id="rId25" w:history="1">
        <w:r w:rsidRPr="00307028">
          <w:rPr>
            <w:rStyle w:val="Hyperlink"/>
            <w:rFonts w:cs="Times New Roman"/>
            <w:szCs w:val="18"/>
          </w:rPr>
          <w:t>https://www.mk.gov.lv/lv/elastigais-darbs</w:t>
        </w:r>
      </w:hyperlink>
      <w:r w:rsidRPr="00307028">
        <w:rPr>
          <w:rFonts w:cs="Times New Roman"/>
          <w:szCs w:val="18"/>
        </w:rPr>
        <w:t xml:space="preserve"> </w:t>
      </w:r>
    </w:p>
  </w:footnote>
  <w:footnote w:id="93">
    <w:p w14:paraId="59488545" w14:textId="77777777" w:rsidR="00925688" w:rsidRPr="00307028" w:rsidRDefault="00925688" w:rsidP="00925688">
      <w:pPr>
        <w:jc w:val="both"/>
        <w:rPr>
          <w:sz w:val="18"/>
          <w:szCs w:val="18"/>
        </w:rPr>
      </w:pPr>
      <w:r w:rsidRPr="00307028">
        <w:rPr>
          <w:rStyle w:val="FootnoteReference"/>
          <w:sz w:val="18"/>
          <w:szCs w:val="18"/>
        </w:rPr>
        <w:footnoteRef/>
      </w:r>
      <w:r w:rsidRPr="00307028">
        <w:rPr>
          <w:sz w:val="18"/>
          <w:szCs w:val="18"/>
        </w:rPr>
        <w:t xml:space="preserve"> Izņemot par kapitālsabiedrībām, kurās ministrija ir valsts kapitāldaļu turētāja, par ministriju padotībā esošajām atvasinātajām publiskajām personām, par valsts budžeta nefinansētajām institūcijām, par muzejiem, izglītības iestādēm un valsts sociālās aprūpes centriem, kā arī par valsts drošības iestāžu būvēm, par kurām informācija ir klasificēta</w:t>
      </w:r>
    </w:p>
    <w:p w14:paraId="4E2D7ED5" w14:textId="77777777" w:rsidR="00925688" w:rsidRPr="00307028" w:rsidRDefault="00925688" w:rsidP="00925688">
      <w:pPr>
        <w:pStyle w:val="FootnoteText"/>
      </w:pPr>
    </w:p>
  </w:footnote>
  <w:footnote w:id="94">
    <w:p w14:paraId="1B48DE84" w14:textId="4178E525" w:rsidR="00925688" w:rsidRPr="00307028" w:rsidRDefault="00925688" w:rsidP="00247C4C">
      <w:pPr>
        <w:pStyle w:val="ListParagraph"/>
        <w:spacing w:after="120"/>
        <w:ind w:left="0"/>
        <w:jc w:val="both"/>
        <w:rPr>
          <w:sz w:val="20"/>
          <w:szCs w:val="20"/>
        </w:rPr>
      </w:pPr>
      <w:r w:rsidRPr="00307028">
        <w:rPr>
          <w:rStyle w:val="FootnoteReference"/>
          <w:sz w:val="18"/>
          <w:szCs w:val="18"/>
        </w:rPr>
        <w:footnoteRef/>
      </w:r>
      <w:r w:rsidRPr="00307028">
        <w:rPr>
          <w:sz w:val="18"/>
          <w:szCs w:val="18"/>
        </w:rPr>
        <w:t xml:space="preserve"> Lietošanas tiesiskais pamats: “nomas līgums” – biroja telpas tiek lietotas uz nomas līguma pamata, “bezatlīdzības lietošana” – biroja telpas tiek lietotas uz apsaimniekošanas lietošanas līguma, patapinājuma līguma, pilnvarojuma līguma pamata bez atlīdzības, “pašpatēriņš” – biroja telpas ir iestādes valdījumā vai pārvaldīšanā, “cits” – biroja telpas tiek lietotas uz citas augstāk neminētas vienošanās pamata</w:t>
      </w:r>
    </w:p>
  </w:footnote>
  <w:footnote w:id="95">
    <w:p w14:paraId="558D2CD1" w14:textId="77777777" w:rsidR="00925688" w:rsidRPr="00307028" w:rsidRDefault="00925688" w:rsidP="007D4535">
      <w:pPr>
        <w:pStyle w:val="FootnoteText"/>
        <w:jc w:val="both"/>
        <w:rPr>
          <w:rFonts w:cs="Times New Roman"/>
        </w:rPr>
      </w:pPr>
      <w:r w:rsidRPr="00307028">
        <w:rPr>
          <w:rStyle w:val="FootnoteReference"/>
          <w:rFonts w:cs="Times New Roman"/>
          <w:szCs w:val="18"/>
        </w:rPr>
        <w:footnoteRef/>
      </w:r>
      <w:r w:rsidRPr="00307028">
        <w:rPr>
          <w:rFonts w:cs="Times New Roman"/>
          <w:szCs w:val="18"/>
        </w:rPr>
        <w:t xml:space="preserve"> </w:t>
      </w:r>
      <w:r w:rsidRPr="00307028">
        <w:rPr>
          <w:rFonts w:cs="Times New Roman"/>
          <w:color w:val="2A2A2A"/>
          <w:szCs w:val="18"/>
          <w:shd w:val="clear" w:color="auto" w:fill="FFFFFF"/>
        </w:rPr>
        <w:t>Informatīvais ziņojums “Valsts iestāžu biroju optimizācija – Nākotnes birojs”, pieejams:</w:t>
      </w:r>
      <w:r w:rsidRPr="00307028">
        <w:rPr>
          <w:rFonts w:cs="Times New Roman"/>
          <w:szCs w:val="18"/>
        </w:rPr>
        <w:t xml:space="preserve"> </w:t>
      </w:r>
      <w:hyperlink r:id="rId26" w:history="1">
        <w:r w:rsidRPr="00307028">
          <w:rPr>
            <w:rStyle w:val="Hyperlink"/>
            <w:rFonts w:cs="Times New Roman"/>
            <w:szCs w:val="18"/>
          </w:rPr>
          <w:t>https://tap.mk.gov.lv/mk/tap/?pid=40476356</w:t>
        </w:r>
      </w:hyperlink>
      <w:r w:rsidRPr="00307028">
        <w:rPr>
          <w:rFonts w:cs="Times New Roman"/>
          <w:szCs w:val="18"/>
        </w:rPr>
        <w:t xml:space="preserve"> </w:t>
      </w:r>
    </w:p>
  </w:footnote>
  <w:footnote w:id="96">
    <w:p w14:paraId="23FD36FA" w14:textId="77777777" w:rsidR="00925688" w:rsidRPr="00307028" w:rsidRDefault="00925688" w:rsidP="00925688">
      <w:pPr>
        <w:pStyle w:val="FootnoteText"/>
        <w:jc w:val="both"/>
        <w:rPr>
          <w:rFonts w:cs="Times New Roman"/>
        </w:rPr>
      </w:pPr>
      <w:r w:rsidRPr="00307028">
        <w:rPr>
          <w:rStyle w:val="FootnoteReference"/>
          <w:rFonts w:cs="Times New Roman"/>
          <w:szCs w:val="18"/>
        </w:rPr>
        <w:footnoteRef/>
      </w:r>
      <w:r w:rsidRPr="00307028">
        <w:rPr>
          <w:rFonts w:cs="Times New Roman"/>
          <w:szCs w:val="18"/>
        </w:rPr>
        <w:t xml:space="preserve"> VNĪ </w:t>
      </w:r>
      <w:r w:rsidRPr="00307028">
        <w:rPr>
          <w:rFonts w:cs="Times New Roman"/>
          <w:szCs w:val="18"/>
          <w:shd w:val="clear" w:color="auto" w:fill="FFFFFF"/>
        </w:rPr>
        <w:t xml:space="preserve">“Publiskā sektora biroja izveides vadlīnijas”, septembris, 2021, pieejams: </w:t>
      </w:r>
      <w:hyperlink r:id="rId27" w:history="1">
        <w:r w:rsidRPr="00307028">
          <w:rPr>
            <w:rStyle w:val="Hyperlink"/>
            <w:rFonts w:cs="Times New Roman"/>
            <w:szCs w:val="18"/>
          </w:rPr>
          <w:t>Publiskā sektora biroja izveides vadlīnijas.pdf</w:t>
        </w:r>
      </w:hyperlink>
    </w:p>
  </w:footnote>
  <w:footnote w:id="97">
    <w:p w14:paraId="4432E19F" w14:textId="77777777" w:rsidR="00925688" w:rsidRPr="00857D92" w:rsidRDefault="00925688" w:rsidP="00925688">
      <w:pPr>
        <w:pStyle w:val="FootnoteText"/>
        <w:rPr>
          <w:rFonts w:cs="Times New Roman"/>
        </w:rPr>
      </w:pPr>
      <w:r w:rsidRPr="00307028">
        <w:rPr>
          <w:rStyle w:val="FootnoteReference"/>
          <w:rFonts w:cs="Times New Roman"/>
          <w:szCs w:val="18"/>
        </w:rPr>
        <w:footnoteRef/>
      </w:r>
      <w:r w:rsidRPr="00307028">
        <w:rPr>
          <w:rFonts w:cs="Times New Roman"/>
          <w:szCs w:val="18"/>
        </w:rPr>
        <w:t xml:space="preserve"> </w:t>
      </w:r>
      <w:hyperlink r:id="rId28" w:history="1">
        <w:r w:rsidRPr="00307028">
          <w:rPr>
            <w:rStyle w:val="Hyperlink"/>
            <w:rFonts w:cs="Times New Roman"/>
            <w:szCs w:val="18"/>
          </w:rPr>
          <w:t>https://likumi.lv/ta/id/319265-par-konceptualo-zinojumu-par-latvijas-nacionala-arhiva-eku-kritisko-stavokli-un-turpmako-ricibu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422D"/>
    <w:multiLevelType w:val="hybridMultilevel"/>
    <w:tmpl w:val="575A90BA"/>
    <w:lvl w:ilvl="0" w:tplc="04260001">
      <w:start w:val="1"/>
      <w:numFmt w:val="bullet"/>
      <w:lvlText w:val=""/>
      <w:lvlJc w:val="left"/>
      <w:pPr>
        <w:ind w:left="775" w:hanging="360"/>
      </w:pPr>
      <w:rPr>
        <w:rFonts w:ascii="Symbol" w:hAnsi="Symbol" w:hint="default"/>
      </w:rPr>
    </w:lvl>
    <w:lvl w:ilvl="1" w:tplc="04260003" w:tentative="1">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15" w:hanging="360"/>
      </w:pPr>
      <w:rPr>
        <w:rFonts w:ascii="Wingdings" w:hAnsi="Wingdings" w:hint="default"/>
      </w:rPr>
    </w:lvl>
    <w:lvl w:ilvl="3" w:tplc="04260001" w:tentative="1">
      <w:start w:val="1"/>
      <w:numFmt w:val="bullet"/>
      <w:lvlText w:val=""/>
      <w:lvlJc w:val="left"/>
      <w:pPr>
        <w:ind w:left="2935" w:hanging="360"/>
      </w:pPr>
      <w:rPr>
        <w:rFonts w:ascii="Symbol" w:hAnsi="Symbol" w:hint="default"/>
      </w:rPr>
    </w:lvl>
    <w:lvl w:ilvl="4" w:tplc="04260003" w:tentative="1">
      <w:start w:val="1"/>
      <w:numFmt w:val="bullet"/>
      <w:lvlText w:val="o"/>
      <w:lvlJc w:val="left"/>
      <w:pPr>
        <w:ind w:left="3655" w:hanging="360"/>
      </w:pPr>
      <w:rPr>
        <w:rFonts w:ascii="Courier New" w:hAnsi="Courier New" w:cs="Courier New" w:hint="default"/>
      </w:rPr>
    </w:lvl>
    <w:lvl w:ilvl="5" w:tplc="04260005" w:tentative="1">
      <w:start w:val="1"/>
      <w:numFmt w:val="bullet"/>
      <w:lvlText w:val=""/>
      <w:lvlJc w:val="left"/>
      <w:pPr>
        <w:ind w:left="4375" w:hanging="360"/>
      </w:pPr>
      <w:rPr>
        <w:rFonts w:ascii="Wingdings" w:hAnsi="Wingdings" w:hint="default"/>
      </w:rPr>
    </w:lvl>
    <w:lvl w:ilvl="6" w:tplc="04260001" w:tentative="1">
      <w:start w:val="1"/>
      <w:numFmt w:val="bullet"/>
      <w:lvlText w:val=""/>
      <w:lvlJc w:val="left"/>
      <w:pPr>
        <w:ind w:left="5095" w:hanging="360"/>
      </w:pPr>
      <w:rPr>
        <w:rFonts w:ascii="Symbol" w:hAnsi="Symbol" w:hint="default"/>
      </w:rPr>
    </w:lvl>
    <w:lvl w:ilvl="7" w:tplc="04260003" w:tentative="1">
      <w:start w:val="1"/>
      <w:numFmt w:val="bullet"/>
      <w:lvlText w:val="o"/>
      <w:lvlJc w:val="left"/>
      <w:pPr>
        <w:ind w:left="5815" w:hanging="360"/>
      </w:pPr>
      <w:rPr>
        <w:rFonts w:ascii="Courier New" w:hAnsi="Courier New" w:cs="Courier New" w:hint="default"/>
      </w:rPr>
    </w:lvl>
    <w:lvl w:ilvl="8" w:tplc="04260005" w:tentative="1">
      <w:start w:val="1"/>
      <w:numFmt w:val="bullet"/>
      <w:lvlText w:val=""/>
      <w:lvlJc w:val="left"/>
      <w:pPr>
        <w:ind w:left="6535" w:hanging="360"/>
      </w:pPr>
      <w:rPr>
        <w:rFonts w:ascii="Wingdings" w:hAnsi="Wingdings" w:hint="default"/>
      </w:rPr>
    </w:lvl>
  </w:abstractNum>
  <w:abstractNum w:abstractNumId="1" w15:restartNumberingAfterBreak="0">
    <w:nsid w:val="05675F21"/>
    <w:multiLevelType w:val="multilevel"/>
    <w:tmpl w:val="ED602B94"/>
    <w:lvl w:ilvl="0">
      <w:start w:val="1"/>
      <w:numFmt w:val="decimal"/>
      <w:lvlText w:val="%1."/>
      <w:lvlJc w:val="left"/>
      <w:pPr>
        <w:ind w:left="1080" w:hanging="360"/>
      </w:pPr>
      <w:rPr>
        <w:rFonts w:cstheme="minorBidi" w:hint="default"/>
      </w:rPr>
    </w:lvl>
    <w:lvl w:ilvl="1">
      <w:start w:val="1"/>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i/>
        <w:i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7A70B4"/>
    <w:multiLevelType w:val="hybridMultilevel"/>
    <w:tmpl w:val="A41C31B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9193316"/>
    <w:multiLevelType w:val="hybridMultilevel"/>
    <w:tmpl w:val="2C74E478"/>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B456E1"/>
    <w:multiLevelType w:val="hybridMultilevel"/>
    <w:tmpl w:val="EF6ED904"/>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5" w15:restartNumberingAfterBreak="0">
    <w:nsid w:val="0E21403E"/>
    <w:multiLevelType w:val="hybridMultilevel"/>
    <w:tmpl w:val="E3725226"/>
    <w:lvl w:ilvl="0" w:tplc="04260001">
      <w:start w:val="1"/>
      <w:numFmt w:val="bullet"/>
      <w:lvlText w:val=""/>
      <w:lvlJc w:val="left"/>
      <w:pPr>
        <w:ind w:left="1069" w:hanging="360"/>
      </w:pPr>
      <w:rPr>
        <w:rFonts w:ascii="Symbol" w:hAnsi="Symbol"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0FE1D8C"/>
    <w:multiLevelType w:val="hybridMultilevel"/>
    <w:tmpl w:val="67E659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2E64036"/>
    <w:multiLevelType w:val="hybridMultilevel"/>
    <w:tmpl w:val="70CA709C"/>
    <w:lvl w:ilvl="0" w:tplc="352A060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5260909"/>
    <w:multiLevelType w:val="hybridMultilevel"/>
    <w:tmpl w:val="7B0ACA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19783E6C"/>
    <w:multiLevelType w:val="hybridMultilevel"/>
    <w:tmpl w:val="F17EF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481A48"/>
    <w:multiLevelType w:val="hybridMultilevel"/>
    <w:tmpl w:val="4F76EAD4"/>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34B2ABB"/>
    <w:multiLevelType w:val="hybridMultilevel"/>
    <w:tmpl w:val="1B4EFD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1A34E6"/>
    <w:multiLevelType w:val="hybridMultilevel"/>
    <w:tmpl w:val="D1B248E6"/>
    <w:lvl w:ilvl="0" w:tplc="178A6B40">
      <w:start w:val="42"/>
      <w:numFmt w:val="bullet"/>
      <w:lvlText w:val="-"/>
      <w:lvlJc w:val="left"/>
      <w:pPr>
        <w:ind w:left="471" w:hanging="360"/>
      </w:pPr>
      <w:rPr>
        <w:rFonts w:ascii="Calibri" w:eastAsiaTheme="minorHAnsi" w:hAnsi="Calibri" w:cs="Calibri" w:hint="default"/>
      </w:rPr>
    </w:lvl>
    <w:lvl w:ilvl="1" w:tplc="04260003">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24690455"/>
    <w:multiLevelType w:val="hybridMultilevel"/>
    <w:tmpl w:val="B9E29B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8690CF4"/>
    <w:multiLevelType w:val="hybridMultilevel"/>
    <w:tmpl w:val="AAE813BC"/>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9C0727A"/>
    <w:multiLevelType w:val="hybridMultilevel"/>
    <w:tmpl w:val="5B46130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375B11"/>
    <w:multiLevelType w:val="hybridMultilevel"/>
    <w:tmpl w:val="940C284C"/>
    <w:lvl w:ilvl="0" w:tplc="77DCB876">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16029D"/>
    <w:multiLevelType w:val="hybridMultilevel"/>
    <w:tmpl w:val="F4DE8668"/>
    <w:lvl w:ilvl="0" w:tplc="DD86D632">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8AA1ACA"/>
    <w:multiLevelType w:val="hybridMultilevel"/>
    <w:tmpl w:val="30964D8E"/>
    <w:lvl w:ilvl="0" w:tplc="FFFFFFFF">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39EE125E"/>
    <w:multiLevelType w:val="hybridMultilevel"/>
    <w:tmpl w:val="780A7828"/>
    <w:lvl w:ilvl="0" w:tplc="1022236E">
      <w:start w:val="1"/>
      <w:numFmt w:val="decimal"/>
      <w:lvlText w:val="%1."/>
      <w:lvlJc w:val="left"/>
      <w:pPr>
        <w:ind w:left="720" w:hanging="360"/>
      </w:pPr>
      <w:rPr>
        <w:rFonts w:ascii="Times New Roman" w:eastAsiaTheme="minorHAnsi" w:hAnsi="Times New Roman" w:cs="Times New Roman"/>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F668BD"/>
    <w:multiLevelType w:val="hybridMultilevel"/>
    <w:tmpl w:val="30964D8E"/>
    <w:lvl w:ilvl="0" w:tplc="705C1C32">
      <w:start w:val="1"/>
      <w:numFmt w:val="decimal"/>
      <w:lvlText w:val="%1."/>
      <w:lvlJc w:val="left"/>
      <w:pPr>
        <w:ind w:left="1287" w:hanging="360"/>
      </w:pPr>
      <w:rPr>
        <w:rFonts w:hint="default"/>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48686F77"/>
    <w:multiLevelType w:val="hybridMultilevel"/>
    <w:tmpl w:val="66427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096DA2"/>
    <w:multiLevelType w:val="hybridMultilevel"/>
    <w:tmpl w:val="6C3C93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D882A61"/>
    <w:multiLevelType w:val="hybridMultilevel"/>
    <w:tmpl w:val="2722A542"/>
    <w:lvl w:ilvl="0" w:tplc="04260001">
      <w:start w:val="1"/>
      <w:numFmt w:val="bullet"/>
      <w:lvlText w:val=""/>
      <w:lvlJc w:val="left"/>
      <w:pPr>
        <w:ind w:left="1211"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05639DF"/>
    <w:multiLevelType w:val="hybridMultilevel"/>
    <w:tmpl w:val="F9804638"/>
    <w:lvl w:ilvl="0" w:tplc="2BF8297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4A7B85"/>
    <w:multiLevelType w:val="hybridMultilevel"/>
    <w:tmpl w:val="934C5964"/>
    <w:lvl w:ilvl="0" w:tplc="310E72B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884E24"/>
    <w:multiLevelType w:val="hybridMultilevel"/>
    <w:tmpl w:val="27507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E66337"/>
    <w:multiLevelType w:val="hybridMultilevel"/>
    <w:tmpl w:val="E64483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5AE4BF4"/>
    <w:multiLevelType w:val="hybridMultilevel"/>
    <w:tmpl w:val="84C2AF9C"/>
    <w:lvl w:ilvl="0" w:tplc="B9940AC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9" w15:restartNumberingAfterBreak="0">
    <w:nsid w:val="5A5C5770"/>
    <w:multiLevelType w:val="hybridMultilevel"/>
    <w:tmpl w:val="0EB0D4D0"/>
    <w:lvl w:ilvl="0" w:tplc="178A6B40">
      <w:start w:val="4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371011"/>
    <w:multiLevelType w:val="hybridMultilevel"/>
    <w:tmpl w:val="D2467A8E"/>
    <w:lvl w:ilvl="0" w:tplc="288E19B0">
      <w:start w:val="1"/>
      <w:numFmt w:val="decimal"/>
      <w:lvlText w:val="%1."/>
      <w:lvlJc w:val="left"/>
      <w:pPr>
        <w:ind w:left="720" w:hanging="360"/>
      </w:pPr>
      <w:rPr>
        <w:sz w:val="32"/>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113E04"/>
    <w:multiLevelType w:val="hybridMultilevel"/>
    <w:tmpl w:val="ABC064B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15:restartNumberingAfterBreak="0">
    <w:nsid w:val="5CDD4BE3"/>
    <w:multiLevelType w:val="hybridMultilevel"/>
    <w:tmpl w:val="0220D57A"/>
    <w:lvl w:ilvl="0" w:tplc="FE407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F4E89"/>
    <w:multiLevelType w:val="hybridMultilevel"/>
    <w:tmpl w:val="D5AE1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A42D93"/>
    <w:multiLevelType w:val="multilevel"/>
    <w:tmpl w:val="42D8C3D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5" w15:restartNumberingAfterBreak="0">
    <w:nsid w:val="67B434DC"/>
    <w:multiLevelType w:val="hybridMultilevel"/>
    <w:tmpl w:val="9EC0BC52"/>
    <w:lvl w:ilvl="0" w:tplc="0426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0">
    <w:nsid w:val="6929202C"/>
    <w:multiLevelType w:val="hybridMultilevel"/>
    <w:tmpl w:val="1B18DF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92B5D7A"/>
    <w:multiLevelType w:val="hybridMultilevel"/>
    <w:tmpl w:val="5120B4FA"/>
    <w:lvl w:ilvl="0" w:tplc="0426000F">
      <w:start w:val="1"/>
      <w:numFmt w:val="decimal"/>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start w:val="1"/>
      <w:numFmt w:val="bullet"/>
      <w:lvlText w:val=""/>
      <w:lvlJc w:val="left"/>
      <w:pPr>
        <w:ind w:left="2368" w:hanging="360"/>
      </w:pPr>
      <w:rPr>
        <w:rFonts w:ascii="Wingdings" w:hAnsi="Wingdings" w:hint="default"/>
      </w:rPr>
    </w:lvl>
    <w:lvl w:ilvl="3" w:tplc="FFFFFFFF">
      <w:start w:val="1"/>
      <w:numFmt w:val="bullet"/>
      <w:lvlText w:val=""/>
      <w:lvlJc w:val="left"/>
      <w:pPr>
        <w:ind w:left="3088" w:hanging="360"/>
      </w:pPr>
      <w:rPr>
        <w:rFonts w:ascii="Symbol" w:hAnsi="Symbol" w:hint="default"/>
      </w:rPr>
    </w:lvl>
    <w:lvl w:ilvl="4" w:tplc="FFFFFFFF">
      <w:start w:val="1"/>
      <w:numFmt w:val="bullet"/>
      <w:lvlText w:val="o"/>
      <w:lvlJc w:val="left"/>
      <w:pPr>
        <w:ind w:left="3808" w:hanging="360"/>
      </w:pPr>
      <w:rPr>
        <w:rFonts w:ascii="Courier New" w:hAnsi="Courier New" w:cs="Courier New" w:hint="default"/>
      </w:rPr>
    </w:lvl>
    <w:lvl w:ilvl="5" w:tplc="FFFFFFFF">
      <w:start w:val="1"/>
      <w:numFmt w:val="bullet"/>
      <w:lvlText w:val=""/>
      <w:lvlJc w:val="left"/>
      <w:pPr>
        <w:ind w:left="4528" w:hanging="360"/>
      </w:pPr>
      <w:rPr>
        <w:rFonts w:ascii="Wingdings" w:hAnsi="Wingdings" w:hint="default"/>
      </w:rPr>
    </w:lvl>
    <w:lvl w:ilvl="6" w:tplc="FFFFFFFF">
      <w:start w:val="1"/>
      <w:numFmt w:val="bullet"/>
      <w:lvlText w:val=""/>
      <w:lvlJc w:val="left"/>
      <w:pPr>
        <w:ind w:left="5248" w:hanging="360"/>
      </w:pPr>
      <w:rPr>
        <w:rFonts w:ascii="Symbol" w:hAnsi="Symbol" w:hint="default"/>
      </w:rPr>
    </w:lvl>
    <w:lvl w:ilvl="7" w:tplc="FFFFFFFF">
      <w:start w:val="1"/>
      <w:numFmt w:val="bullet"/>
      <w:lvlText w:val="o"/>
      <w:lvlJc w:val="left"/>
      <w:pPr>
        <w:ind w:left="5968" w:hanging="360"/>
      </w:pPr>
      <w:rPr>
        <w:rFonts w:ascii="Courier New" w:hAnsi="Courier New" w:cs="Courier New" w:hint="default"/>
      </w:rPr>
    </w:lvl>
    <w:lvl w:ilvl="8" w:tplc="FFFFFFFF">
      <w:start w:val="1"/>
      <w:numFmt w:val="bullet"/>
      <w:lvlText w:val=""/>
      <w:lvlJc w:val="left"/>
      <w:pPr>
        <w:ind w:left="6688" w:hanging="360"/>
      </w:pPr>
      <w:rPr>
        <w:rFonts w:ascii="Wingdings" w:hAnsi="Wingdings" w:hint="default"/>
      </w:rPr>
    </w:lvl>
  </w:abstractNum>
  <w:abstractNum w:abstractNumId="38" w15:restartNumberingAfterBreak="0">
    <w:nsid w:val="69B62E28"/>
    <w:multiLevelType w:val="multilevel"/>
    <w:tmpl w:val="5F3A8B4A"/>
    <w:lvl w:ilvl="0">
      <w:start w:val="1"/>
      <w:numFmt w:val="decimal"/>
      <w:lvlText w:val="%1."/>
      <w:lvlJc w:val="left"/>
      <w:pPr>
        <w:ind w:left="720" w:hanging="360"/>
      </w:pPr>
      <w:rPr>
        <w:rFonts w:hint="default"/>
      </w:rPr>
    </w:lvl>
    <w:lvl w:ilvl="1">
      <w:start w:val="2"/>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9CB69A4"/>
    <w:multiLevelType w:val="hybridMultilevel"/>
    <w:tmpl w:val="00528B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084EDA"/>
    <w:multiLevelType w:val="hybridMultilevel"/>
    <w:tmpl w:val="8654DC7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6C8A2BC2"/>
    <w:multiLevelType w:val="hybridMultilevel"/>
    <w:tmpl w:val="D7C076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D1754E9"/>
    <w:multiLevelType w:val="hybridMultilevel"/>
    <w:tmpl w:val="535449A4"/>
    <w:lvl w:ilvl="0" w:tplc="18B07942">
      <w:start w:val="47"/>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D5062EF"/>
    <w:multiLevelType w:val="hybridMultilevel"/>
    <w:tmpl w:val="B0321C68"/>
    <w:lvl w:ilvl="0" w:tplc="37C04350">
      <w:start w:val="4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091785"/>
    <w:multiLevelType w:val="hybridMultilevel"/>
    <w:tmpl w:val="B0DA4A42"/>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1934F2"/>
    <w:multiLevelType w:val="multilevel"/>
    <w:tmpl w:val="B930E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55D3D31"/>
    <w:multiLevelType w:val="hybridMultilevel"/>
    <w:tmpl w:val="B7861754"/>
    <w:lvl w:ilvl="0" w:tplc="F1445894">
      <w:start w:val="137"/>
      <w:numFmt w:val="decimal"/>
      <w:lvlText w:val="%1"/>
      <w:lvlJc w:val="left"/>
      <w:pPr>
        <w:ind w:left="720" w:hanging="360"/>
      </w:pPr>
      <w:rPr>
        <w:rFonts w:eastAsiaTheme="min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3E000F"/>
    <w:multiLevelType w:val="hybridMultilevel"/>
    <w:tmpl w:val="ED902CA6"/>
    <w:lvl w:ilvl="0" w:tplc="8E584F4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502B84"/>
    <w:multiLevelType w:val="hybridMultilevel"/>
    <w:tmpl w:val="9FB2F0D0"/>
    <w:lvl w:ilvl="0" w:tplc="8A488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9" w15:restartNumberingAfterBreak="0">
    <w:nsid w:val="7A4C7B2C"/>
    <w:multiLevelType w:val="hybridMultilevel"/>
    <w:tmpl w:val="6BECA73E"/>
    <w:lvl w:ilvl="0" w:tplc="0426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0" w15:restartNumberingAfterBreak="0">
    <w:nsid w:val="7A707EFE"/>
    <w:multiLevelType w:val="multilevel"/>
    <w:tmpl w:val="62BE69D0"/>
    <w:lvl w:ilvl="0">
      <w:start w:val="1"/>
      <w:numFmt w:val="decimal"/>
      <w:lvlText w:val="%1."/>
      <w:lvlJc w:val="left"/>
      <w:pPr>
        <w:ind w:left="1069" w:hanging="360"/>
      </w:pPr>
      <w:rPr>
        <w:rFonts w:hint="default"/>
      </w:rPr>
    </w:lvl>
    <w:lvl w:ilvl="1">
      <w:start w:val="3"/>
      <w:numFmt w:val="decimal"/>
      <w:isLgl/>
      <w:lvlText w:val="%1.%2."/>
      <w:lvlJc w:val="left"/>
      <w:pPr>
        <w:ind w:left="1249" w:hanging="540"/>
      </w:pPr>
      <w:rPr>
        <w:rFonts w:hint="default"/>
        <w:b w:val="0"/>
        <w:i/>
      </w:rPr>
    </w:lvl>
    <w:lvl w:ilvl="2">
      <w:start w:val="1"/>
      <w:numFmt w:val="decimal"/>
      <w:isLgl/>
      <w:lvlText w:val="%1.%2.%3."/>
      <w:lvlJc w:val="left"/>
      <w:pPr>
        <w:ind w:left="1429" w:hanging="720"/>
      </w:pPr>
      <w:rPr>
        <w:rFonts w:hint="default"/>
        <w:b w:val="0"/>
        <w:i/>
      </w:rPr>
    </w:lvl>
    <w:lvl w:ilvl="3">
      <w:start w:val="1"/>
      <w:numFmt w:val="decimal"/>
      <w:isLgl/>
      <w:lvlText w:val="%1.%2.%3.%4."/>
      <w:lvlJc w:val="left"/>
      <w:pPr>
        <w:ind w:left="1429" w:hanging="720"/>
      </w:pPr>
      <w:rPr>
        <w:rFonts w:hint="default"/>
        <w:b w:val="0"/>
        <w:i/>
      </w:rPr>
    </w:lvl>
    <w:lvl w:ilvl="4">
      <w:start w:val="1"/>
      <w:numFmt w:val="decimal"/>
      <w:isLgl/>
      <w:lvlText w:val="%1.%2.%3.%4.%5."/>
      <w:lvlJc w:val="left"/>
      <w:pPr>
        <w:ind w:left="1789" w:hanging="1080"/>
      </w:pPr>
      <w:rPr>
        <w:rFonts w:hint="default"/>
        <w:b w:val="0"/>
        <w:i/>
      </w:rPr>
    </w:lvl>
    <w:lvl w:ilvl="5">
      <w:start w:val="1"/>
      <w:numFmt w:val="decimal"/>
      <w:isLgl/>
      <w:lvlText w:val="%1.%2.%3.%4.%5.%6."/>
      <w:lvlJc w:val="left"/>
      <w:pPr>
        <w:ind w:left="1789" w:hanging="1080"/>
      </w:pPr>
      <w:rPr>
        <w:rFonts w:hint="default"/>
        <w:b w:val="0"/>
        <w:i/>
      </w:rPr>
    </w:lvl>
    <w:lvl w:ilvl="6">
      <w:start w:val="1"/>
      <w:numFmt w:val="decimal"/>
      <w:isLgl/>
      <w:lvlText w:val="%1.%2.%3.%4.%5.%6.%7."/>
      <w:lvlJc w:val="left"/>
      <w:pPr>
        <w:ind w:left="2149" w:hanging="1440"/>
      </w:pPr>
      <w:rPr>
        <w:rFonts w:hint="default"/>
        <w:b w:val="0"/>
        <w:i/>
      </w:rPr>
    </w:lvl>
    <w:lvl w:ilvl="7">
      <w:start w:val="1"/>
      <w:numFmt w:val="decimal"/>
      <w:isLgl/>
      <w:lvlText w:val="%1.%2.%3.%4.%5.%6.%7.%8."/>
      <w:lvlJc w:val="left"/>
      <w:pPr>
        <w:ind w:left="2149" w:hanging="1440"/>
      </w:pPr>
      <w:rPr>
        <w:rFonts w:hint="default"/>
        <w:b w:val="0"/>
        <w:i/>
      </w:rPr>
    </w:lvl>
    <w:lvl w:ilvl="8">
      <w:start w:val="1"/>
      <w:numFmt w:val="decimal"/>
      <w:isLgl/>
      <w:lvlText w:val="%1.%2.%3.%4.%5.%6.%7.%8.%9."/>
      <w:lvlJc w:val="left"/>
      <w:pPr>
        <w:ind w:left="2509" w:hanging="1800"/>
      </w:pPr>
      <w:rPr>
        <w:rFonts w:hint="default"/>
        <w:b w:val="0"/>
        <w:i/>
      </w:rPr>
    </w:lvl>
  </w:abstractNum>
  <w:abstractNum w:abstractNumId="51" w15:restartNumberingAfterBreak="0">
    <w:nsid w:val="7D9C1693"/>
    <w:multiLevelType w:val="hybridMultilevel"/>
    <w:tmpl w:val="311E9EFC"/>
    <w:lvl w:ilvl="0" w:tplc="9E546CEE">
      <w:start w:val="1"/>
      <w:numFmt w:val="decimal"/>
      <w:lvlText w:val="%1."/>
      <w:lvlJc w:val="left"/>
      <w:pPr>
        <w:ind w:left="1440" w:hanging="360"/>
      </w:pPr>
      <w:rPr>
        <w:rFonts w:ascii="Times New Roman" w:eastAsiaTheme="minorHAnsi" w:hAnsi="Times New Roman" w:cstheme="minorBidi"/>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7DA03133"/>
    <w:multiLevelType w:val="hybridMultilevel"/>
    <w:tmpl w:val="0994CDB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3" w15:restartNumberingAfterBreak="0">
    <w:nsid w:val="7E5D7D15"/>
    <w:multiLevelType w:val="hybridMultilevel"/>
    <w:tmpl w:val="0902DAC4"/>
    <w:lvl w:ilvl="0" w:tplc="4EA8F314">
      <w:start w:val="1"/>
      <w:numFmt w:val="decimal"/>
      <w:lvlText w:val="%1."/>
      <w:lvlJc w:val="left"/>
      <w:pPr>
        <w:ind w:left="928"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5567551">
    <w:abstractNumId w:val="11"/>
  </w:num>
  <w:num w:numId="2" w16cid:durableId="1001543363">
    <w:abstractNumId w:val="15"/>
  </w:num>
  <w:num w:numId="3" w16cid:durableId="809791359">
    <w:abstractNumId w:val="31"/>
  </w:num>
  <w:num w:numId="4" w16cid:durableId="47606839">
    <w:abstractNumId w:val="19"/>
  </w:num>
  <w:num w:numId="5" w16cid:durableId="1528368734">
    <w:abstractNumId w:val="39"/>
  </w:num>
  <w:num w:numId="6" w16cid:durableId="1101102229">
    <w:abstractNumId w:val="10"/>
  </w:num>
  <w:num w:numId="7" w16cid:durableId="1032652433">
    <w:abstractNumId w:val="16"/>
  </w:num>
  <w:num w:numId="8" w16cid:durableId="1450123692">
    <w:abstractNumId w:val="37"/>
  </w:num>
  <w:num w:numId="9" w16cid:durableId="1766732912">
    <w:abstractNumId w:val="51"/>
  </w:num>
  <w:num w:numId="10" w16cid:durableId="1551261542">
    <w:abstractNumId w:val="32"/>
  </w:num>
  <w:num w:numId="11" w16cid:durableId="155484599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179177">
    <w:abstractNumId w:val="22"/>
  </w:num>
  <w:num w:numId="13" w16cid:durableId="78454558">
    <w:abstractNumId w:val="53"/>
  </w:num>
  <w:num w:numId="14" w16cid:durableId="1928925412">
    <w:abstractNumId w:val="50"/>
  </w:num>
  <w:num w:numId="15" w16cid:durableId="949163551">
    <w:abstractNumId w:val="7"/>
  </w:num>
  <w:num w:numId="16" w16cid:durableId="1810130952">
    <w:abstractNumId w:val="21"/>
  </w:num>
  <w:num w:numId="17" w16cid:durableId="892156799">
    <w:abstractNumId w:val="41"/>
  </w:num>
  <w:num w:numId="18" w16cid:durableId="630021513">
    <w:abstractNumId w:val="27"/>
  </w:num>
  <w:num w:numId="19" w16cid:durableId="744300601">
    <w:abstractNumId w:val="6"/>
  </w:num>
  <w:num w:numId="20" w16cid:durableId="1556434474">
    <w:abstractNumId w:val="47"/>
  </w:num>
  <w:num w:numId="21" w16cid:durableId="2121219848">
    <w:abstractNumId w:val="0"/>
  </w:num>
  <w:num w:numId="22" w16cid:durableId="5674967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0440754">
    <w:abstractNumId w:val="28"/>
  </w:num>
  <w:num w:numId="24" w16cid:durableId="1036539189">
    <w:abstractNumId w:val="40"/>
  </w:num>
  <w:num w:numId="25" w16cid:durableId="624122108">
    <w:abstractNumId w:val="3"/>
  </w:num>
  <w:num w:numId="26" w16cid:durableId="1390419437">
    <w:abstractNumId w:val="8"/>
  </w:num>
  <w:num w:numId="27" w16cid:durableId="923681548">
    <w:abstractNumId w:val="30"/>
  </w:num>
  <w:num w:numId="28" w16cid:durableId="763722059">
    <w:abstractNumId w:val="33"/>
  </w:num>
  <w:num w:numId="29" w16cid:durableId="1702434892">
    <w:abstractNumId w:val="24"/>
  </w:num>
  <w:num w:numId="30" w16cid:durableId="1144588747">
    <w:abstractNumId w:val="25"/>
  </w:num>
  <w:num w:numId="31" w16cid:durableId="638799353">
    <w:abstractNumId w:val="23"/>
  </w:num>
  <w:num w:numId="32" w16cid:durableId="34307038">
    <w:abstractNumId w:val="12"/>
  </w:num>
  <w:num w:numId="33" w16cid:durableId="1539317557">
    <w:abstractNumId w:val="9"/>
  </w:num>
  <w:num w:numId="34" w16cid:durableId="1163861275">
    <w:abstractNumId w:val="1"/>
  </w:num>
  <w:num w:numId="35" w16cid:durableId="1031229826">
    <w:abstractNumId w:val="38"/>
  </w:num>
  <w:num w:numId="36" w16cid:durableId="792678438">
    <w:abstractNumId w:val="20"/>
  </w:num>
  <w:num w:numId="37" w16cid:durableId="21980146">
    <w:abstractNumId w:val="18"/>
  </w:num>
  <w:num w:numId="38" w16cid:durableId="1567952539">
    <w:abstractNumId w:val="42"/>
  </w:num>
  <w:num w:numId="39" w16cid:durableId="128978449">
    <w:abstractNumId w:val="29"/>
  </w:num>
  <w:num w:numId="40" w16cid:durableId="42025116">
    <w:abstractNumId w:val="36"/>
  </w:num>
  <w:num w:numId="41" w16cid:durableId="1362784813">
    <w:abstractNumId w:val="26"/>
  </w:num>
  <w:num w:numId="42" w16cid:durableId="2116319547">
    <w:abstractNumId w:val="13"/>
  </w:num>
  <w:num w:numId="43" w16cid:durableId="664095348">
    <w:abstractNumId w:val="46"/>
  </w:num>
  <w:num w:numId="44" w16cid:durableId="147214640">
    <w:abstractNumId w:val="49"/>
  </w:num>
  <w:num w:numId="45" w16cid:durableId="1916010666">
    <w:abstractNumId w:val="35"/>
  </w:num>
  <w:num w:numId="46" w16cid:durableId="1991324759">
    <w:abstractNumId w:val="43"/>
  </w:num>
  <w:num w:numId="47" w16cid:durableId="2016415062">
    <w:abstractNumId w:val="44"/>
  </w:num>
  <w:num w:numId="48" w16cid:durableId="1480801622">
    <w:abstractNumId w:val="48"/>
  </w:num>
  <w:num w:numId="49" w16cid:durableId="1333025538">
    <w:abstractNumId w:val="5"/>
  </w:num>
  <w:num w:numId="50" w16cid:durableId="1427072116">
    <w:abstractNumId w:val="4"/>
  </w:num>
  <w:num w:numId="51" w16cid:durableId="2047871020">
    <w:abstractNumId w:val="14"/>
  </w:num>
  <w:num w:numId="52" w16cid:durableId="985664478">
    <w:abstractNumId w:val="52"/>
  </w:num>
  <w:num w:numId="53" w16cid:durableId="108593288">
    <w:abstractNumId w:val="2"/>
  </w:num>
  <w:num w:numId="54" w16cid:durableId="678968327">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BA"/>
    <w:rsid w:val="000006F7"/>
    <w:rsid w:val="000028A5"/>
    <w:rsid w:val="00004010"/>
    <w:rsid w:val="00004B7A"/>
    <w:rsid w:val="00014431"/>
    <w:rsid w:val="00017993"/>
    <w:rsid w:val="00031C67"/>
    <w:rsid w:val="00033EB3"/>
    <w:rsid w:val="00034E19"/>
    <w:rsid w:val="00035BCE"/>
    <w:rsid w:val="000468A1"/>
    <w:rsid w:val="000500E3"/>
    <w:rsid w:val="000515EB"/>
    <w:rsid w:val="00052A7E"/>
    <w:rsid w:val="00060267"/>
    <w:rsid w:val="00063164"/>
    <w:rsid w:val="00066107"/>
    <w:rsid w:val="00066F37"/>
    <w:rsid w:val="00070D5F"/>
    <w:rsid w:val="00070F9C"/>
    <w:rsid w:val="000711FD"/>
    <w:rsid w:val="000754A7"/>
    <w:rsid w:val="0008137A"/>
    <w:rsid w:val="000835D1"/>
    <w:rsid w:val="000859A1"/>
    <w:rsid w:val="00090B98"/>
    <w:rsid w:val="00097D0A"/>
    <w:rsid w:val="000A480C"/>
    <w:rsid w:val="000B2E85"/>
    <w:rsid w:val="000B531B"/>
    <w:rsid w:val="000C03D2"/>
    <w:rsid w:val="000C07AC"/>
    <w:rsid w:val="000C0BF7"/>
    <w:rsid w:val="000C3AB3"/>
    <w:rsid w:val="000C4368"/>
    <w:rsid w:val="000D19BF"/>
    <w:rsid w:val="000D7AE2"/>
    <w:rsid w:val="000E0691"/>
    <w:rsid w:val="000E0906"/>
    <w:rsid w:val="000E1043"/>
    <w:rsid w:val="000E5666"/>
    <w:rsid w:val="000E5E0B"/>
    <w:rsid w:val="000F28A8"/>
    <w:rsid w:val="000F2A9A"/>
    <w:rsid w:val="000F6587"/>
    <w:rsid w:val="00100C0A"/>
    <w:rsid w:val="00102E32"/>
    <w:rsid w:val="00106714"/>
    <w:rsid w:val="001240F8"/>
    <w:rsid w:val="001253F0"/>
    <w:rsid w:val="0013701A"/>
    <w:rsid w:val="00141523"/>
    <w:rsid w:val="00145AB8"/>
    <w:rsid w:val="00151A0B"/>
    <w:rsid w:val="00153CC3"/>
    <w:rsid w:val="0016333F"/>
    <w:rsid w:val="001677B3"/>
    <w:rsid w:val="0017150F"/>
    <w:rsid w:val="001717A1"/>
    <w:rsid w:val="00183D1A"/>
    <w:rsid w:val="0018551C"/>
    <w:rsid w:val="00192290"/>
    <w:rsid w:val="001A2F85"/>
    <w:rsid w:val="001A5C83"/>
    <w:rsid w:val="001B2BA5"/>
    <w:rsid w:val="001C0958"/>
    <w:rsid w:val="001D06C1"/>
    <w:rsid w:val="001D1736"/>
    <w:rsid w:val="001D1E27"/>
    <w:rsid w:val="001D59DD"/>
    <w:rsid w:val="001D5AEE"/>
    <w:rsid w:val="001E7AA9"/>
    <w:rsid w:val="001F3438"/>
    <w:rsid w:val="001F4D57"/>
    <w:rsid w:val="001F5284"/>
    <w:rsid w:val="00201F20"/>
    <w:rsid w:val="00207464"/>
    <w:rsid w:val="00210054"/>
    <w:rsid w:val="0021454D"/>
    <w:rsid w:val="00221AD8"/>
    <w:rsid w:val="00224110"/>
    <w:rsid w:val="00233326"/>
    <w:rsid w:val="00237E11"/>
    <w:rsid w:val="00247C4C"/>
    <w:rsid w:val="00252540"/>
    <w:rsid w:val="00267B87"/>
    <w:rsid w:val="00272A4B"/>
    <w:rsid w:val="00272A6C"/>
    <w:rsid w:val="00274053"/>
    <w:rsid w:val="00276424"/>
    <w:rsid w:val="00287CF5"/>
    <w:rsid w:val="00296772"/>
    <w:rsid w:val="002A0991"/>
    <w:rsid w:val="002A6AA6"/>
    <w:rsid w:val="002B2091"/>
    <w:rsid w:val="002C2791"/>
    <w:rsid w:val="002C28FB"/>
    <w:rsid w:val="002C5CEB"/>
    <w:rsid w:val="002C7E30"/>
    <w:rsid w:val="002D0816"/>
    <w:rsid w:val="002D3A05"/>
    <w:rsid w:val="002E30F1"/>
    <w:rsid w:val="002E7E07"/>
    <w:rsid w:val="002F1C70"/>
    <w:rsid w:val="002F4FE8"/>
    <w:rsid w:val="002F57A4"/>
    <w:rsid w:val="00300110"/>
    <w:rsid w:val="0030224E"/>
    <w:rsid w:val="00303004"/>
    <w:rsid w:val="00307028"/>
    <w:rsid w:val="0033230F"/>
    <w:rsid w:val="0034757D"/>
    <w:rsid w:val="00353DB3"/>
    <w:rsid w:val="00354F18"/>
    <w:rsid w:val="00357356"/>
    <w:rsid w:val="00362133"/>
    <w:rsid w:val="003621BA"/>
    <w:rsid w:val="003654B5"/>
    <w:rsid w:val="0037172A"/>
    <w:rsid w:val="00371B8D"/>
    <w:rsid w:val="003873CF"/>
    <w:rsid w:val="00387E54"/>
    <w:rsid w:val="00387E8D"/>
    <w:rsid w:val="00390160"/>
    <w:rsid w:val="003A08AC"/>
    <w:rsid w:val="003A557B"/>
    <w:rsid w:val="003B3917"/>
    <w:rsid w:val="003B6E4B"/>
    <w:rsid w:val="003B7DFF"/>
    <w:rsid w:val="003B7F2B"/>
    <w:rsid w:val="003C2F35"/>
    <w:rsid w:val="003C6EC8"/>
    <w:rsid w:val="003D4070"/>
    <w:rsid w:val="003D7C30"/>
    <w:rsid w:val="003E42D5"/>
    <w:rsid w:val="003F118B"/>
    <w:rsid w:val="0040105B"/>
    <w:rsid w:val="00402331"/>
    <w:rsid w:val="0040553F"/>
    <w:rsid w:val="00407DB7"/>
    <w:rsid w:val="00411012"/>
    <w:rsid w:val="004118D9"/>
    <w:rsid w:val="00421BA4"/>
    <w:rsid w:val="004253C6"/>
    <w:rsid w:val="00426E8C"/>
    <w:rsid w:val="00427388"/>
    <w:rsid w:val="004379C8"/>
    <w:rsid w:val="00444618"/>
    <w:rsid w:val="0044492A"/>
    <w:rsid w:val="00446607"/>
    <w:rsid w:val="0044796B"/>
    <w:rsid w:val="00447EC2"/>
    <w:rsid w:val="004545C4"/>
    <w:rsid w:val="00455440"/>
    <w:rsid w:val="004618F2"/>
    <w:rsid w:val="004665A9"/>
    <w:rsid w:val="00470A33"/>
    <w:rsid w:val="00471982"/>
    <w:rsid w:val="004732F5"/>
    <w:rsid w:val="0047340D"/>
    <w:rsid w:val="00474ABD"/>
    <w:rsid w:val="00477CAF"/>
    <w:rsid w:val="00480A78"/>
    <w:rsid w:val="0049133D"/>
    <w:rsid w:val="00497067"/>
    <w:rsid w:val="004B68FE"/>
    <w:rsid w:val="004B74BA"/>
    <w:rsid w:val="004B7FD1"/>
    <w:rsid w:val="004C3269"/>
    <w:rsid w:val="004D13A2"/>
    <w:rsid w:val="004D3230"/>
    <w:rsid w:val="004E09C4"/>
    <w:rsid w:val="004F0520"/>
    <w:rsid w:val="00502EF8"/>
    <w:rsid w:val="00505D6A"/>
    <w:rsid w:val="00506B88"/>
    <w:rsid w:val="005157BD"/>
    <w:rsid w:val="0051672C"/>
    <w:rsid w:val="005207DF"/>
    <w:rsid w:val="005219B9"/>
    <w:rsid w:val="00525759"/>
    <w:rsid w:val="0052644A"/>
    <w:rsid w:val="005351F6"/>
    <w:rsid w:val="00535723"/>
    <w:rsid w:val="00543EBB"/>
    <w:rsid w:val="00545436"/>
    <w:rsid w:val="0054659E"/>
    <w:rsid w:val="0055158C"/>
    <w:rsid w:val="00553381"/>
    <w:rsid w:val="00555485"/>
    <w:rsid w:val="00575136"/>
    <w:rsid w:val="00580DD6"/>
    <w:rsid w:val="0059030E"/>
    <w:rsid w:val="00590EA6"/>
    <w:rsid w:val="005A01BA"/>
    <w:rsid w:val="005A1F81"/>
    <w:rsid w:val="005A572F"/>
    <w:rsid w:val="005A5D32"/>
    <w:rsid w:val="005B1A17"/>
    <w:rsid w:val="005B4C18"/>
    <w:rsid w:val="005B7D78"/>
    <w:rsid w:val="005C37C0"/>
    <w:rsid w:val="005D2AD4"/>
    <w:rsid w:val="005D385C"/>
    <w:rsid w:val="00610819"/>
    <w:rsid w:val="00612E79"/>
    <w:rsid w:val="006257A4"/>
    <w:rsid w:val="006264F3"/>
    <w:rsid w:val="006278A7"/>
    <w:rsid w:val="00635EAC"/>
    <w:rsid w:val="00656D6A"/>
    <w:rsid w:val="0066289D"/>
    <w:rsid w:val="00674C69"/>
    <w:rsid w:val="00680513"/>
    <w:rsid w:val="00696F33"/>
    <w:rsid w:val="00697E5F"/>
    <w:rsid w:val="006A5E8F"/>
    <w:rsid w:val="006B5CDE"/>
    <w:rsid w:val="006C6D5D"/>
    <w:rsid w:val="006C73CF"/>
    <w:rsid w:val="006E1FCB"/>
    <w:rsid w:val="006E4EB6"/>
    <w:rsid w:val="006E5047"/>
    <w:rsid w:val="00715BF2"/>
    <w:rsid w:val="007261A1"/>
    <w:rsid w:val="00734F2A"/>
    <w:rsid w:val="00735085"/>
    <w:rsid w:val="007350DB"/>
    <w:rsid w:val="00737292"/>
    <w:rsid w:val="00740429"/>
    <w:rsid w:val="00741C4A"/>
    <w:rsid w:val="00744043"/>
    <w:rsid w:val="007516BE"/>
    <w:rsid w:val="007760F6"/>
    <w:rsid w:val="00781B78"/>
    <w:rsid w:val="0078273A"/>
    <w:rsid w:val="00783384"/>
    <w:rsid w:val="007917E2"/>
    <w:rsid w:val="007A7EFC"/>
    <w:rsid w:val="007B59B6"/>
    <w:rsid w:val="007B6E39"/>
    <w:rsid w:val="007C204C"/>
    <w:rsid w:val="007C3874"/>
    <w:rsid w:val="007D44FB"/>
    <w:rsid w:val="007D4535"/>
    <w:rsid w:val="007D4D60"/>
    <w:rsid w:val="007E398B"/>
    <w:rsid w:val="007E4083"/>
    <w:rsid w:val="007F05FA"/>
    <w:rsid w:val="007F7DB3"/>
    <w:rsid w:val="00800997"/>
    <w:rsid w:val="0080220D"/>
    <w:rsid w:val="00806883"/>
    <w:rsid w:val="00812B20"/>
    <w:rsid w:val="008176F0"/>
    <w:rsid w:val="008235B9"/>
    <w:rsid w:val="008246EA"/>
    <w:rsid w:val="008305EA"/>
    <w:rsid w:val="00831E7E"/>
    <w:rsid w:val="00833696"/>
    <w:rsid w:val="00837FD3"/>
    <w:rsid w:val="008405EB"/>
    <w:rsid w:val="00840A54"/>
    <w:rsid w:val="008508B9"/>
    <w:rsid w:val="008570C1"/>
    <w:rsid w:val="00857D92"/>
    <w:rsid w:val="00860BD7"/>
    <w:rsid w:val="0087009E"/>
    <w:rsid w:val="00874E46"/>
    <w:rsid w:val="008938FF"/>
    <w:rsid w:val="008A578D"/>
    <w:rsid w:val="008A57EC"/>
    <w:rsid w:val="008B6BED"/>
    <w:rsid w:val="008B6E98"/>
    <w:rsid w:val="008C1454"/>
    <w:rsid w:val="008C3B3C"/>
    <w:rsid w:val="008C7D85"/>
    <w:rsid w:val="008D5D4A"/>
    <w:rsid w:val="008D6A22"/>
    <w:rsid w:val="008E4BBD"/>
    <w:rsid w:val="008E73FF"/>
    <w:rsid w:val="00903FC1"/>
    <w:rsid w:val="00907E00"/>
    <w:rsid w:val="00911040"/>
    <w:rsid w:val="00911252"/>
    <w:rsid w:val="00912269"/>
    <w:rsid w:val="00920E35"/>
    <w:rsid w:val="00925688"/>
    <w:rsid w:val="00925A15"/>
    <w:rsid w:val="00931049"/>
    <w:rsid w:val="00937693"/>
    <w:rsid w:val="00942D02"/>
    <w:rsid w:val="009472E1"/>
    <w:rsid w:val="0095544A"/>
    <w:rsid w:val="00957D12"/>
    <w:rsid w:val="00957F88"/>
    <w:rsid w:val="009641BE"/>
    <w:rsid w:val="009675FB"/>
    <w:rsid w:val="009734C1"/>
    <w:rsid w:val="00986025"/>
    <w:rsid w:val="009869FA"/>
    <w:rsid w:val="009A0FC9"/>
    <w:rsid w:val="009A11B4"/>
    <w:rsid w:val="009A5752"/>
    <w:rsid w:val="009B3058"/>
    <w:rsid w:val="009B4D5D"/>
    <w:rsid w:val="009B4E18"/>
    <w:rsid w:val="009C1B80"/>
    <w:rsid w:val="009C7547"/>
    <w:rsid w:val="009D0EE6"/>
    <w:rsid w:val="009E287D"/>
    <w:rsid w:val="009E35BE"/>
    <w:rsid w:val="009E394A"/>
    <w:rsid w:val="009E5D04"/>
    <w:rsid w:val="00A10ACF"/>
    <w:rsid w:val="00A1712A"/>
    <w:rsid w:val="00A2335C"/>
    <w:rsid w:val="00A26EAE"/>
    <w:rsid w:val="00A304E3"/>
    <w:rsid w:val="00A47401"/>
    <w:rsid w:val="00A51E67"/>
    <w:rsid w:val="00A63EE6"/>
    <w:rsid w:val="00A64BAF"/>
    <w:rsid w:val="00A673DB"/>
    <w:rsid w:val="00A73B4C"/>
    <w:rsid w:val="00A81BE4"/>
    <w:rsid w:val="00A8237F"/>
    <w:rsid w:val="00A91DF3"/>
    <w:rsid w:val="00A939DB"/>
    <w:rsid w:val="00A951C9"/>
    <w:rsid w:val="00AA145A"/>
    <w:rsid w:val="00AB1A9C"/>
    <w:rsid w:val="00AB77BF"/>
    <w:rsid w:val="00AC27E0"/>
    <w:rsid w:val="00AC6DC0"/>
    <w:rsid w:val="00AE7B9D"/>
    <w:rsid w:val="00B00E00"/>
    <w:rsid w:val="00B018C5"/>
    <w:rsid w:val="00B06ABF"/>
    <w:rsid w:val="00B17292"/>
    <w:rsid w:val="00B42A37"/>
    <w:rsid w:val="00B43D85"/>
    <w:rsid w:val="00B4439F"/>
    <w:rsid w:val="00B56664"/>
    <w:rsid w:val="00B6225E"/>
    <w:rsid w:val="00B71661"/>
    <w:rsid w:val="00B74680"/>
    <w:rsid w:val="00B77250"/>
    <w:rsid w:val="00B843BD"/>
    <w:rsid w:val="00B902A8"/>
    <w:rsid w:val="00B903BC"/>
    <w:rsid w:val="00BA6BA8"/>
    <w:rsid w:val="00BC5DE5"/>
    <w:rsid w:val="00BC7832"/>
    <w:rsid w:val="00BD3847"/>
    <w:rsid w:val="00BD3E66"/>
    <w:rsid w:val="00BD4734"/>
    <w:rsid w:val="00BE4409"/>
    <w:rsid w:val="00BF15EE"/>
    <w:rsid w:val="00BF4E99"/>
    <w:rsid w:val="00BF6883"/>
    <w:rsid w:val="00C037F5"/>
    <w:rsid w:val="00C049D3"/>
    <w:rsid w:val="00C1691E"/>
    <w:rsid w:val="00C27709"/>
    <w:rsid w:val="00C3089F"/>
    <w:rsid w:val="00C35142"/>
    <w:rsid w:val="00C35FC4"/>
    <w:rsid w:val="00C36565"/>
    <w:rsid w:val="00C46D34"/>
    <w:rsid w:val="00C55533"/>
    <w:rsid w:val="00C5698C"/>
    <w:rsid w:val="00C57D12"/>
    <w:rsid w:val="00C60231"/>
    <w:rsid w:val="00C60452"/>
    <w:rsid w:val="00C61CF8"/>
    <w:rsid w:val="00C66CAC"/>
    <w:rsid w:val="00C67EBA"/>
    <w:rsid w:val="00C733F6"/>
    <w:rsid w:val="00C74069"/>
    <w:rsid w:val="00C83E7A"/>
    <w:rsid w:val="00C842A6"/>
    <w:rsid w:val="00C843DF"/>
    <w:rsid w:val="00C846A4"/>
    <w:rsid w:val="00C860D8"/>
    <w:rsid w:val="00C93D78"/>
    <w:rsid w:val="00CA2590"/>
    <w:rsid w:val="00CA4EB3"/>
    <w:rsid w:val="00CA5F5F"/>
    <w:rsid w:val="00CB1B5A"/>
    <w:rsid w:val="00CB3873"/>
    <w:rsid w:val="00CB57E7"/>
    <w:rsid w:val="00CB5D74"/>
    <w:rsid w:val="00CB6DFF"/>
    <w:rsid w:val="00CB744E"/>
    <w:rsid w:val="00CC74FB"/>
    <w:rsid w:val="00CD421C"/>
    <w:rsid w:val="00CD5233"/>
    <w:rsid w:val="00CD647B"/>
    <w:rsid w:val="00CE0C1C"/>
    <w:rsid w:val="00CE3100"/>
    <w:rsid w:val="00CE4F77"/>
    <w:rsid w:val="00CF0084"/>
    <w:rsid w:val="00D04D9C"/>
    <w:rsid w:val="00D126A1"/>
    <w:rsid w:val="00D15EFB"/>
    <w:rsid w:val="00D165C8"/>
    <w:rsid w:val="00D24868"/>
    <w:rsid w:val="00D30EA8"/>
    <w:rsid w:val="00D30F19"/>
    <w:rsid w:val="00D3118C"/>
    <w:rsid w:val="00D31B77"/>
    <w:rsid w:val="00D362D4"/>
    <w:rsid w:val="00D364CA"/>
    <w:rsid w:val="00D563D2"/>
    <w:rsid w:val="00D60695"/>
    <w:rsid w:val="00D64FC3"/>
    <w:rsid w:val="00D65A68"/>
    <w:rsid w:val="00D7002C"/>
    <w:rsid w:val="00D756A0"/>
    <w:rsid w:val="00D75FB9"/>
    <w:rsid w:val="00D81B81"/>
    <w:rsid w:val="00D85401"/>
    <w:rsid w:val="00D859AD"/>
    <w:rsid w:val="00D970BD"/>
    <w:rsid w:val="00D97598"/>
    <w:rsid w:val="00DA0139"/>
    <w:rsid w:val="00DB4AD2"/>
    <w:rsid w:val="00DC14F7"/>
    <w:rsid w:val="00DC3088"/>
    <w:rsid w:val="00DC4D64"/>
    <w:rsid w:val="00DC6891"/>
    <w:rsid w:val="00DC6B33"/>
    <w:rsid w:val="00DE4FDE"/>
    <w:rsid w:val="00DF3A12"/>
    <w:rsid w:val="00DF3EEC"/>
    <w:rsid w:val="00DF554F"/>
    <w:rsid w:val="00E0325B"/>
    <w:rsid w:val="00E1590F"/>
    <w:rsid w:val="00E25617"/>
    <w:rsid w:val="00E308E8"/>
    <w:rsid w:val="00E31B4E"/>
    <w:rsid w:val="00E4153C"/>
    <w:rsid w:val="00E441C1"/>
    <w:rsid w:val="00E6209C"/>
    <w:rsid w:val="00E6210A"/>
    <w:rsid w:val="00E664F6"/>
    <w:rsid w:val="00E703F2"/>
    <w:rsid w:val="00E82857"/>
    <w:rsid w:val="00E84995"/>
    <w:rsid w:val="00E93418"/>
    <w:rsid w:val="00EC49CB"/>
    <w:rsid w:val="00EC4BC3"/>
    <w:rsid w:val="00EC4BFE"/>
    <w:rsid w:val="00EC785D"/>
    <w:rsid w:val="00ED29CC"/>
    <w:rsid w:val="00EE043A"/>
    <w:rsid w:val="00EE08DE"/>
    <w:rsid w:val="00EE2D2F"/>
    <w:rsid w:val="00EE2E96"/>
    <w:rsid w:val="00EE3DBD"/>
    <w:rsid w:val="00EE69BE"/>
    <w:rsid w:val="00EE71AB"/>
    <w:rsid w:val="00EF09E8"/>
    <w:rsid w:val="00EF5654"/>
    <w:rsid w:val="00F033DC"/>
    <w:rsid w:val="00F06038"/>
    <w:rsid w:val="00F0751E"/>
    <w:rsid w:val="00F11964"/>
    <w:rsid w:val="00F12FB5"/>
    <w:rsid w:val="00F2230B"/>
    <w:rsid w:val="00F240E3"/>
    <w:rsid w:val="00F2455A"/>
    <w:rsid w:val="00F31553"/>
    <w:rsid w:val="00F42E3E"/>
    <w:rsid w:val="00F52674"/>
    <w:rsid w:val="00F55146"/>
    <w:rsid w:val="00F55F97"/>
    <w:rsid w:val="00F56CE3"/>
    <w:rsid w:val="00F57D02"/>
    <w:rsid w:val="00F6233A"/>
    <w:rsid w:val="00F64ADC"/>
    <w:rsid w:val="00F7258A"/>
    <w:rsid w:val="00F804D5"/>
    <w:rsid w:val="00F84BC7"/>
    <w:rsid w:val="00F903C8"/>
    <w:rsid w:val="00F91D1C"/>
    <w:rsid w:val="00FA733B"/>
    <w:rsid w:val="00FB76E5"/>
    <w:rsid w:val="00FC170B"/>
    <w:rsid w:val="00FD34B0"/>
    <w:rsid w:val="00FD6AE2"/>
    <w:rsid w:val="00FD7666"/>
    <w:rsid w:val="00FE73DA"/>
    <w:rsid w:val="00FF1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BDA7"/>
  <w15:chartTrackingRefBased/>
  <w15:docId w15:val="{5243308A-5136-48C5-B999-FA099CCB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EBB"/>
    <w:pPr>
      <w:spacing w:after="0" w:line="240" w:lineRule="auto"/>
    </w:pPr>
    <w:rPr>
      <w:rFonts w:ascii="Times New Roman" w:eastAsia="Batang" w:hAnsi="Times New Roman" w:cs="Times New Roman"/>
      <w:kern w:val="0"/>
      <w:sz w:val="24"/>
      <w:szCs w:val="24"/>
      <w:lang w:eastAsia="ko-KR"/>
      <w14:ligatures w14:val="none"/>
    </w:rPr>
  </w:style>
  <w:style w:type="paragraph" w:styleId="Heading1">
    <w:name w:val="heading 1"/>
    <w:basedOn w:val="Normal"/>
    <w:next w:val="Normal"/>
    <w:link w:val="Heading1Char"/>
    <w:qFormat/>
    <w:rsid w:val="007917E2"/>
    <w:pPr>
      <w:keepNext/>
      <w:spacing w:before="240" w:after="60"/>
      <w:outlineLvl w:val="0"/>
    </w:pPr>
    <w:rPr>
      <w:rFonts w:cs="Arial"/>
      <w:b/>
      <w:bCs/>
      <w:color w:val="000000" w:themeColor="text1"/>
      <w:kern w:val="32"/>
      <w:sz w:val="36"/>
      <w:szCs w:val="32"/>
    </w:rPr>
  </w:style>
  <w:style w:type="paragraph" w:styleId="Heading2">
    <w:name w:val="heading 2"/>
    <w:basedOn w:val="Normal"/>
    <w:next w:val="Normal"/>
    <w:link w:val="Heading2Char"/>
    <w:unhideWhenUsed/>
    <w:qFormat/>
    <w:rsid w:val="00D75FB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F3A12"/>
    <w:pPr>
      <w:keepNext/>
      <w:keepLines/>
      <w:spacing w:before="120" w:after="120"/>
      <w:ind w:left="720"/>
      <w:jc w:val="center"/>
      <w:outlineLvl w:val="2"/>
    </w:pPr>
    <w:rPr>
      <w:rFonts w:eastAsiaTheme="majorEastAsia" w:cstheme="majorBidi"/>
      <w:b/>
      <w:sz w:val="28"/>
    </w:rPr>
  </w:style>
  <w:style w:type="paragraph" w:styleId="Heading4">
    <w:name w:val="heading 4"/>
    <w:basedOn w:val="Normal"/>
    <w:next w:val="Normal"/>
    <w:link w:val="Heading4Char"/>
    <w:uiPriority w:val="9"/>
    <w:semiHidden/>
    <w:unhideWhenUsed/>
    <w:qFormat/>
    <w:rsid w:val="00CD647B"/>
    <w:pPr>
      <w:keepNext/>
      <w:keepLines/>
      <w:spacing w:before="40"/>
      <w:outlineLvl w:val="3"/>
    </w:pPr>
    <w:rPr>
      <w:rFonts w:eastAsia="Times New Roman"/>
      <w:b/>
      <w:iCs/>
      <w:kern w:val="2"/>
      <w:sz w:val="28"/>
      <w:szCs w:val="22"/>
      <w:lang w:eastAsia="en-US"/>
      <w14:ligatures w14:val="standardContextual"/>
    </w:rPr>
  </w:style>
  <w:style w:type="paragraph" w:styleId="Heading5">
    <w:name w:val="heading 5"/>
    <w:basedOn w:val="Normal"/>
    <w:next w:val="Normal"/>
    <w:link w:val="Heading5Char"/>
    <w:qFormat/>
    <w:rsid w:val="0017150F"/>
    <w:pPr>
      <w:keepNext/>
      <w:spacing w:before="120" w:after="120"/>
      <w:jc w:val="center"/>
      <w:outlineLvl w:val="4"/>
    </w:pPr>
    <w:rPr>
      <w:rFonts w:eastAsia="Times New Roman"/>
      <w:b/>
      <w:bCs/>
      <w:i/>
      <w:iCs/>
      <w:sz w:val="28"/>
      <w:szCs w:val="20"/>
      <w:lang w:val="x-none" w:eastAsia="lv-LV"/>
    </w:rPr>
  </w:style>
  <w:style w:type="paragraph" w:styleId="Heading6">
    <w:name w:val="heading 6"/>
    <w:basedOn w:val="Normal"/>
    <w:next w:val="Normal"/>
    <w:link w:val="Heading6Char"/>
    <w:qFormat/>
    <w:rsid w:val="00502EF8"/>
    <w:pPr>
      <w:keepNext/>
      <w:outlineLvl w:val="5"/>
    </w:pPr>
    <w:rPr>
      <w:rFonts w:eastAsia="Times New Roman"/>
      <w:b/>
      <w:sz w:val="20"/>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7E2"/>
    <w:rPr>
      <w:rFonts w:ascii="Times New Roman" w:eastAsia="Batang" w:hAnsi="Times New Roman" w:cs="Arial"/>
      <w:b/>
      <w:bCs/>
      <w:color w:val="000000" w:themeColor="text1"/>
      <w:kern w:val="32"/>
      <w:sz w:val="36"/>
      <w:szCs w:val="32"/>
      <w:lang w:val="en-US" w:eastAsia="ko-KR"/>
      <w14:ligatures w14:val="none"/>
    </w:rPr>
  </w:style>
  <w:style w:type="character" w:customStyle="1" w:styleId="sowc">
    <w:name w:val="sowc"/>
    <w:basedOn w:val="DefaultParagraphFont"/>
    <w:rsid w:val="00543EBB"/>
  </w:style>
  <w:style w:type="character" w:styleId="Emphasis">
    <w:name w:val="Emphasis"/>
    <w:basedOn w:val="DefaultParagraphFont"/>
    <w:qFormat/>
    <w:rsid w:val="00543EBB"/>
    <w:rPr>
      <w:rFonts w:ascii="Times New Roman" w:hAnsi="Times New Roman"/>
      <w:i w:val="0"/>
      <w:iCs/>
      <w:color w:val="auto"/>
      <w:sz w:val="24"/>
    </w:rPr>
  </w:style>
  <w:style w:type="paragraph" w:styleId="TOCHeading">
    <w:name w:val="TOC Heading"/>
    <w:basedOn w:val="Heading1"/>
    <w:next w:val="Normal"/>
    <w:uiPriority w:val="39"/>
    <w:unhideWhenUsed/>
    <w:qFormat/>
    <w:rsid w:val="00DA0139"/>
    <w:pPr>
      <w:keepLines/>
      <w:spacing w:after="0" w:line="259" w:lineRule="auto"/>
      <w:outlineLvl w:val="9"/>
    </w:pPr>
    <w:rPr>
      <w:rFonts w:asciiTheme="majorHAnsi" w:eastAsiaTheme="majorEastAsia" w:hAnsiTheme="majorHAnsi" w:cstheme="majorBidi"/>
      <w:b w:val="0"/>
      <w:bCs w:val="0"/>
      <w:color w:val="2F5496" w:themeColor="accent1" w:themeShade="BF"/>
      <w:kern w:val="0"/>
      <w:sz w:val="32"/>
      <w:lang w:eastAsia="en-US"/>
    </w:rPr>
  </w:style>
  <w:style w:type="paragraph" w:styleId="TOC1">
    <w:name w:val="toc 1"/>
    <w:basedOn w:val="Normal"/>
    <w:next w:val="Normal"/>
    <w:autoRedefine/>
    <w:uiPriority w:val="39"/>
    <w:unhideWhenUsed/>
    <w:rsid w:val="000468A1"/>
    <w:pPr>
      <w:tabs>
        <w:tab w:val="right" w:leader="dot" w:pos="9061"/>
      </w:tabs>
      <w:spacing w:after="100"/>
    </w:pPr>
  </w:style>
  <w:style w:type="character" w:styleId="Hyperlink">
    <w:name w:val="Hyperlink"/>
    <w:basedOn w:val="DefaultParagraphFont"/>
    <w:uiPriority w:val="99"/>
    <w:unhideWhenUsed/>
    <w:rsid w:val="00DA0139"/>
    <w:rPr>
      <w:color w:val="0563C1" w:themeColor="hyperlink"/>
      <w:u w:val="single"/>
    </w:rPr>
  </w:style>
  <w:style w:type="character" w:customStyle="1" w:styleId="Heading2Char">
    <w:name w:val="Heading 2 Char"/>
    <w:basedOn w:val="DefaultParagraphFont"/>
    <w:link w:val="Heading2"/>
    <w:rsid w:val="00D75FB9"/>
    <w:rPr>
      <w:rFonts w:ascii="Times New Roman" w:eastAsiaTheme="majorEastAsia" w:hAnsi="Times New Roman" w:cstheme="majorBidi"/>
      <w:b/>
      <w:kern w:val="0"/>
      <w:sz w:val="28"/>
      <w:szCs w:val="26"/>
      <w:lang w:val="en-US" w:eastAsia="ko-KR"/>
      <w14:ligatures w14:val="none"/>
    </w:rPr>
  </w:style>
  <w:style w:type="paragraph" w:styleId="TOC2">
    <w:name w:val="toc 2"/>
    <w:basedOn w:val="Normal"/>
    <w:next w:val="Normal"/>
    <w:autoRedefine/>
    <w:uiPriority w:val="39"/>
    <w:unhideWhenUsed/>
    <w:rsid w:val="003F118B"/>
    <w:pPr>
      <w:tabs>
        <w:tab w:val="left" w:pos="709"/>
        <w:tab w:val="right" w:leader="dot" w:pos="9061"/>
      </w:tabs>
      <w:spacing w:after="100"/>
      <w:ind w:left="240"/>
      <w:jc w:val="both"/>
    </w:pPr>
  </w:style>
  <w:style w:type="character" w:customStyle="1" w:styleId="ui-provider">
    <w:name w:val="ui-provider"/>
    <w:basedOn w:val="DefaultParagraphFont"/>
    <w:rsid w:val="0008137A"/>
  </w:style>
  <w:style w:type="character" w:customStyle="1" w:styleId="Heading3Char">
    <w:name w:val="Heading 3 Char"/>
    <w:basedOn w:val="DefaultParagraphFont"/>
    <w:link w:val="Heading3"/>
    <w:uiPriority w:val="9"/>
    <w:rsid w:val="00DF3A12"/>
    <w:rPr>
      <w:rFonts w:ascii="Times New Roman" w:eastAsiaTheme="majorEastAsia" w:hAnsi="Times New Roman" w:cstheme="majorBidi"/>
      <w:b/>
      <w:kern w:val="0"/>
      <w:sz w:val="28"/>
      <w:szCs w:val="24"/>
      <w:lang w:val="en-US" w:eastAsia="ko-KR"/>
      <w14:ligatures w14:val="none"/>
    </w:rPr>
  </w:style>
  <w:style w:type="paragraph" w:styleId="TOC3">
    <w:name w:val="toc 3"/>
    <w:basedOn w:val="Normal"/>
    <w:next w:val="Normal"/>
    <w:autoRedefine/>
    <w:uiPriority w:val="39"/>
    <w:unhideWhenUsed/>
    <w:rsid w:val="00DF3A12"/>
    <w:pPr>
      <w:spacing w:after="100"/>
      <w:ind w:left="480"/>
    </w:p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nhideWhenUsed/>
    <w:qFormat/>
    <w:rsid w:val="000C0BF7"/>
    <w:rPr>
      <w:rFonts w:eastAsiaTheme="minorHAnsi" w:cstheme="minorBidi"/>
      <w:sz w:val="18"/>
      <w:szCs w:val="20"/>
      <w:lang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qFormat/>
    <w:rsid w:val="000C0BF7"/>
    <w:rPr>
      <w:rFonts w:ascii="Times New Roman" w:hAnsi="Times New Roman"/>
      <w:kern w:val="0"/>
      <w:sz w:val="18"/>
      <w:szCs w:val="20"/>
      <w14:ligatures w14:val="none"/>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CharCharCharChar"/>
    <w:unhideWhenUsed/>
    <w:qFormat/>
    <w:rsid w:val="00A26EAE"/>
    <w:rPr>
      <w:vertAlign w:val="superscript"/>
    </w:rPr>
  </w:style>
  <w:style w:type="table" w:styleId="TableGrid">
    <w:name w:val="Table Grid"/>
    <w:basedOn w:val="TableNormal"/>
    <w:uiPriority w:val="39"/>
    <w:rsid w:val="008022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Bu"/>
    <w:basedOn w:val="Normal"/>
    <w:link w:val="ListParagraphChar"/>
    <w:uiPriority w:val="34"/>
    <w:qFormat/>
    <w:rsid w:val="00696F33"/>
    <w:pPr>
      <w:ind w:left="720"/>
      <w:contextualSpacing/>
    </w:pPr>
  </w:style>
  <w:style w:type="numbering" w:customStyle="1" w:styleId="NoList1">
    <w:name w:val="No List1"/>
    <w:next w:val="NoList"/>
    <w:uiPriority w:val="99"/>
    <w:semiHidden/>
    <w:unhideWhenUsed/>
    <w:rsid w:val="00925688"/>
  </w:style>
  <w:style w:type="character" w:styleId="CommentReference">
    <w:name w:val="annotation reference"/>
    <w:basedOn w:val="DefaultParagraphFont"/>
    <w:uiPriority w:val="99"/>
    <w:semiHidden/>
    <w:unhideWhenUsed/>
    <w:rsid w:val="00925688"/>
    <w:rPr>
      <w:sz w:val="16"/>
      <w:szCs w:val="16"/>
    </w:rPr>
  </w:style>
  <w:style w:type="paragraph" w:styleId="CommentText">
    <w:name w:val="annotation text"/>
    <w:aliases w:val=" Char,Char"/>
    <w:basedOn w:val="Normal"/>
    <w:link w:val="CommentTextChar"/>
    <w:uiPriority w:val="99"/>
    <w:unhideWhenUsed/>
    <w:rsid w:val="00925688"/>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aliases w:val=" Char Char,Char Char"/>
    <w:basedOn w:val="DefaultParagraphFont"/>
    <w:link w:val="CommentText"/>
    <w:rsid w:val="00925688"/>
    <w:rPr>
      <w:sz w:val="20"/>
      <w:szCs w:val="20"/>
    </w:rPr>
  </w:style>
  <w:style w:type="paragraph" w:styleId="CommentSubject">
    <w:name w:val="annotation subject"/>
    <w:basedOn w:val="CommentText"/>
    <w:next w:val="CommentText"/>
    <w:link w:val="CommentSubjectChar"/>
    <w:uiPriority w:val="99"/>
    <w:semiHidden/>
    <w:unhideWhenUsed/>
    <w:rsid w:val="00925688"/>
    <w:rPr>
      <w:b/>
      <w:bCs/>
    </w:rPr>
  </w:style>
  <w:style w:type="character" w:customStyle="1" w:styleId="CommentSubjectChar">
    <w:name w:val="Comment Subject Char"/>
    <w:basedOn w:val="CommentTextChar"/>
    <w:link w:val="CommentSubject"/>
    <w:uiPriority w:val="99"/>
    <w:semiHidden/>
    <w:rsid w:val="00925688"/>
    <w:rPr>
      <w:b/>
      <w:bCs/>
      <w:sz w:val="20"/>
      <w:szCs w:val="20"/>
    </w:rPr>
  </w:style>
  <w:style w:type="character" w:styleId="FollowedHyperlink">
    <w:name w:val="FollowedHyperlink"/>
    <w:basedOn w:val="DefaultParagraphFont"/>
    <w:uiPriority w:val="99"/>
    <w:semiHidden/>
    <w:unhideWhenUsed/>
    <w:rsid w:val="00925688"/>
    <w:rPr>
      <w:color w:val="954F72" w:themeColor="followedHyperlink"/>
      <w:u w:val="single"/>
    </w:rPr>
  </w:style>
  <w:style w:type="character" w:styleId="UnresolvedMention">
    <w:name w:val="Unresolved Mention"/>
    <w:basedOn w:val="DefaultParagraphFont"/>
    <w:uiPriority w:val="99"/>
    <w:semiHidden/>
    <w:unhideWhenUsed/>
    <w:rsid w:val="00925688"/>
    <w:rPr>
      <w:color w:val="605E5C"/>
      <w:shd w:val="clear" w:color="auto" w:fill="E1DFDD"/>
    </w:rPr>
  </w:style>
  <w:style w:type="paragraph" w:styleId="Revision">
    <w:name w:val="Revision"/>
    <w:hidden/>
    <w:uiPriority w:val="99"/>
    <w:semiHidden/>
    <w:rsid w:val="00925688"/>
    <w:pPr>
      <w:spacing w:after="0" w:line="240" w:lineRule="auto"/>
    </w:pPr>
  </w:style>
  <w:style w:type="numbering" w:customStyle="1" w:styleId="NoList2">
    <w:name w:val="No List2"/>
    <w:next w:val="NoList"/>
    <w:uiPriority w:val="99"/>
    <w:semiHidden/>
    <w:unhideWhenUsed/>
    <w:rsid w:val="0016333F"/>
  </w:style>
  <w:style w:type="paragraph" w:styleId="NormalWeb">
    <w:name w:val="Normal (Web)"/>
    <w:basedOn w:val="Normal"/>
    <w:uiPriority w:val="99"/>
    <w:unhideWhenUsed/>
    <w:rsid w:val="0016333F"/>
    <w:pPr>
      <w:spacing w:before="100" w:beforeAutospacing="1" w:after="100" w:afterAutospacing="1"/>
    </w:pPr>
    <w:rPr>
      <w:rFonts w:eastAsia="Times New Roman"/>
      <w:lang w:eastAsia="lv-LV"/>
    </w:rPr>
  </w:style>
  <w:style w:type="paragraph" w:customStyle="1" w:styleId="tv213">
    <w:name w:val="tv213"/>
    <w:basedOn w:val="Normal"/>
    <w:rsid w:val="0016333F"/>
    <w:pPr>
      <w:spacing w:before="100" w:beforeAutospacing="1" w:after="100" w:afterAutospacing="1"/>
    </w:pPr>
    <w:rPr>
      <w:rFonts w:eastAsia="Times New Roman"/>
      <w:lang w:eastAsia="lv-LV"/>
    </w:rPr>
  </w:style>
  <w:style w:type="table" w:styleId="GridTable4-Accent5">
    <w:name w:val="Grid Table 4 Accent 5"/>
    <w:basedOn w:val="TableNormal"/>
    <w:uiPriority w:val="49"/>
    <w:rsid w:val="0016333F"/>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16333F"/>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16333F"/>
    <w:rPr>
      <w:b/>
      <w:bCs/>
    </w:rPr>
  </w:style>
  <w:style w:type="paragraph" w:customStyle="1" w:styleId="pf0">
    <w:name w:val="pf0"/>
    <w:basedOn w:val="Normal"/>
    <w:rsid w:val="0016333F"/>
    <w:pPr>
      <w:spacing w:before="100" w:beforeAutospacing="1" w:after="100" w:afterAutospacing="1"/>
    </w:pPr>
    <w:rPr>
      <w:rFonts w:eastAsia="Times New Roman"/>
      <w:lang w:eastAsia="lv-LV"/>
    </w:rPr>
  </w:style>
  <w:style w:type="character" w:customStyle="1" w:styleId="cf01">
    <w:name w:val="cf01"/>
    <w:basedOn w:val="DefaultParagraphFont"/>
    <w:rsid w:val="0016333F"/>
    <w:rPr>
      <w:rFonts w:ascii="Segoe UI" w:hAnsi="Segoe UI" w:cs="Segoe UI" w:hint="default"/>
      <w:sz w:val="18"/>
      <w:szCs w:val="18"/>
    </w:rPr>
  </w:style>
  <w:style w:type="paragraph" w:customStyle="1" w:styleId="paragraph">
    <w:name w:val="paragraph"/>
    <w:basedOn w:val="Normal"/>
    <w:rsid w:val="0016333F"/>
    <w:pPr>
      <w:spacing w:before="100" w:beforeAutospacing="1" w:after="100" w:afterAutospacing="1"/>
    </w:pPr>
    <w:rPr>
      <w:rFonts w:eastAsia="Times New Roman"/>
      <w:lang w:eastAsia="lv-LV"/>
    </w:rPr>
  </w:style>
  <w:style w:type="paragraph" w:customStyle="1" w:styleId="xmsonormal">
    <w:name w:val="x_msonormal"/>
    <w:basedOn w:val="Normal"/>
    <w:rsid w:val="0016333F"/>
    <w:rPr>
      <w:rFonts w:ascii="Calibri" w:eastAsiaTheme="minorHAnsi" w:hAnsi="Calibri" w:cs="Calibri"/>
      <w:sz w:val="22"/>
      <w:szCs w:val="22"/>
      <w:lang w:eastAsia="lv-LV"/>
    </w:rPr>
  </w:style>
  <w:style w:type="paragraph" w:styleId="Header">
    <w:name w:val="header"/>
    <w:basedOn w:val="Normal"/>
    <w:link w:val="HeaderChar"/>
    <w:uiPriority w:val="99"/>
    <w:unhideWhenUsed/>
    <w:rsid w:val="0016333F"/>
    <w:pPr>
      <w:tabs>
        <w:tab w:val="center" w:pos="4153"/>
        <w:tab w:val="right" w:pos="8306"/>
      </w:tabs>
    </w:pPr>
  </w:style>
  <w:style w:type="character" w:customStyle="1" w:styleId="HeaderChar">
    <w:name w:val="Header Char"/>
    <w:basedOn w:val="DefaultParagraphFont"/>
    <w:link w:val="Header"/>
    <w:uiPriority w:val="99"/>
    <w:rsid w:val="0016333F"/>
    <w:rPr>
      <w:rFonts w:ascii="Times New Roman" w:eastAsia="Batang" w:hAnsi="Times New Roman" w:cs="Times New Roman"/>
      <w:kern w:val="0"/>
      <w:sz w:val="24"/>
      <w:szCs w:val="24"/>
      <w:lang w:val="en-US" w:eastAsia="ko-KR"/>
      <w14:ligatures w14:val="none"/>
    </w:rPr>
  </w:style>
  <w:style w:type="paragraph" w:styleId="Footer">
    <w:name w:val="footer"/>
    <w:basedOn w:val="Normal"/>
    <w:link w:val="FooterChar"/>
    <w:uiPriority w:val="99"/>
    <w:unhideWhenUsed/>
    <w:rsid w:val="0016333F"/>
    <w:pPr>
      <w:tabs>
        <w:tab w:val="center" w:pos="4153"/>
        <w:tab w:val="right" w:pos="8306"/>
      </w:tabs>
    </w:pPr>
  </w:style>
  <w:style w:type="character" w:customStyle="1" w:styleId="FooterChar">
    <w:name w:val="Footer Char"/>
    <w:basedOn w:val="DefaultParagraphFont"/>
    <w:link w:val="Footer"/>
    <w:uiPriority w:val="99"/>
    <w:rsid w:val="0016333F"/>
    <w:rPr>
      <w:rFonts w:ascii="Times New Roman" w:eastAsia="Batang" w:hAnsi="Times New Roman" w:cs="Times New Roman"/>
      <w:kern w:val="0"/>
      <w:sz w:val="24"/>
      <w:szCs w:val="24"/>
      <w:lang w:val="en-US" w:eastAsia="ko-KR"/>
      <w14:ligatures w14:val="none"/>
    </w:rPr>
  </w:style>
  <w:style w:type="paragraph" w:customStyle="1" w:styleId="CharCharCharChar">
    <w:name w:val="Char Char Char Char"/>
    <w:aliases w:val="Char2"/>
    <w:basedOn w:val="Normal"/>
    <w:next w:val="Normal"/>
    <w:link w:val="FootnoteReference"/>
    <w:uiPriority w:val="99"/>
    <w:rsid w:val="009E5D04"/>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paragraph" w:customStyle="1" w:styleId="naisf">
    <w:name w:val="naisf"/>
    <w:basedOn w:val="Normal"/>
    <w:rsid w:val="00237E11"/>
    <w:pPr>
      <w:spacing w:before="100" w:beforeAutospacing="1" w:after="100" w:afterAutospacing="1"/>
    </w:pPr>
    <w:rPr>
      <w:rFonts w:eastAsia="Times New Roman"/>
      <w:lang w:eastAsia="en-US"/>
    </w:rPr>
  </w:style>
  <w:style w:type="table" w:customStyle="1" w:styleId="TableGrid1">
    <w:name w:val="Table Grid1"/>
    <w:basedOn w:val="TableNormal"/>
    <w:next w:val="TableGrid"/>
    <w:uiPriority w:val="39"/>
    <w:rsid w:val="005A1F81"/>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3A0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766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E3DBD"/>
  </w:style>
  <w:style w:type="table" w:customStyle="1" w:styleId="TableGrid13">
    <w:name w:val="Table Grid13"/>
    <w:basedOn w:val="TableNormal"/>
    <w:next w:val="TableGrid"/>
    <w:uiPriority w:val="39"/>
    <w:rsid w:val="00EE3DBD"/>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3D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E3DBD"/>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EE3DBD"/>
    <w:pPr>
      <w:spacing w:after="0" w:line="240" w:lineRule="auto"/>
    </w:pPr>
    <w:rPr>
      <w:rFonts w:ascii="Times New Roman" w:hAnsi="Times New Roman"/>
      <w:kern w:val="0"/>
      <w:sz w:val="24"/>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EE3DBD"/>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EE3DBD"/>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01">
    <w:name w:val="fontstyle01"/>
    <w:basedOn w:val="DefaultParagraphFont"/>
    <w:rsid w:val="00EE3DBD"/>
    <w:rPr>
      <w:rFonts w:ascii="Times New Roman" w:hAnsi="Times New Roman" w:cs="Times New Roman" w:hint="default"/>
      <w:b w:val="0"/>
      <w:bCs w:val="0"/>
      <w:i w:val="0"/>
      <w:iCs w:val="0"/>
      <w:color w:val="000000"/>
      <w:sz w:val="26"/>
      <w:szCs w:val="26"/>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EE3DBD"/>
    <w:rPr>
      <w:rFonts w:ascii="Times New Roman" w:eastAsia="Batang" w:hAnsi="Times New Roman" w:cs="Times New Roman"/>
      <w:kern w:val="0"/>
      <w:sz w:val="24"/>
      <w:szCs w:val="24"/>
      <w:lang w:val="en-US" w:eastAsia="ko-KR"/>
      <w14:ligatures w14:val="none"/>
    </w:rPr>
  </w:style>
  <w:style w:type="paragraph" w:customStyle="1" w:styleId="Heading41">
    <w:name w:val="Heading 41"/>
    <w:basedOn w:val="Normal"/>
    <w:next w:val="Normal"/>
    <w:uiPriority w:val="9"/>
    <w:unhideWhenUsed/>
    <w:qFormat/>
    <w:rsid w:val="00CD647B"/>
    <w:pPr>
      <w:keepNext/>
      <w:keepLines/>
      <w:spacing w:after="120" w:line="259" w:lineRule="auto"/>
      <w:jc w:val="center"/>
      <w:outlineLvl w:val="3"/>
    </w:pPr>
    <w:rPr>
      <w:rFonts w:eastAsia="Times New Roman"/>
      <w:b/>
      <w:iCs/>
      <w:sz w:val="28"/>
      <w:szCs w:val="22"/>
      <w:lang w:eastAsia="en-US"/>
    </w:rPr>
  </w:style>
  <w:style w:type="numbering" w:customStyle="1" w:styleId="NoList4">
    <w:name w:val="No List4"/>
    <w:next w:val="NoList"/>
    <w:uiPriority w:val="99"/>
    <w:semiHidden/>
    <w:unhideWhenUsed/>
    <w:rsid w:val="00CD647B"/>
  </w:style>
  <w:style w:type="paragraph" w:styleId="BalloonText">
    <w:name w:val="Balloon Text"/>
    <w:basedOn w:val="Normal"/>
    <w:link w:val="BalloonTextChar"/>
    <w:semiHidden/>
    <w:unhideWhenUsed/>
    <w:rsid w:val="00CD647B"/>
    <w:pPr>
      <w:jc w:val="both"/>
    </w:pPr>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semiHidden/>
    <w:rsid w:val="00CD647B"/>
    <w:rPr>
      <w:rFonts w:ascii="Segoe UI" w:eastAsia="Times New Roman" w:hAnsi="Segoe UI" w:cs="Segoe UI"/>
      <w:kern w:val="0"/>
      <w:sz w:val="18"/>
      <w:szCs w:val="18"/>
      <w:lang w:val="en-US"/>
      <w14:ligatures w14:val="none"/>
    </w:rPr>
  </w:style>
  <w:style w:type="paragraph" w:customStyle="1" w:styleId="Default">
    <w:name w:val="Default"/>
    <w:rsid w:val="00CD647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5">
    <w:name w:val="Table Grid5"/>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D647B"/>
    <w:rPr>
      <w:color w:val="605E5C"/>
      <w:shd w:val="clear" w:color="auto" w:fill="E1DFDD"/>
    </w:rPr>
  </w:style>
  <w:style w:type="paragraph" w:customStyle="1" w:styleId="EndnoteText1">
    <w:name w:val="Endnote Text1"/>
    <w:basedOn w:val="Normal"/>
    <w:next w:val="EndnoteText"/>
    <w:link w:val="EndnoteTextChar"/>
    <w:uiPriority w:val="99"/>
    <w:semiHidden/>
    <w:unhideWhenUsed/>
    <w:rsid w:val="00CD647B"/>
    <w:rPr>
      <w:rFonts w:eastAsiaTheme="minorHAnsi"/>
      <w:kern w:val="2"/>
      <w:sz w:val="20"/>
      <w:szCs w:val="20"/>
      <w:lang w:eastAsia="en-US"/>
      <w14:ligatures w14:val="standardContextual"/>
    </w:rPr>
  </w:style>
  <w:style w:type="character" w:customStyle="1" w:styleId="EndnoteTextChar">
    <w:name w:val="Endnote Text Char"/>
    <w:basedOn w:val="DefaultParagraphFont"/>
    <w:link w:val="EndnoteText1"/>
    <w:uiPriority w:val="99"/>
    <w:semiHidden/>
    <w:rsid w:val="00CD647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CD647B"/>
    <w:rPr>
      <w:vertAlign w:val="superscript"/>
    </w:rPr>
  </w:style>
  <w:style w:type="paragraph" w:customStyle="1" w:styleId="Caption1">
    <w:name w:val="Caption1"/>
    <w:basedOn w:val="Normal"/>
    <w:next w:val="Normal"/>
    <w:uiPriority w:val="35"/>
    <w:unhideWhenUsed/>
    <w:qFormat/>
    <w:rsid w:val="00CD647B"/>
    <w:pPr>
      <w:spacing w:after="200"/>
    </w:pPr>
    <w:rPr>
      <w:rFonts w:eastAsia="Calibri"/>
      <w:i/>
      <w:iCs/>
      <w:color w:val="44546A"/>
      <w:sz w:val="18"/>
      <w:szCs w:val="18"/>
      <w:lang w:eastAsia="en-US"/>
    </w:rPr>
  </w:style>
  <w:style w:type="table" w:customStyle="1" w:styleId="TableGrid111">
    <w:name w:val="Table Grid111"/>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full">
    <w:name w:val="justifyfull"/>
    <w:basedOn w:val="Normal"/>
    <w:rsid w:val="00CD647B"/>
    <w:pPr>
      <w:spacing w:before="100" w:beforeAutospacing="1" w:after="100" w:afterAutospacing="1"/>
    </w:pPr>
    <w:rPr>
      <w:rFonts w:eastAsia="Times New Roman"/>
      <w:lang w:eastAsia="lv-LV"/>
    </w:rPr>
  </w:style>
  <w:style w:type="table" w:customStyle="1" w:styleId="TableGrid12">
    <w:name w:val="Table Grid12"/>
    <w:basedOn w:val="TableNormal"/>
    <w:next w:val="TableGrid"/>
    <w:uiPriority w:val="39"/>
    <w:rsid w:val="00CD647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21">
    <w:name w:val="Grid Table 4 - Accent 21"/>
    <w:basedOn w:val="TableNormal"/>
    <w:next w:val="GridTable4-Accent2"/>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21">
    <w:name w:val="Table Grid21"/>
    <w:basedOn w:val="TableNormal"/>
    <w:next w:val="TableGrid"/>
    <w:uiPriority w:val="39"/>
    <w:rsid w:val="00CD647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D647B"/>
    <w:rPr>
      <w:rFonts w:ascii="Times New Roman" w:eastAsia="Times New Roman" w:hAnsi="Times New Roman" w:cs="Times New Roman"/>
      <w:b/>
      <w:iCs/>
      <w:sz w:val="28"/>
      <w:lang w:val="en-US"/>
    </w:rPr>
  </w:style>
  <w:style w:type="table" w:customStyle="1" w:styleId="GridTable1Light1">
    <w:name w:val="Grid Table 1 Light1"/>
    <w:basedOn w:val="TableNormal"/>
    <w:next w:val="GridTable1Light"/>
    <w:uiPriority w:val="46"/>
    <w:rsid w:val="00CD647B"/>
    <w:pPr>
      <w:spacing w:after="0" w:line="240" w:lineRule="auto"/>
    </w:pPr>
    <w:rPr>
      <w:kern w:val="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647B"/>
    <w:pPr>
      <w:spacing w:after="0" w:line="240" w:lineRule="auto"/>
    </w:pPr>
    <w:rPr>
      <w:rFonts w:ascii="Times New Roman" w:eastAsia="Times New Roman" w:hAnsi="Times New Roman" w:cs="Times New Roman"/>
      <w:kern w:val="0"/>
      <w:sz w:val="20"/>
      <w:szCs w:val="20"/>
      <w14:ligatures w14:val="none"/>
    </w:rPr>
  </w:style>
  <w:style w:type="paragraph" w:customStyle="1" w:styleId="funkcijas">
    <w:name w:val="funkcijas"/>
    <w:basedOn w:val="Normal"/>
    <w:qFormat/>
    <w:rsid w:val="00CD647B"/>
    <w:pPr>
      <w:jc w:val="both"/>
    </w:pPr>
    <w:rPr>
      <w:rFonts w:eastAsia="Times New Roman"/>
      <w:bCs/>
      <w:szCs w:val="20"/>
      <w:u w:val="single"/>
      <w:lang w:eastAsia="en-US"/>
    </w:rPr>
  </w:style>
  <w:style w:type="paragraph" w:customStyle="1" w:styleId="programmas">
    <w:name w:val="programmas"/>
    <w:basedOn w:val="Normal"/>
    <w:uiPriority w:val="99"/>
    <w:qFormat/>
    <w:rsid w:val="00CD647B"/>
    <w:pPr>
      <w:widowControl w:val="0"/>
      <w:spacing w:before="240" w:after="120"/>
      <w:jc w:val="center"/>
    </w:pPr>
    <w:rPr>
      <w:rFonts w:eastAsia="Times New Roman"/>
      <w:b/>
      <w:szCs w:val="20"/>
      <w:lang w:eastAsia="en-US"/>
    </w:rPr>
  </w:style>
  <w:style w:type="paragraph" w:customStyle="1" w:styleId="Tabuluvirsraksti">
    <w:name w:val="Tabulu_virsraksti"/>
    <w:basedOn w:val="Normal"/>
    <w:qFormat/>
    <w:rsid w:val="00CD647B"/>
    <w:pPr>
      <w:spacing w:after="120"/>
      <w:jc w:val="center"/>
    </w:pPr>
    <w:rPr>
      <w:rFonts w:eastAsia="Times New Roman"/>
      <w:szCs w:val="20"/>
      <w:lang w:eastAsia="en-US"/>
    </w:rPr>
  </w:style>
  <w:style w:type="table" w:customStyle="1" w:styleId="TableGrid9">
    <w:name w:val="Table Grid9"/>
    <w:basedOn w:val="TableNormal"/>
    <w:next w:val="TableGrid"/>
    <w:uiPriority w:val="39"/>
    <w:rsid w:val="00CD647B"/>
    <w:pPr>
      <w:widowControl w:val="0"/>
      <w:spacing w:after="0" w:line="240" w:lineRule="auto"/>
    </w:pPr>
    <w:rPr>
      <w:rFonts w:eastAsia="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
    <w:name w:val="Grid Table 4 - Accent 22"/>
    <w:basedOn w:val="TableNormal"/>
    <w:next w:val="GridTable4-Accent2"/>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4">
    <w:name w:val="Table Grid14"/>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doc-ti">
    <w:name w:val="oj-doc-ti"/>
    <w:basedOn w:val="Normal"/>
    <w:rsid w:val="00CD647B"/>
    <w:pPr>
      <w:spacing w:before="100" w:beforeAutospacing="1" w:after="100" w:afterAutospacing="1"/>
    </w:pPr>
    <w:rPr>
      <w:rFonts w:eastAsia="Calibri"/>
      <w:lang w:eastAsia="lv-LV"/>
    </w:rPr>
  </w:style>
  <w:style w:type="paragraph" w:customStyle="1" w:styleId="PlainText1">
    <w:name w:val="Plain Text1"/>
    <w:basedOn w:val="Normal"/>
    <w:next w:val="PlainText"/>
    <w:link w:val="PlainTextChar"/>
    <w:uiPriority w:val="99"/>
    <w:unhideWhenUsed/>
    <w:rsid w:val="00CD647B"/>
    <w:rPr>
      <w:rFonts w:ascii="Calibri" w:eastAsiaTheme="minorHAnsi" w:hAnsi="Calibri" w:cstheme="minorBidi"/>
      <w:color w:val="1F497D"/>
      <w:kern w:val="2"/>
      <w:sz w:val="22"/>
      <w:szCs w:val="21"/>
      <w:lang w:eastAsia="en-US"/>
      <w14:ligatures w14:val="standardContextual"/>
    </w:rPr>
  </w:style>
  <w:style w:type="character" w:customStyle="1" w:styleId="PlainTextChar">
    <w:name w:val="Plain Text Char"/>
    <w:basedOn w:val="DefaultParagraphFont"/>
    <w:link w:val="PlainText1"/>
    <w:uiPriority w:val="99"/>
    <w:rsid w:val="00CD647B"/>
    <w:rPr>
      <w:rFonts w:ascii="Calibri" w:hAnsi="Calibri"/>
      <w:color w:val="1F497D"/>
      <w:szCs w:val="21"/>
    </w:rPr>
  </w:style>
  <w:style w:type="character" w:customStyle="1" w:styleId="spelle">
    <w:name w:val="spelle"/>
    <w:basedOn w:val="DefaultParagraphFont"/>
    <w:rsid w:val="00CD647B"/>
  </w:style>
  <w:style w:type="table" w:customStyle="1" w:styleId="GridTable4-Accent11">
    <w:name w:val="Grid Table 4 - Accent 11"/>
    <w:basedOn w:val="TableNormal"/>
    <w:next w:val="GridTable4-Accent1"/>
    <w:uiPriority w:val="49"/>
    <w:rsid w:val="00CD647B"/>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EndnoteText">
    <w:name w:val="endnote text"/>
    <w:basedOn w:val="Normal"/>
    <w:link w:val="EndnoteTextChar1"/>
    <w:uiPriority w:val="99"/>
    <w:semiHidden/>
    <w:unhideWhenUsed/>
    <w:rsid w:val="00CD647B"/>
    <w:rPr>
      <w:sz w:val="20"/>
      <w:szCs w:val="20"/>
    </w:rPr>
  </w:style>
  <w:style w:type="character" w:customStyle="1" w:styleId="EndnoteTextChar1">
    <w:name w:val="Endnote Text Char1"/>
    <w:basedOn w:val="DefaultParagraphFont"/>
    <w:link w:val="EndnoteText"/>
    <w:uiPriority w:val="99"/>
    <w:semiHidden/>
    <w:rsid w:val="00CD647B"/>
    <w:rPr>
      <w:rFonts w:ascii="Times New Roman" w:eastAsia="Batang" w:hAnsi="Times New Roman" w:cs="Times New Roman"/>
      <w:kern w:val="0"/>
      <w:sz w:val="20"/>
      <w:szCs w:val="20"/>
      <w:lang w:val="en-US" w:eastAsia="ko-KR"/>
      <w14:ligatures w14:val="none"/>
    </w:rPr>
  </w:style>
  <w:style w:type="table" w:styleId="GridTable1Light-Accent1">
    <w:name w:val="Grid Table 1 Light Accent 1"/>
    <w:basedOn w:val="TableNormal"/>
    <w:uiPriority w:val="46"/>
    <w:rsid w:val="00CD647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D647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D647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4Char1">
    <w:name w:val="Heading 4 Char1"/>
    <w:basedOn w:val="DefaultParagraphFont"/>
    <w:uiPriority w:val="9"/>
    <w:semiHidden/>
    <w:rsid w:val="00CD647B"/>
    <w:rPr>
      <w:rFonts w:asciiTheme="majorHAnsi" w:eastAsiaTheme="majorEastAsia" w:hAnsiTheme="majorHAnsi" w:cstheme="majorBidi"/>
      <w:i/>
      <w:iCs/>
      <w:color w:val="2F5496" w:themeColor="accent1" w:themeShade="BF"/>
      <w:kern w:val="0"/>
      <w:sz w:val="24"/>
      <w:szCs w:val="24"/>
      <w:lang w:val="en-US" w:eastAsia="ko-KR"/>
      <w14:ligatures w14:val="none"/>
    </w:rPr>
  </w:style>
  <w:style w:type="table" w:styleId="GridTable1Light">
    <w:name w:val="Grid Table 1 Light"/>
    <w:basedOn w:val="TableNormal"/>
    <w:uiPriority w:val="46"/>
    <w:rsid w:val="00CD64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1"/>
    <w:uiPriority w:val="99"/>
    <w:unhideWhenUsed/>
    <w:rsid w:val="00CD647B"/>
    <w:rPr>
      <w:rFonts w:ascii="Consolas" w:hAnsi="Consolas"/>
      <w:sz w:val="21"/>
      <w:szCs w:val="21"/>
    </w:rPr>
  </w:style>
  <w:style w:type="character" w:customStyle="1" w:styleId="PlainTextChar1">
    <w:name w:val="Plain Text Char1"/>
    <w:basedOn w:val="DefaultParagraphFont"/>
    <w:link w:val="PlainText"/>
    <w:uiPriority w:val="99"/>
    <w:semiHidden/>
    <w:rsid w:val="00CD647B"/>
    <w:rPr>
      <w:rFonts w:ascii="Consolas" w:eastAsia="Batang" w:hAnsi="Consolas" w:cs="Times New Roman"/>
      <w:kern w:val="0"/>
      <w:sz w:val="21"/>
      <w:szCs w:val="21"/>
      <w:lang w:val="en-US" w:eastAsia="ko-KR"/>
      <w14:ligatures w14:val="none"/>
    </w:rPr>
  </w:style>
  <w:style w:type="paragraph" w:customStyle="1" w:styleId="tv2131">
    <w:name w:val="tv2131"/>
    <w:basedOn w:val="Normal"/>
    <w:rsid w:val="00066F37"/>
    <w:pPr>
      <w:spacing w:line="360" w:lineRule="auto"/>
      <w:ind w:firstLine="300"/>
    </w:pPr>
    <w:rPr>
      <w:rFonts w:eastAsia="Times New Roman"/>
      <w:color w:val="414142"/>
      <w:sz w:val="20"/>
      <w:szCs w:val="20"/>
      <w:lang w:eastAsia="lv-LV"/>
    </w:rPr>
  </w:style>
  <w:style w:type="character" w:customStyle="1" w:styleId="Heading5Char">
    <w:name w:val="Heading 5 Char"/>
    <w:basedOn w:val="DefaultParagraphFont"/>
    <w:link w:val="Heading5"/>
    <w:rsid w:val="0017150F"/>
    <w:rPr>
      <w:rFonts w:ascii="Times New Roman" w:eastAsia="Times New Roman" w:hAnsi="Times New Roman" w:cs="Times New Roman"/>
      <w:b/>
      <w:bCs/>
      <w:i/>
      <w:iCs/>
      <w:kern w:val="0"/>
      <w:sz w:val="28"/>
      <w:szCs w:val="20"/>
      <w:lang w:val="x-none" w:eastAsia="lv-LV"/>
      <w14:ligatures w14:val="none"/>
    </w:rPr>
  </w:style>
  <w:style w:type="character" w:customStyle="1" w:styleId="Heading6Char">
    <w:name w:val="Heading 6 Char"/>
    <w:basedOn w:val="DefaultParagraphFont"/>
    <w:link w:val="Heading6"/>
    <w:rsid w:val="00502EF8"/>
    <w:rPr>
      <w:rFonts w:ascii="Times New Roman" w:eastAsia="Times New Roman" w:hAnsi="Times New Roman" w:cs="Times New Roman"/>
      <w:b/>
      <w:kern w:val="0"/>
      <w:sz w:val="20"/>
      <w:szCs w:val="20"/>
      <w:u w:val="single"/>
      <w:lang w:val="x-none" w:eastAsia="x-none"/>
      <w14:ligatures w14:val="none"/>
    </w:rPr>
  </w:style>
  <w:style w:type="numbering" w:customStyle="1" w:styleId="NoList5">
    <w:name w:val="No List5"/>
    <w:next w:val="NoList"/>
    <w:uiPriority w:val="99"/>
    <w:semiHidden/>
    <w:unhideWhenUsed/>
    <w:rsid w:val="00502EF8"/>
  </w:style>
  <w:style w:type="table" w:customStyle="1" w:styleId="TableGrid15">
    <w:name w:val="Table Grid15"/>
    <w:basedOn w:val="TableNormal"/>
    <w:next w:val="TableGrid"/>
    <w:uiPriority w:val="59"/>
    <w:rsid w:val="00502EF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
    <w:name w:val="Z"/>
    <w:basedOn w:val="Normal"/>
    <w:rsid w:val="00502EF8"/>
    <w:pPr>
      <w:spacing w:after="120"/>
      <w:jc w:val="center"/>
    </w:pPr>
    <w:rPr>
      <w:rFonts w:eastAsia="Times New Roman"/>
      <w:b/>
      <w:i/>
      <w:szCs w:val="20"/>
      <w:lang w:eastAsia="en-US"/>
    </w:rPr>
  </w:style>
  <w:style w:type="paragraph" w:customStyle="1" w:styleId="H2">
    <w:name w:val="H2"/>
    <w:rsid w:val="00502EF8"/>
    <w:pPr>
      <w:spacing w:after="120" w:line="240" w:lineRule="auto"/>
      <w:jc w:val="center"/>
      <w:outlineLvl w:val="1"/>
    </w:pPr>
    <w:rPr>
      <w:rFonts w:ascii="Times New Roman" w:eastAsia="Times New Roman" w:hAnsi="Times New Roman" w:cs="Times New Roman"/>
      <w:b/>
      <w:kern w:val="0"/>
      <w:sz w:val="36"/>
      <w:szCs w:val="20"/>
      <w14:ligatures w14:val="none"/>
    </w:rPr>
  </w:style>
  <w:style w:type="paragraph" w:customStyle="1" w:styleId="H1">
    <w:name w:val="H1"/>
    <w:rsid w:val="00502EF8"/>
    <w:pPr>
      <w:spacing w:after="120" w:line="240" w:lineRule="auto"/>
      <w:jc w:val="center"/>
      <w:outlineLvl w:val="0"/>
    </w:pPr>
    <w:rPr>
      <w:rFonts w:ascii="Times New Roman" w:eastAsia="Times New Roman" w:hAnsi="Times New Roman" w:cs="Times New Roman"/>
      <w:b/>
      <w:kern w:val="0"/>
      <w:sz w:val="40"/>
      <w:szCs w:val="20"/>
      <w14:ligatures w14:val="none"/>
    </w:rPr>
  </w:style>
  <w:style w:type="paragraph" w:customStyle="1" w:styleId="H3">
    <w:name w:val="H3"/>
    <w:rsid w:val="00502EF8"/>
    <w:pPr>
      <w:spacing w:after="120" w:line="240" w:lineRule="auto"/>
      <w:jc w:val="center"/>
      <w:outlineLvl w:val="2"/>
    </w:pPr>
    <w:rPr>
      <w:rFonts w:ascii="Times New Roman" w:eastAsia="Times New Roman" w:hAnsi="Times New Roman" w:cs="Times New Roman"/>
      <w:b/>
      <w:kern w:val="0"/>
      <w:sz w:val="32"/>
      <w:szCs w:val="20"/>
      <w14:ligatures w14:val="none"/>
    </w:rPr>
  </w:style>
  <w:style w:type="paragraph" w:customStyle="1" w:styleId="H4">
    <w:name w:val="H4"/>
    <w:rsid w:val="00502EF8"/>
    <w:pPr>
      <w:spacing w:after="120" w:line="240" w:lineRule="auto"/>
      <w:jc w:val="center"/>
      <w:outlineLvl w:val="3"/>
    </w:pPr>
    <w:rPr>
      <w:rFonts w:ascii="Times New Roman" w:eastAsia="Times New Roman" w:hAnsi="Times New Roman" w:cs="Times New Roman"/>
      <w:b/>
      <w:kern w:val="0"/>
      <w:sz w:val="28"/>
      <w:szCs w:val="20"/>
      <w14:ligatures w14:val="none"/>
    </w:rPr>
  </w:style>
  <w:style w:type="paragraph" w:customStyle="1" w:styleId="H5">
    <w:name w:val="H5"/>
    <w:basedOn w:val="H4"/>
    <w:rsid w:val="00502EF8"/>
  </w:style>
  <w:style w:type="paragraph" w:customStyle="1" w:styleId="tabteksts">
    <w:name w:val="tab_teksts"/>
    <w:basedOn w:val="Normal"/>
    <w:rsid w:val="00502EF8"/>
    <w:rPr>
      <w:rFonts w:eastAsia="Times New Roman"/>
      <w:sz w:val="20"/>
      <w:szCs w:val="20"/>
      <w:lang w:eastAsia="en-US"/>
    </w:rPr>
  </w:style>
  <w:style w:type="paragraph" w:customStyle="1" w:styleId="T">
    <w:name w:val="T"/>
    <w:basedOn w:val="Normal"/>
    <w:rsid w:val="00502EF8"/>
    <w:pPr>
      <w:keepNext/>
      <w:spacing w:after="120"/>
      <w:jc w:val="center"/>
    </w:pPr>
    <w:rPr>
      <w:rFonts w:eastAsia="Times New Roman"/>
      <w:b/>
      <w:i/>
      <w:szCs w:val="20"/>
      <w:lang w:eastAsia="en-US"/>
    </w:rPr>
  </w:style>
  <w:style w:type="character" w:styleId="PageNumber">
    <w:name w:val="page number"/>
    <w:rsid w:val="00502EF8"/>
    <w:rPr>
      <w:rFonts w:cs="Times New Roman"/>
      <w:sz w:val="24"/>
    </w:rPr>
  </w:style>
  <w:style w:type="paragraph" w:customStyle="1" w:styleId="tabtekst">
    <w:name w:val="tab_tekst"/>
    <w:basedOn w:val="Normal"/>
    <w:rsid w:val="00502EF8"/>
    <w:rPr>
      <w:rFonts w:eastAsia="Times New Roman"/>
      <w:color w:val="000000"/>
      <w:sz w:val="20"/>
      <w:szCs w:val="20"/>
      <w:lang w:eastAsia="en-US"/>
    </w:rPr>
  </w:style>
  <w:style w:type="paragraph" w:styleId="DocumentMap">
    <w:name w:val="Document Map"/>
    <w:basedOn w:val="Normal"/>
    <w:link w:val="DocumentMapChar"/>
    <w:semiHidden/>
    <w:rsid w:val="00502EF8"/>
    <w:pPr>
      <w:shd w:val="clear" w:color="auto" w:fill="000080"/>
      <w:spacing w:after="120"/>
      <w:ind w:firstLine="709"/>
      <w:jc w:val="both"/>
    </w:pPr>
    <w:rPr>
      <w:rFonts w:ascii="Tahoma" w:eastAsia="Times New Roman" w:hAnsi="Tahoma"/>
      <w:szCs w:val="20"/>
      <w:lang w:val="x-none" w:eastAsia="x-none"/>
    </w:rPr>
  </w:style>
  <w:style w:type="character" w:customStyle="1" w:styleId="DocumentMapChar">
    <w:name w:val="Document Map Char"/>
    <w:basedOn w:val="DefaultParagraphFont"/>
    <w:link w:val="DocumentMap"/>
    <w:semiHidden/>
    <w:rsid w:val="00502EF8"/>
    <w:rPr>
      <w:rFonts w:ascii="Tahoma" w:eastAsia="Times New Roman" w:hAnsi="Tahoma" w:cs="Times New Roman"/>
      <w:kern w:val="0"/>
      <w:sz w:val="24"/>
      <w:szCs w:val="20"/>
      <w:shd w:val="clear" w:color="auto" w:fill="000080"/>
      <w:lang w:val="x-none" w:eastAsia="x-none"/>
      <w14:ligatures w14:val="none"/>
    </w:rPr>
  </w:style>
  <w:style w:type="paragraph" w:styleId="TOC4">
    <w:name w:val="toc 4"/>
    <w:basedOn w:val="Normal"/>
    <w:next w:val="Normal"/>
    <w:autoRedefine/>
    <w:semiHidden/>
    <w:rsid w:val="00502EF8"/>
    <w:pPr>
      <w:spacing w:after="120"/>
      <w:ind w:left="720" w:firstLine="709"/>
      <w:jc w:val="both"/>
    </w:pPr>
    <w:rPr>
      <w:rFonts w:eastAsia="Times New Roman"/>
      <w:szCs w:val="20"/>
      <w:lang w:eastAsia="en-US"/>
    </w:rPr>
  </w:style>
  <w:style w:type="paragraph" w:styleId="TOC5">
    <w:name w:val="toc 5"/>
    <w:basedOn w:val="Normal"/>
    <w:next w:val="Normal"/>
    <w:autoRedefine/>
    <w:semiHidden/>
    <w:rsid w:val="00502EF8"/>
    <w:pPr>
      <w:spacing w:after="120"/>
      <w:ind w:left="960" w:firstLine="709"/>
      <w:jc w:val="both"/>
    </w:pPr>
    <w:rPr>
      <w:rFonts w:eastAsia="Times New Roman"/>
      <w:szCs w:val="20"/>
      <w:lang w:eastAsia="en-US"/>
    </w:rPr>
  </w:style>
  <w:style w:type="paragraph" w:styleId="TOC6">
    <w:name w:val="toc 6"/>
    <w:basedOn w:val="Normal"/>
    <w:next w:val="Normal"/>
    <w:autoRedefine/>
    <w:semiHidden/>
    <w:rsid w:val="00502EF8"/>
    <w:pPr>
      <w:spacing w:after="120"/>
      <w:ind w:left="1200" w:firstLine="709"/>
      <w:jc w:val="both"/>
    </w:pPr>
    <w:rPr>
      <w:rFonts w:eastAsia="Times New Roman"/>
      <w:szCs w:val="20"/>
      <w:lang w:eastAsia="en-US"/>
    </w:rPr>
  </w:style>
  <w:style w:type="paragraph" w:styleId="TOC7">
    <w:name w:val="toc 7"/>
    <w:basedOn w:val="Normal"/>
    <w:next w:val="Normal"/>
    <w:autoRedefine/>
    <w:semiHidden/>
    <w:rsid w:val="00502EF8"/>
    <w:pPr>
      <w:spacing w:after="120"/>
      <w:ind w:left="1440" w:firstLine="709"/>
      <w:jc w:val="both"/>
    </w:pPr>
    <w:rPr>
      <w:rFonts w:eastAsia="Times New Roman"/>
      <w:szCs w:val="20"/>
      <w:lang w:eastAsia="en-US"/>
    </w:rPr>
  </w:style>
  <w:style w:type="paragraph" w:styleId="TOC8">
    <w:name w:val="toc 8"/>
    <w:basedOn w:val="Normal"/>
    <w:next w:val="Normal"/>
    <w:autoRedefine/>
    <w:semiHidden/>
    <w:rsid w:val="00502EF8"/>
    <w:pPr>
      <w:spacing w:after="120"/>
      <w:ind w:left="1680" w:firstLine="709"/>
      <w:jc w:val="both"/>
    </w:pPr>
    <w:rPr>
      <w:rFonts w:eastAsia="Times New Roman"/>
      <w:szCs w:val="20"/>
      <w:lang w:eastAsia="en-US"/>
    </w:rPr>
  </w:style>
  <w:style w:type="paragraph" w:styleId="TOC9">
    <w:name w:val="toc 9"/>
    <w:basedOn w:val="Normal"/>
    <w:next w:val="Normal"/>
    <w:autoRedefine/>
    <w:semiHidden/>
    <w:rsid w:val="00502EF8"/>
    <w:pPr>
      <w:spacing w:after="120"/>
      <w:ind w:left="1920" w:firstLine="709"/>
      <w:jc w:val="both"/>
    </w:pPr>
    <w:rPr>
      <w:rFonts w:eastAsia="Times New Roman"/>
      <w:szCs w:val="20"/>
      <w:lang w:eastAsia="en-US"/>
    </w:rPr>
  </w:style>
  <w:style w:type="paragraph" w:styleId="BodyText2">
    <w:name w:val="Body Text 2"/>
    <w:basedOn w:val="Normal"/>
    <w:link w:val="BodyText2Char"/>
    <w:semiHidden/>
    <w:unhideWhenUsed/>
    <w:rsid w:val="00502EF8"/>
    <w:pPr>
      <w:spacing w:after="120" w:line="480" w:lineRule="auto"/>
      <w:ind w:firstLine="709"/>
      <w:jc w:val="both"/>
    </w:pPr>
    <w:rPr>
      <w:rFonts w:eastAsia="Times New Roman"/>
      <w:szCs w:val="20"/>
      <w:lang w:val="x-none" w:eastAsia="x-none"/>
    </w:rPr>
  </w:style>
  <w:style w:type="character" w:customStyle="1" w:styleId="BodyText2Char">
    <w:name w:val="Body Text 2 Char"/>
    <w:basedOn w:val="DefaultParagraphFont"/>
    <w:link w:val="BodyText2"/>
    <w:semiHidden/>
    <w:rsid w:val="00502EF8"/>
    <w:rPr>
      <w:rFonts w:ascii="Times New Roman" w:eastAsia="Times New Roman" w:hAnsi="Times New Roman" w:cs="Times New Roman"/>
      <w:kern w:val="0"/>
      <w:sz w:val="24"/>
      <w:szCs w:val="20"/>
      <w:lang w:val="x-none" w:eastAsia="x-none"/>
      <w14:ligatures w14:val="none"/>
    </w:rPr>
  </w:style>
  <w:style w:type="paragraph" w:styleId="BodyText3">
    <w:name w:val="Body Text 3"/>
    <w:basedOn w:val="Normal"/>
    <w:link w:val="BodyText3Char"/>
    <w:uiPriority w:val="99"/>
    <w:unhideWhenUsed/>
    <w:rsid w:val="00502EF8"/>
    <w:pPr>
      <w:spacing w:after="120"/>
      <w:ind w:firstLine="709"/>
      <w:jc w:val="both"/>
    </w:pPr>
    <w:rPr>
      <w:rFonts w:eastAsia="Times New Roman"/>
      <w:sz w:val="16"/>
      <w:szCs w:val="16"/>
      <w:lang w:val="x-none" w:eastAsia="en-US"/>
    </w:rPr>
  </w:style>
  <w:style w:type="character" w:customStyle="1" w:styleId="BodyText3Char">
    <w:name w:val="Body Text 3 Char"/>
    <w:basedOn w:val="DefaultParagraphFont"/>
    <w:link w:val="BodyText3"/>
    <w:uiPriority w:val="99"/>
    <w:rsid w:val="00502EF8"/>
    <w:rPr>
      <w:rFonts w:ascii="Times New Roman" w:eastAsia="Times New Roman" w:hAnsi="Times New Roman" w:cs="Times New Roman"/>
      <w:kern w:val="0"/>
      <w:sz w:val="16"/>
      <w:szCs w:val="16"/>
      <w:lang w:val="x-none"/>
      <w14:ligatures w14:val="none"/>
    </w:rPr>
  </w:style>
  <w:style w:type="paragraph" w:customStyle="1" w:styleId="owapara">
    <w:name w:val="owapara"/>
    <w:basedOn w:val="Normal"/>
    <w:uiPriority w:val="99"/>
    <w:rsid w:val="00502EF8"/>
    <w:rPr>
      <w:rFonts w:eastAsia="Calibri"/>
      <w:lang w:eastAsia="lv-LV"/>
    </w:rPr>
  </w:style>
  <w:style w:type="paragraph" w:customStyle="1" w:styleId="naispie">
    <w:name w:val="naispie"/>
    <w:basedOn w:val="Normal"/>
    <w:rsid w:val="00502EF8"/>
    <w:rPr>
      <w:rFonts w:eastAsia="Times New Roman"/>
      <w:lang w:eastAsia="lv-LV"/>
    </w:rPr>
  </w:style>
  <w:style w:type="paragraph" w:customStyle="1" w:styleId="nais1">
    <w:name w:val="nais1"/>
    <w:basedOn w:val="Normal"/>
    <w:rsid w:val="00502EF8"/>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2551">
      <w:bodyDiv w:val="1"/>
      <w:marLeft w:val="0"/>
      <w:marRight w:val="0"/>
      <w:marTop w:val="0"/>
      <w:marBottom w:val="0"/>
      <w:divBdr>
        <w:top w:val="none" w:sz="0" w:space="0" w:color="auto"/>
        <w:left w:val="none" w:sz="0" w:space="0" w:color="auto"/>
        <w:bottom w:val="none" w:sz="0" w:space="0" w:color="auto"/>
        <w:right w:val="none" w:sz="0" w:space="0" w:color="auto"/>
      </w:divBdr>
    </w:div>
    <w:div w:id="99268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chart" Target="charts/chart10.xml"/><Relationship Id="rId42" Type="http://schemas.openxmlformats.org/officeDocument/2006/relationships/chart" Target="charts/chart31.xml"/><Relationship Id="rId63" Type="http://schemas.microsoft.com/office/2014/relationships/chartEx" Target="charts/chartEx1.xml"/><Relationship Id="rId84" Type="http://schemas.openxmlformats.org/officeDocument/2006/relationships/image" Target="media/image19.png"/><Relationship Id="rId138" Type="http://schemas.openxmlformats.org/officeDocument/2006/relationships/fontTable" Target="fontTable.xml"/><Relationship Id="rId16" Type="http://schemas.openxmlformats.org/officeDocument/2006/relationships/chart" Target="charts/chart6.xml"/><Relationship Id="rId107" Type="http://schemas.openxmlformats.org/officeDocument/2006/relationships/image" Target="media/image42.png"/><Relationship Id="rId11" Type="http://schemas.openxmlformats.org/officeDocument/2006/relationships/chart" Target="charts/chart2.xml"/><Relationship Id="rId32" Type="http://schemas.openxmlformats.org/officeDocument/2006/relationships/chart" Target="charts/chart21.xml"/><Relationship Id="rId37" Type="http://schemas.openxmlformats.org/officeDocument/2006/relationships/chart" Target="charts/chart26.xml"/><Relationship Id="rId53" Type="http://schemas.openxmlformats.org/officeDocument/2006/relationships/chart" Target="charts/chart42.xml"/><Relationship Id="rId58" Type="http://schemas.openxmlformats.org/officeDocument/2006/relationships/footer" Target="footer1.xml"/><Relationship Id="rId74" Type="http://schemas.openxmlformats.org/officeDocument/2006/relationships/image" Target="media/image9.png"/><Relationship Id="rId79" Type="http://schemas.openxmlformats.org/officeDocument/2006/relationships/image" Target="media/image14.png"/><Relationship Id="rId102" Type="http://schemas.openxmlformats.org/officeDocument/2006/relationships/image" Target="media/image37.png"/><Relationship Id="rId123" Type="http://schemas.openxmlformats.org/officeDocument/2006/relationships/image" Target="media/image58.png"/><Relationship Id="rId128"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image" Target="media/image25.png"/><Relationship Id="rId95" Type="http://schemas.openxmlformats.org/officeDocument/2006/relationships/image" Target="media/image30.png"/><Relationship Id="rId22" Type="http://schemas.openxmlformats.org/officeDocument/2006/relationships/chart" Target="charts/chart11.xml"/><Relationship Id="rId27" Type="http://schemas.openxmlformats.org/officeDocument/2006/relationships/chart" Target="charts/chart16.xml"/><Relationship Id="rId43" Type="http://schemas.openxmlformats.org/officeDocument/2006/relationships/chart" Target="charts/chart32.xml"/><Relationship Id="rId48" Type="http://schemas.openxmlformats.org/officeDocument/2006/relationships/chart" Target="charts/chart37.xml"/><Relationship Id="rId64" Type="http://schemas.openxmlformats.org/officeDocument/2006/relationships/image" Target="media/image4.png"/><Relationship Id="rId69" Type="http://schemas.microsoft.com/office/2007/relationships/diagramDrawing" Target="diagrams/drawing1.xml"/><Relationship Id="rId113" Type="http://schemas.openxmlformats.org/officeDocument/2006/relationships/image" Target="media/image48.png"/><Relationship Id="rId118" Type="http://schemas.openxmlformats.org/officeDocument/2006/relationships/image" Target="media/image53.png"/><Relationship Id="rId134" Type="http://schemas.openxmlformats.org/officeDocument/2006/relationships/chart" Target="charts/chart50.xml"/><Relationship Id="rId139" Type="http://schemas.openxmlformats.org/officeDocument/2006/relationships/theme" Target="theme/theme1.xml"/><Relationship Id="rId80" Type="http://schemas.openxmlformats.org/officeDocument/2006/relationships/image" Target="media/image15.png"/><Relationship Id="rId85" Type="http://schemas.openxmlformats.org/officeDocument/2006/relationships/image" Target="media/image20.png"/><Relationship Id="rId12" Type="http://schemas.openxmlformats.org/officeDocument/2006/relationships/chart" Target="charts/chart3.xml"/><Relationship Id="rId17" Type="http://schemas.openxmlformats.org/officeDocument/2006/relationships/chart" Target="charts/chart7.xml"/><Relationship Id="rId33" Type="http://schemas.openxmlformats.org/officeDocument/2006/relationships/chart" Target="charts/chart22.xml"/><Relationship Id="rId38" Type="http://schemas.openxmlformats.org/officeDocument/2006/relationships/chart" Target="charts/chart27.xml"/><Relationship Id="rId59" Type="http://schemas.openxmlformats.org/officeDocument/2006/relationships/chart" Target="charts/chart44.xml"/><Relationship Id="rId103" Type="http://schemas.openxmlformats.org/officeDocument/2006/relationships/image" Target="media/image38.png"/><Relationship Id="rId108" Type="http://schemas.openxmlformats.org/officeDocument/2006/relationships/image" Target="media/image43.png"/><Relationship Id="rId124" Type="http://schemas.openxmlformats.org/officeDocument/2006/relationships/image" Target="media/image59.png"/><Relationship Id="rId129" Type="http://schemas.openxmlformats.org/officeDocument/2006/relationships/image" Target="media/image64.png"/><Relationship Id="rId54" Type="http://schemas.openxmlformats.org/officeDocument/2006/relationships/chart" Target="charts/chart43.xml"/><Relationship Id="rId70" Type="http://schemas.openxmlformats.org/officeDocument/2006/relationships/image" Target="media/image5.png"/><Relationship Id="rId75" Type="http://schemas.openxmlformats.org/officeDocument/2006/relationships/image" Target="media/image10.png"/><Relationship Id="rId91" Type="http://schemas.openxmlformats.org/officeDocument/2006/relationships/image" Target="media/image26.png"/><Relationship Id="rId96"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2.xml"/><Relationship Id="rId28" Type="http://schemas.openxmlformats.org/officeDocument/2006/relationships/chart" Target="charts/chart17.xml"/><Relationship Id="rId49" Type="http://schemas.openxmlformats.org/officeDocument/2006/relationships/chart" Target="charts/chart38.xml"/><Relationship Id="rId114" Type="http://schemas.openxmlformats.org/officeDocument/2006/relationships/image" Target="media/image49.png"/><Relationship Id="rId119" Type="http://schemas.openxmlformats.org/officeDocument/2006/relationships/image" Target="media/image54.png"/><Relationship Id="rId44" Type="http://schemas.openxmlformats.org/officeDocument/2006/relationships/chart" Target="charts/chart33.xml"/><Relationship Id="rId60" Type="http://schemas.openxmlformats.org/officeDocument/2006/relationships/chart" Target="charts/chart45.xml"/><Relationship Id="rId65" Type="http://schemas.openxmlformats.org/officeDocument/2006/relationships/diagramData" Target="diagrams/data1.xml"/><Relationship Id="rId81" Type="http://schemas.openxmlformats.org/officeDocument/2006/relationships/image" Target="media/image16.png"/><Relationship Id="rId86" Type="http://schemas.openxmlformats.org/officeDocument/2006/relationships/image" Target="media/image21.png"/><Relationship Id="rId130" Type="http://schemas.openxmlformats.org/officeDocument/2006/relationships/image" Target="media/image65.png"/><Relationship Id="rId135" Type="http://schemas.openxmlformats.org/officeDocument/2006/relationships/chart" Target="charts/chart51.xml"/><Relationship Id="rId13" Type="http://schemas.openxmlformats.org/officeDocument/2006/relationships/chart" Target="charts/chart4.xml"/><Relationship Id="rId18" Type="http://schemas.openxmlformats.org/officeDocument/2006/relationships/image" Target="media/image3.png"/><Relationship Id="rId39" Type="http://schemas.openxmlformats.org/officeDocument/2006/relationships/chart" Target="charts/chart28.xml"/><Relationship Id="rId109" Type="http://schemas.openxmlformats.org/officeDocument/2006/relationships/image" Target="media/image44.png"/><Relationship Id="rId34" Type="http://schemas.openxmlformats.org/officeDocument/2006/relationships/chart" Target="charts/chart23.xml"/><Relationship Id="rId50" Type="http://schemas.openxmlformats.org/officeDocument/2006/relationships/chart" Target="charts/chart39.xml"/><Relationship Id="rId55" Type="http://schemas.openxmlformats.org/officeDocument/2006/relationships/hyperlink" Target="https://covid19sertifikats.lv/verify" TargetMode="External"/><Relationship Id="rId76" Type="http://schemas.openxmlformats.org/officeDocument/2006/relationships/image" Target="media/image11.png"/><Relationship Id="rId97" Type="http://schemas.openxmlformats.org/officeDocument/2006/relationships/image" Target="media/image32.png"/><Relationship Id="rId104" Type="http://schemas.openxmlformats.org/officeDocument/2006/relationships/image" Target="media/image39.png"/><Relationship Id="rId120" Type="http://schemas.openxmlformats.org/officeDocument/2006/relationships/image" Target="media/image55.png"/><Relationship Id="rId125"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6.png"/><Relationship Id="rId92"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chart" Target="charts/chart18.xml"/><Relationship Id="rId24" Type="http://schemas.openxmlformats.org/officeDocument/2006/relationships/chart" Target="charts/chart13.xml"/><Relationship Id="rId40" Type="http://schemas.openxmlformats.org/officeDocument/2006/relationships/chart" Target="charts/chart29.xml"/><Relationship Id="rId45" Type="http://schemas.openxmlformats.org/officeDocument/2006/relationships/chart" Target="charts/chart34.xml"/><Relationship Id="rId66" Type="http://schemas.openxmlformats.org/officeDocument/2006/relationships/diagramLayout" Target="diagrams/layout1.xml"/><Relationship Id="rId87" Type="http://schemas.openxmlformats.org/officeDocument/2006/relationships/image" Target="media/image22.png"/><Relationship Id="rId110" Type="http://schemas.openxmlformats.org/officeDocument/2006/relationships/image" Target="media/image45.emf"/><Relationship Id="rId115" Type="http://schemas.openxmlformats.org/officeDocument/2006/relationships/image" Target="media/image50.png"/><Relationship Id="rId131" Type="http://schemas.openxmlformats.org/officeDocument/2006/relationships/chart" Target="charts/chart48.xml"/><Relationship Id="rId136" Type="http://schemas.openxmlformats.org/officeDocument/2006/relationships/chart" Target="charts/chart52.xml"/><Relationship Id="rId61" Type="http://schemas.openxmlformats.org/officeDocument/2006/relationships/chart" Target="charts/chart46.xml"/><Relationship Id="rId82" Type="http://schemas.openxmlformats.org/officeDocument/2006/relationships/image" Target="media/image17.png"/><Relationship Id="rId19" Type="http://schemas.openxmlformats.org/officeDocument/2006/relationships/chart" Target="charts/chart8.xml"/><Relationship Id="rId14" Type="http://schemas.openxmlformats.org/officeDocument/2006/relationships/image" Target="media/image2.png"/><Relationship Id="rId30" Type="http://schemas.openxmlformats.org/officeDocument/2006/relationships/chart" Target="charts/chart19.xml"/><Relationship Id="rId35" Type="http://schemas.openxmlformats.org/officeDocument/2006/relationships/chart" Target="charts/chart24.xml"/><Relationship Id="rId56" Type="http://schemas.openxmlformats.org/officeDocument/2006/relationships/hyperlink" Target="http://www.godagimene.lv" TargetMode="External"/><Relationship Id="rId77" Type="http://schemas.openxmlformats.org/officeDocument/2006/relationships/image" Target="media/image12.png"/><Relationship Id="rId100" Type="http://schemas.openxmlformats.org/officeDocument/2006/relationships/image" Target="media/image35.png"/><Relationship Id="rId105" Type="http://schemas.openxmlformats.org/officeDocument/2006/relationships/image" Target="media/image40.png"/><Relationship Id="rId126" Type="http://schemas.openxmlformats.org/officeDocument/2006/relationships/image" Target="media/image61.png"/><Relationship Id="rId8" Type="http://schemas.openxmlformats.org/officeDocument/2006/relationships/image" Target="media/image1.jpg"/><Relationship Id="rId51" Type="http://schemas.openxmlformats.org/officeDocument/2006/relationships/chart" Target="charts/chart40.xml"/><Relationship Id="rId72" Type="http://schemas.openxmlformats.org/officeDocument/2006/relationships/image" Target="media/image7.png"/><Relationship Id="rId93" Type="http://schemas.openxmlformats.org/officeDocument/2006/relationships/image" Target="media/image28.png"/><Relationship Id="rId98" Type="http://schemas.openxmlformats.org/officeDocument/2006/relationships/image" Target="media/image33.png"/><Relationship Id="rId121" Type="http://schemas.openxmlformats.org/officeDocument/2006/relationships/image" Target="media/image56.png"/><Relationship Id="rId3" Type="http://schemas.openxmlformats.org/officeDocument/2006/relationships/styles" Target="styles.xml"/><Relationship Id="rId25" Type="http://schemas.openxmlformats.org/officeDocument/2006/relationships/chart" Target="charts/chart14.xml"/><Relationship Id="rId46" Type="http://schemas.openxmlformats.org/officeDocument/2006/relationships/chart" Target="charts/chart35.xml"/><Relationship Id="rId67" Type="http://schemas.openxmlformats.org/officeDocument/2006/relationships/diagramQuickStyle" Target="diagrams/quickStyle1.xml"/><Relationship Id="rId116" Type="http://schemas.openxmlformats.org/officeDocument/2006/relationships/image" Target="media/image51.png"/><Relationship Id="rId137" Type="http://schemas.openxmlformats.org/officeDocument/2006/relationships/chart" Target="charts/chart53.xml"/><Relationship Id="rId20" Type="http://schemas.openxmlformats.org/officeDocument/2006/relationships/chart" Target="charts/chart9.xml"/><Relationship Id="rId41" Type="http://schemas.openxmlformats.org/officeDocument/2006/relationships/chart" Target="charts/chart30.xml"/><Relationship Id="rId62" Type="http://schemas.openxmlformats.org/officeDocument/2006/relationships/chart" Target="charts/chart47.xml"/><Relationship Id="rId83" Type="http://schemas.openxmlformats.org/officeDocument/2006/relationships/image" Target="media/image18.png"/><Relationship Id="rId88" Type="http://schemas.openxmlformats.org/officeDocument/2006/relationships/image" Target="media/image23.png"/><Relationship Id="rId111" Type="http://schemas.openxmlformats.org/officeDocument/2006/relationships/image" Target="media/image46.png"/><Relationship Id="rId132" Type="http://schemas.openxmlformats.org/officeDocument/2006/relationships/image" Target="media/image66.png"/><Relationship Id="rId15" Type="http://schemas.openxmlformats.org/officeDocument/2006/relationships/chart" Target="charts/chart5.xml"/><Relationship Id="rId36" Type="http://schemas.openxmlformats.org/officeDocument/2006/relationships/chart" Target="charts/chart25.xml"/><Relationship Id="rId57" Type="http://schemas.openxmlformats.org/officeDocument/2006/relationships/hyperlink" Target="https://www.apollo.lv/term/556078/vid" TargetMode="External"/><Relationship Id="rId106" Type="http://schemas.openxmlformats.org/officeDocument/2006/relationships/image" Target="media/image41.png"/><Relationship Id="rId127" Type="http://schemas.openxmlformats.org/officeDocument/2006/relationships/image" Target="media/image62.png"/><Relationship Id="rId10" Type="http://schemas.openxmlformats.org/officeDocument/2006/relationships/chart" Target="charts/chart1.xml"/><Relationship Id="rId31" Type="http://schemas.openxmlformats.org/officeDocument/2006/relationships/chart" Target="charts/chart20.xml"/><Relationship Id="rId52" Type="http://schemas.openxmlformats.org/officeDocument/2006/relationships/chart" Target="charts/chart41.xml"/><Relationship Id="rId73" Type="http://schemas.openxmlformats.org/officeDocument/2006/relationships/image" Target="media/image8.png"/><Relationship Id="rId78" Type="http://schemas.openxmlformats.org/officeDocument/2006/relationships/image" Target="media/image13.png"/><Relationship Id="rId94" Type="http://schemas.openxmlformats.org/officeDocument/2006/relationships/image" Target="media/image29.png"/><Relationship Id="rId99" Type="http://schemas.openxmlformats.org/officeDocument/2006/relationships/image" Target="media/image34.png"/><Relationship Id="rId101" Type="http://schemas.openxmlformats.org/officeDocument/2006/relationships/image" Target="media/image36.png"/><Relationship Id="rId122"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hyperlink" Target="file:///S:\Bud&#382;eta_att&#299;st&#299;bas_noda&#316;a\IZDEVUMU_PARSKATISANA\2023\_INFO_ZINOJUMS\FMZin_150823_Baze_Izdparsk_projekts.docx" TargetMode="External"/><Relationship Id="rId26" Type="http://schemas.openxmlformats.org/officeDocument/2006/relationships/chart" Target="charts/chart15.xml"/><Relationship Id="rId47" Type="http://schemas.openxmlformats.org/officeDocument/2006/relationships/chart" Target="charts/chart36.xml"/><Relationship Id="rId68" Type="http://schemas.openxmlformats.org/officeDocument/2006/relationships/diagramColors" Target="diagrams/colors1.xml"/><Relationship Id="rId89" Type="http://schemas.openxmlformats.org/officeDocument/2006/relationships/image" Target="media/image24.png"/><Relationship Id="rId112" Type="http://schemas.openxmlformats.org/officeDocument/2006/relationships/image" Target="media/image47.png"/><Relationship Id="rId133" Type="http://schemas.openxmlformats.org/officeDocument/2006/relationships/chart" Target="charts/chart49.xml"/></Relationships>
</file>

<file path=word/_rels/footnotes.xml.rels><?xml version="1.0" encoding="UTF-8" standalone="yes"?>
<Relationships xmlns="http://schemas.openxmlformats.org/package/2006/relationships"><Relationship Id="rId8" Type="http://schemas.openxmlformats.org/officeDocument/2006/relationships/hyperlink" Target="https://www.spkc.gov.lv/lv/valstu-saslimstibas-raditaji-ar-covid-19-0" TargetMode="External"/><Relationship Id="rId13" Type="http://schemas.openxmlformats.org/officeDocument/2006/relationships/hyperlink" Target="https://tap.mk.gov.lv/lv/mk/tap/?pid=40380885&amp;mode=mk&amp;date=2016-02-02" TargetMode="External"/><Relationship Id="rId18" Type="http://schemas.openxmlformats.org/officeDocument/2006/relationships/hyperlink" Target="https://lzp.gov.lv/programmas/valsts-petijumu-programmas/" TargetMode="External"/><Relationship Id="rId26" Type="http://schemas.openxmlformats.org/officeDocument/2006/relationships/hyperlink" Target="https://tap.mk.gov.lv/mk/tap/?pid=40476356" TargetMode="External"/><Relationship Id="rId3" Type="http://schemas.openxmlformats.org/officeDocument/2006/relationships/hyperlink" Target="https://stat.gov.lv/lv/statistikas-temas/informacijas-tehn/interneta-lietosana/tabulas/dlm010-iedzivotaji-kuri-lieto" TargetMode="External"/><Relationship Id="rId21" Type="http://schemas.openxmlformats.org/officeDocument/2006/relationships/hyperlink" Target="https://www.lzp.gov.lv/lv/vpp-parskati" TargetMode="External"/><Relationship Id="rId7" Type="http://schemas.openxmlformats.org/officeDocument/2006/relationships/hyperlink" Target="https://covid19.gov.lv/aktualites/no-1aprila-atcelti-visi-covid-19-ierobezojumi-pasakumu-norisei-un-kulturvietu-darbibai" TargetMode="External"/><Relationship Id="rId12" Type="http://schemas.openxmlformats.org/officeDocument/2006/relationships/hyperlink" Target="https://juristavards.lv/zinas/265512-valsts-kancelejas-mobila-aplikaciju-futbols-starp-40-labakajam-pasaule/" TargetMode="External"/><Relationship Id="rId17" Type="http://schemas.openxmlformats.org/officeDocument/2006/relationships/hyperlink" Target="https://www.fm.gov.lv/lv/izdevumu-parskatisana" TargetMode="External"/><Relationship Id="rId25" Type="http://schemas.openxmlformats.org/officeDocument/2006/relationships/hyperlink" Target="https://www.mk.gov.lv/lv/elastigais-darbs" TargetMode="External"/><Relationship Id="rId2" Type="http://schemas.openxmlformats.org/officeDocument/2006/relationships/hyperlink" Target="https://data.gov.lv/dati/lv/dataset/ministriju-un-citu-centralo-valsts-iestazu-rezultatu-un-to-rezultativo-raditaju-izpilde" TargetMode="External"/><Relationship Id="rId16" Type="http://schemas.openxmlformats.org/officeDocument/2006/relationships/hyperlink" Target="https://www.kis.gov.lv/lv/jaunums/valodas-tehnologiju-platforma-hugolv-pieejama-automatiska-tulkosana-visas-eiropas-valodas" TargetMode="External"/><Relationship Id="rId20" Type="http://schemas.openxmlformats.org/officeDocument/2006/relationships/hyperlink" Target="https://likumi.lv/ta/id/301438-valsts-petijumu-programmu-projektu-istenosanas-kartiba" TargetMode="External"/><Relationship Id="rId1" Type="http://schemas.openxmlformats.org/officeDocument/2006/relationships/hyperlink" Target="https://data.gov.lv/dati/lv/dataset/ministriju-un-citu-centralo-valsts-iestazu-rezultatu-un-to-rezultativo-raditaju-izpilde" TargetMode="External"/><Relationship Id="rId6" Type="http://schemas.openxmlformats.org/officeDocument/2006/relationships/hyperlink" Target="https://data.gov.lv/dati/eng/dataset/iestazu-mobilas-lietotnes" TargetMode="External"/><Relationship Id="rId11" Type="http://schemas.openxmlformats.org/officeDocument/2006/relationships/hyperlink" Target="https://www.retv.lv/raksts/pielauj-iespeju-apturet-lietotnes-apturi-covid-darbosanos-latvija" TargetMode="External"/><Relationship Id="rId24" Type="http://schemas.openxmlformats.org/officeDocument/2006/relationships/hyperlink" Target="https://www.izm.gov.lv/lv/media/12857/download?attachment" TargetMode="External"/><Relationship Id="rId5" Type="http://schemas.openxmlformats.org/officeDocument/2006/relationships/hyperlink" Target="https://tapportals.mk.gov.lv/legal_acts/df72db33-6d9b-4e8e-9e93-56672aca929f" TargetMode="External"/><Relationship Id="rId15" Type="http://schemas.openxmlformats.org/officeDocument/2006/relationships/hyperlink" Target="https://hugo.lv/lv/About" TargetMode="External"/><Relationship Id="rId23" Type="http://schemas.openxmlformats.org/officeDocument/2006/relationships/hyperlink" Target="https://www.lrvk.gov.lv/lv/getrevisionfile/29630-t5V_T2CSoGsG_Igr4bvRaDmD5lDgsAte.pdf" TargetMode="External"/><Relationship Id="rId28" Type="http://schemas.openxmlformats.org/officeDocument/2006/relationships/hyperlink" Target="https://likumi.lv/ta/id/319265-par-konceptualo-zinojumu-par-latvijas-nacionala-arhiva-eku-kritisko-stavokli-un-turpmako-ricibu" TargetMode="External"/><Relationship Id="rId10" Type="http://schemas.openxmlformats.org/officeDocument/2006/relationships/hyperlink" Target="https://apturicovid.lv/documents/memorands-lv.pdf" TargetMode="External"/><Relationship Id="rId19" Type="http://schemas.openxmlformats.org/officeDocument/2006/relationships/hyperlink" Target="https://likumi.lv/doc.php?id=107337" TargetMode="External"/><Relationship Id="rId4" Type="http://schemas.openxmlformats.org/officeDocument/2006/relationships/hyperlink" Target="https://stat.gov.lv/lv/statistikas-temas/informacijas-tehn/interneta-lietosana/tabulas/dlm040-sadarbiba-ar-valsts-vai" TargetMode="External"/><Relationship Id="rId9" Type="http://schemas.openxmlformats.org/officeDocument/2006/relationships/hyperlink" Target="https://www.varam.gov.lv/lv/jaunums/iedzivotaji-2022-gada-aktivak-neka-ieprieks-zinojusi-valsts-vides-dienestam-par-iespejamiem-vides-parkapumiem" TargetMode="External"/><Relationship Id="rId14" Type="http://schemas.openxmlformats.org/officeDocument/2006/relationships/hyperlink" Target="https://titania.saeima.lv/LIVS12/SaeimaLIVS12.nsf/0/8F85FC1AE272C759C2257D8E004788AD?OpenDocument" TargetMode="External"/><Relationship Id="rId22" Type="http://schemas.openxmlformats.org/officeDocument/2006/relationships/hyperlink" Target="https://lzp.gov.lv/programmas/valsts-petijumu-programmas/" TargetMode="External"/><Relationship Id="rId27" Type="http://schemas.openxmlformats.org/officeDocument/2006/relationships/hyperlink" Target="https://www.vni.lv/uploads/2021/10/VN%C4%AA%20-%20Publisk%C4%81%20sektora%20biroja%20izveides%20vadl%C4%ABnijas%20-%20v.1.1.SEP21.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k\bd\Kopsavilkuma_nod\BUDZETS_2024\Bazes_infozin_grafiki_pasakumi_24_26.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6.xml"/><Relationship Id="rId4" Type="http://schemas.openxmlformats.org/officeDocument/2006/relationships/package" Target="../embeddings/Microsoft_Excel_Worksheet8.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9.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7.xml"/><Relationship Id="rId4" Type="http://schemas.openxmlformats.org/officeDocument/2006/relationships/package" Target="../embeddings/Microsoft_Excel_Worksheet10.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fk\bd\Kopsavilkuma_nod\BUDZETS_2024\Bazes_infozin_grafiki_pasakumi_24_26.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8.xml"/><Relationship Id="rId4" Type="http://schemas.openxmlformats.org/officeDocument/2006/relationships/package" Target="../embeddings/Microsoft_Excel_Worksheet12.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3.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9.xml"/><Relationship Id="rId4" Type="http://schemas.openxmlformats.org/officeDocument/2006/relationships/package" Target="../embeddings/Microsoft_Excel_Worksheet14.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5.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10.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5" Type="http://schemas.openxmlformats.org/officeDocument/2006/relationships/chartUserShapes" Target="../drawings/drawing11.xml"/><Relationship Id="rId4"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5" Type="http://schemas.openxmlformats.org/officeDocument/2006/relationships/chartUserShapes" Target="../drawings/drawing12.xml"/><Relationship Id="rId4" Type="http://schemas.openxmlformats.org/officeDocument/2006/relationships/package" Target="../embeddings/Microsoft_Excel_Worksheet20.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fk\bd\Kopsavilkuma_nod\BUDZETS_2024\Bazes_infozin_grafiki_pasakumi_24_26.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5" Type="http://schemas.openxmlformats.org/officeDocument/2006/relationships/chartUserShapes" Target="../drawings/drawing13.xml"/><Relationship Id="rId4" Type="http://schemas.openxmlformats.org/officeDocument/2006/relationships/package" Target="../embeddings/Microsoft_Excel_Worksheet22.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3.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5" Type="http://schemas.openxmlformats.org/officeDocument/2006/relationships/chartUserShapes" Target="../drawings/drawing14.xml"/><Relationship Id="rId4" Type="http://schemas.openxmlformats.org/officeDocument/2006/relationships/package" Target="../embeddings/Microsoft_Excel_Worksheet24.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5.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5" Type="http://schemas.openxmlformats.org/officeDocument/2006/relationships/chartUserShapes" Target="../drawings/drawing15.xml"/><Relationship Id="rId4" Type="http://schemas.openxmlformats.org/officeDocument/2006/relationships/package" Target="../embeddings/Microsoft_Excel_Worksheet26.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7.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5" Type="http://schemas.openxmlformats.org/officeDocument/2006/relationships/chartUserShapes" Target="../drawings/drawing16.xml"/><Relationship Id="rId4" Type="http://schemas.openxmlformats.org/officeDocument/2006/relationships/package" Target="../embeddings/Microsoft_Excel_Worksheet28.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9.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5" Type="http://schemas.openxmlformats.org/officeDocument/2006/relationships/chartUserShapes" Target="../drawings/drawing17.xml"/><Relationship Id="rId4" Type="http://schemas.openxmlformats.org/officeDocument/2006/relationships/package" Target="../embeddings/Microsoft_Excel_Worksheet30.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fk\bd\Kopsavilkuma_nod\BUDZETS_2024\Bazes_infozin_grafiki_pasakumi_24_26.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5" Type="http://schemas.openxmlformats.org/officeDocument/2006/relationships/chartUserShapes" Target="../drawings/drawing18.xml"/><Relationship Id="rId4" Type="http://schemas.openxmlformats.org/officeDocument/2006/relationships/package" Target="../embeddings/Microsoft_Excel_Worksheet32.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k\bpad\Bud&#382;eta_att&#299;st&#299;bas_noda&#316;a\IZDEVUMU_PARSKATISANA\2023\T&#274;MAS\Mobil&#257;s_lietotnes\Sa&#326;emt&#257;%20inform&#257;cija\Grafiki.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5" Type="http://schemas.openxmlformats.org/officeDocument/2006/relationships/chartUserShapes" Target="../drawings/drawing19.xml"/><Relationship Id="rId4" Type="http://schemas.openxmlformats.org/officeDocument/2006/relationships/oleObject" Target="file:///\\fk\bpad\Bud&#382;eta_att&#299;st&#299;bas_noda&#316;a\IZDEVUMU_PARSKATISANA\2023\T&#274;MAS\Mobil&#257;s_lietotnes\Sa&#326;emt&#257;%20inform&#257;cija\Grafiki.xlsx" TargetMode="External"/></Relationships>
</file>

<file path=word/charts/_rels/chart4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3\T&#274;MAS\Mobil&#257;s_lietotnes\Sa&#326;emt&#257;%20inform&#257;cija\Grafiki.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33.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fk\bpad\Bud&#382;eta_att&#299;st&#299;bas_noda&#316;a\IZDEVUMU_PARSKATISANA\2023\T&#274;MAS\Tulkojumi\APKOPOJUMS_TULKOJUMI_ANALIZE.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34.xlsx"/></Relationships>
</file>

<file path=word/charts/_rels/chart47.xml.rels><?xml version="1.0" encoding="UTF-8" standalone="yes"?>
<Relationships xmlns="http://schemas.openxmlformats.org/package/2006/relationships"><Relationship Id="rId2" Type="http://schemas.openxmlformats.org/officeDocument/2006/relationships/oleObject" Target="file:///\\fk\bpad\Bud&#382;eta_att&#299;st&#299;bas_noda&#316;a\IZDEVUMU_PARSKATISANA\2023\T&#274;MAS\Tulkojumi\APKOPOJUMS_TULKOJUMI_ANALIZE.xlsx" TargetMode="External"/><Relationship Id="rId1" Type="http://schemas.openxmlformats.org/officeDocument/2006/relationships/themeOverride" Target="../theme/themeOverride46.xm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k\bpad\Bud&#382;eta_att&#299;st&#299;bas_noda&#316;a\IZDEVUMU_PARSKATISANA\2023\T&#274;MAS\N&#298;_Kopstr&#257;des_telpas_re&#291;ionos\4_Sa&#326;emt&#257;%20inform&#257;cija\Grafiki.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k\bpad\Bud&#382;eta_att&#299;st&#299;bas_noda&#316;a\IZDEVUMU_PARSKATISANA\2023\T&#274;MAS\N&#298;_Kopstr&#257;des_telpas_re&#291;ionos\4_Sa&#326;emt&#257;%20inform&#257;cija\Grafik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file:///\\fk\bpad\Bud&#382;eta_att&#299;st&#299;bas_noda&#316;a\IZDEVUMU_PARSKATISANA\2023\T&#274;MAS\1._Iepriek&#353;&#275;j&#257;s%20izdevumu%20p&#257;rskat&#299;&#353;anas%20rezult&#257;ti\2022_izd_parskat_rezultatu_ieviesan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35.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fk\bpad\Bud&#382;eta_att&#299;st&#299;bas_noda&#316;a\IZDEVUMU_PARSKATISANA\2023\T&#274;MAS\N&#298;_Kopstr&#257;des_telpas_re&#291;ionos\4_Sa&#326;emt&#257;%20inform&#257;cija\Grafiki.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att&#299;st&#299;bas_noda&#316;a\IZDEVUMU_PARSKATISANA\2023\T&#274;MAS\N&#298;_Kopstr&#257;des_telpas_re&#291;ionos\4_Sa&#326;emt&#257;%20inform&#257;cija\Grafiki.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att&#299;st&#299;bas_noda&#316;a\IZDEVUMU_PARSKATISANA\2023\T&#274;MAS\N&#298;_Kopstr&#257;des_telpas_re&#291;ionos\4_Sa&#326;emt&#257;%20inform&#257;cija\Grafiki.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k\bpad\Bud&#382;eta_att&#299;st&#299;bas_noda&#316;a\IZDEVUMU_PARSKATISANA\2020\2_T&#275;mas\1._Ieprieksejas_izd_parsk_rez\2_MK%20s&#275;&#382;u%20protokola%20punkti\Dati.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grab\Desktop\2023\Intere&#353;u%20izgl&#299;t&#299;ba\Statistika\IIP_2018_2023_diagramma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_rels/chartEx1.xml.rels><?xml version="1.0" encoding="UTF-8" standalone="yes"?>
<Relationships xmlns="http://schemas.openxmlformats.org/package/2006/relationships"><Relationship Id="rId3" Type="http://schemas.microsoft.com/office/2011/relationships/chartColorStyle" Target="colors47.xml"/><Relationship Id="rId2" Type="http://schemas.microsoft.com/office/2011/relationships/chartStyle" Target="style47.xml"/><Relationship Id="rId1" Type="http://schemas.openxmlformats.org/officeDocument/2006/relationships/oleObject" Target="file:///\\fk\bpad\Bud&#382;eta_att&#299;st&#299;bas_noda&#316;a\IZDEVUMU_PARSKATISANA\2023\T&#274;MAS\Tulkojumi\APKOPOJUMS_TULKOJUMI_ANALIZE.xlsx" TargetMode="External"/><Relationship Id="rId4" Type="http://schemas.openxmlformats.org/officeDocument/2006/relationships/themeOverride" Target="../theme/themeOverride4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1"/>
          <c:order val="0"/>
          <c:tx>
            <c:strRef>
              <c:f>grafiki!$G$4</c:f>
              <c:strCache>
                <c:ptCount val="1"/>
                <c:pt idx="0">
                  <c:v>Ietvars</c:v>
                </c:pt>
              </c:strCache>
            </c:strRef>
          </c:tx>
          <c:spPr>
            <a:solidFill>
              <a:schemeClr val="bg2">
                <a:lumMod val="90000"/>
              </a:schemeClr>
            </a:solidFill>
            <a:ln>
              <a:solidFill>
                <a:schemeClr val="accent1">
                  <a:shade val="50000"/>
                </a:schemeClr>
              </a:solidFill>
            </a:ln>
            <a:effectLst>
              <a:innerShdw blurRad="63500" dist="50800" dir="13500000">
                <a:prstClr val="black">
                  <a:alpha val="50000"/>
                </a:prstClr>
              </a:innerShdw>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14-4CAC-80AA-76721CDD420D}"/>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14-4CAC-80AA-76721CDD420D}"/>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14-4CAC-80AA-76721CDD420D}"/>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grafiki!$I$2:$K$2</c:f>
              <c:numCache>
                <c:formatCode>General</c:formatCode>
                <c:ptCount val="3"/>
                <c:pt idx="0">
                  <c:v>2024</c:v>
                </c:pt>
                <c:pt idx="1">
                  <c:v>2025</c:v>
                </c:pt>
                <c:pt idx="2">
                  <c:v>2026</c:v>
                </c:pt>
              </c:numCache>
            </c:numRef>
          </c:cat>
          <c:val>
            <c:numRef>
              <c:f>grafiki!$I$4:$K$4</c:f>
              <c:numCache>
                <c:formatCode>#\ ##0.0</c:formatCode>
                <c:ptCount val="3"/>
                <c:pt idx="0">
                  <c:v>10606.4</c:v>
                </c:pt>
                <c:pt idx="1">
                  <c:v>10626.1</c:v>
                </c:pt>
                <c:pt idx="2">
                  <c:v>10626.1</c:v>
                </c:pt>
              </c:numCache>
            </c:numRef>
          </c:val>
          <c:extLst>
            <c:ext xmlns:c16="http://schemas.microsoft.com/office/drawing/2014/chart" uri="{C3380CC4-5D6E-409C-BE32-E72D297353CC}">
              <c16:uniqueId val="{00000003-CF14-4CAC-80AA-76721CDD420D}"/>
            </c:ext>
          </c:extLst>
        </c:ser>
        <c:ser>
          <c:idx val="0"/>
          <c:order val="1"/>
          <c:tx>
            <c:strRef>
              <c:f>grafiki!$G$3</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grafiki!$I$2:$K$2</c:f>
              <c:numCache>
                <c:formatCode>General</c:formatCode>
                <c:ptCount val="3"/>
                <c:pt idx="0">
                  <c:v>2024</c:v>
                </c:pt>
                <c:pt idx="1">
                  <c:v>2025</c:v>
                </c:pt>
                <c:pt idx="2">
                  <c:v>2026</c:v>
                </c:pt>
              </c:numCache>
            </c:numRef>
          </c:cat>
          <c:val>
            <c:numRef>
              <c:f>grafiki!$I$3:$K$3</c:f>
              <c:numCache>
                <c:formatCode>#\ ##0.0</c:formatCode>
                <c:ptCount val="3"/>
                <c:pt idx="0">
                  <c:v>11236.9</c:v>
                </c:pt>
                <c:pt idx="1">
                  <c:v>11292.8</c:v>
                </c:pt>
                <c:pt idx="2">
                  <c:v>10606.7</c:v>
                </c:pt>
              </c:numCache>
            </c:numRef>
          </c:val>
          <c:extLst>
            <c:ext xmlns:c16="http://schemas.microsoft.com/office/drawing/2014/chart" uri="{C3380CC4-5D6E-409C-BE32-E72D297353CC}">
              <c16:uniqueId val="{00000004-CF14-4CAC-80AA-76721CDD420D}"/>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min val="1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5609649364311"/>
          <c:y val="6.3343145548712093E-2"/>
          <c:w val="0.85582822404116476"/>
          <c:h val="0.74864376300010804"/>
        </c:manualLayout>
      </c:layout>
      <c:barChart>
        <c:barDir val="col"/>
        <c:grouping val="clustered"/>
        <c:varyColors val="0"/>
        <c:ser>
          <c:idx val="1"/>
          <c:order val="1"/>
          <c:tx>
            <c:strRef>
              <c:f>'03.MK'!$A$5</c:f>
              <c:strCache>
                <c:ptCount val="1"/>
                <c:pt idx="0">
                  <c:v>Plāns</c:v>
                </c:pt>
              </c:strCache>
            </c:strRef>
          </c:tx>
          <c:spPr>
            <a:solidFill>
              <a:srgbClr val="85C2E0"/>
            </a:solidFill>
            <a:ln w="6350" cap="flat" cmpd="sng" algn="ctr">
              <a:solidFill>
                <a:srgbClr val="85C2E0"/>
              </a:solidFill>
              <a:prstDash val="solid"/>
              <a:miter lim="800000"/>
            </a:ln>
            <a:effectLst/>
          </c:spPr>
          <c:invertIfNegative val="0"/>
          <c:dLbls>
            <c:dLbl>
              <c:idx val="0"/>
              <c:layout>
                <c:manualLayout>
                  <c:x val="2.1427355710229054E-3"/>
                  <c:y val="-5.9515542649045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95-4A67-BB7E-68F4435CA834}"/>
                </c:ext>
              </c:extLst>
            </c:dLbl>
            <c:dLbl>
              <c:idx val="1"/>
              <c:layout>
                <c:manualLayout>
                  <c:x val="4.1713587138905095E-17"/>
                  <c:y val="1.557228133921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95-4A67-BB7E-68F4435CA834}"/>
                </c:ext>
              </c:extLst>
            </c:dLbl>
            <c:dLbl>
              <c:idx val="2"/>
              <c:layout>
                <c:manualLayout>
                  <c:x val="-4.5506257110352671E-3"/>
                  <c:y val="2.0720943492237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95-4A67-BB7E-68F4435CA834}"/>
                </c:ext>
              </c:extLst>
            </c:dLbl>
            <c:dLbl>
              <c:idx val="3"/>
              <c:layout>
                <c:manualLayout>
                  <c:x val="-8.1281851241626203E-17"/>
                  <c:y val="4.9333991119881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95-4A67-BB7E-68F4435CA83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'03.MK'!$B$3:$E$3</c:f>
              <c:strCache>
                <c:ptCount val="4"/>
                <c:pt idx="0">
                  <c:v>2021. gads
</c:v>
                </c:pt>
                <c:pt idx="1">
                  <c:v>2022. gads
</c:v>
                </c:pt>
                <c:pt idx="2">
                  <c:v>2023. gads (prognoze)</c:v>
                </c:pt>
                <c:pt idx="3">
                  <c:v>2024. gadam un turpmāk ik gadu 
</c:v>
                </c:pt>
              </c:strCache>
            </c:strRef>
          </c:cat>
          <c:val>
            <c:numRef>
              <c:f>'03.MK'!$B$5:$E$5</c:f>
              <c:numCache>
                <c:formatCode>#,##0</c:formatCode>
                <c:ptCount val="4"/>
                <c:pt idx="0">
                  <c:v>1800000</c:v>
                </c:pt>
                <c:pt idx="1">
                  <c:v>2600000</c:v>
                </c:pt>
                <c:pt idx="2">
                  <c:v>2450000</c:v>
                </c:pt>
                <c:pt idx="3">
                  <c:v>2450000</c:v>
                </c:pt>
              </c:numCache>
            </c:numRef>
          </c:val>
          <c:extLst>
            <c:ext xmlns:c16="http://schemas.microsoft.com/office/drawing/2014/chart" uri="{C3380CC4-5D6E-409C-BE32-E72D297353CC}">
              <c16:uniqueId val="{00000004-6595-4A67-BB7E-68F4435CA834}"/>
            </c:ext>
          </c:extLst>
        </c:ser>
        <c:ser>
          <c:idx val="2"/>
          <c:order val="2"/>
          <c:tx>
            <c:strRef>
              <c:f>'03.MK'!$A$6</c:f>
              <c:strCache>
                <c:ptCount val="1"/>
                <c:pt idx="0">
                  <c:v>Izpilde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2.502844141069397E-2"/>
                  <c:y val="1.0381520892810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95-4A67-BB7E-68F4435CA834}"/>
                </c:ext>
              </c:extLst>
            </c:dLbl>
            <c:dLbl>
              <c:idx val="2"/>
              <c:layout>
                <c:manualLayout>
                  <c:x val="3.67827366356055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95-4A67-BB7E-68F4435CA834}"/>
                </c:ext>
              </c:extLst>
            </c:dLbl>
            <c:dLbl>
              <c:idx val="3"/>
              <c:layout>
                <c:manualLayout>
                  <c:x val="1.1084016847705609E-2"/>
                  <c:y val="-1.130557569533102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95-4A67-BB7E-68F4435CA834}"/>
                </c:ext>
              </c:extLst>
            </c:dLbl>
            <c:dLbl>
              <c:idx val="4"/>
              <c:layout>
                <c:manualLayout>
                  <c:x val="-1.610287355955098E-16"/>
                  <c:y val="-2.2163120567375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95-4A67-BB7E-68F4435CA83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'03.MK'!$B$3:$E$3</c:f>
              <c:strCache>
                <c:ptCount val="4"/>
                <c:pt idx="0">
                  <c:v>2021. gads
</c:v>
                </c:pt>
                <c:pt idx="1">
                  <c:v>2022. gads
</c:v>
                </c:pt>
                <c:pt idx="2">
                  <c:v>2023. gads (prognoze)</c:v>
                </c:pt>
                <c:pt idx="3">
                  <c:v>2024. gadam un turpmāk ik gadu 
</c:v>
                </c:pt>
              </c:strCache>
            </c:strRef>
          </c:cat>
          <c:val>
            <c:numRef>
              <c:f>'03.MK'!$B$6:$E$6</c:f>
              <c:numCache>
                <c:formatCode>#,##0</c:formatCode>
                <c:ptCount val="4"/>
                <c:pt idx="0">
                  <c:v>1686876</c:v>
                </c:pt>
                <c:pt idx="1">
                  <c:v>2093446</c:v>
                </c:pt>
                <c:pt idx="2">
                  <c:v>2269387</c:v>
                </c:pt>
              </c:numCache>
            </c:numRef>
          </c:val>
          <c:extLst xmlns:c15="http://schemas.microsoft.com/office/drawing/2012/chart">
            <c:ext xmlns:c16="http://schemas.microsoft.com/office/drawing/2014/chart" uri="{C3380CC4-5D6E-409C-BE32-E72D297353CC}">
              <c16:uniqueId val="{00000009-6595-4A67-BB7E-68F4435CA834}"/>
            </c:ext>
          </c:extLst>
        </c:ser>
        <c:ser>
          <c:idx val="0"/>
          <c:order val="0"/>
          <c:tx>
            <c:strRef>
              <c:f>'03.MK'!$A$4</c:f>
              <c:strCache>
                <c:ptCount val="1"/>
              </c:strCache>
            </c:strRef>
          </c:tx>
          <c:spPr>
            <a:solidFill>
              <a:schemeClr val="accent1"/>
            </a:solidFill>
            <a:ln>
              <a:noFill/>
            </a:ln>
            <a:effectLst/>
          </c:spPr>
          <c:invertIfNegative val="0"/>
          <c:dLbls>
            <c:dLbl>
              <c:idx val="3"/>
              <c:layout>
                <c:manualLayout>
                  <c:x val="-6.2582345191040847E-2"/>
                  <c:y val="-9.640957446808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595-4A67-BB7E-68F4435CA834}"/>
                </c:ext>
              </c:extLst>
            </c:dLbl>
            <c:dLbl>
              <c:idx val="4"/>
              <c:layout>
                <c:manualLayout>
                  <c:x val="-5.9232343980717826E-2"/>
                  <c:y val="-9.1976950354609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595-4A67-BB7E-68F4435CA834}"/>
                </c:ext>
              </c:extLst>
            </c:dLbl>
            <c:spPr>
              <a:solidFill>
                <a:sysClr val="window" lastClr="FFFFFF"/>
              </a:solidFill>
              <a:ln>
                <a:solidFill>
                  <a:schemeClr val="tx1"/>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'03.MK'!$B$3:$E$3</c:f>
              <c:strCache>
                <c:ptCount val="4"/>
                <c:pt idx="0">
                  <c:v>2021. gads
</c:v>
                </c:pt>
                <c:pt idx="1">
                  <c:v>2022. gads
</c:v>
                </c:pt>
                <c:pt idx="2">
                  <c:v>2023. gads (prognoze)</c:v>
                </c:pt>
                <c:pt idx="3">
                  <c:v>2024. gadam un turpmāk ik gadu 
</c:v>
                </c:pt>
              </c:strCache>
            </c:strRef>
          </c:cat>
          <c:val>
            <c:numRef>
              <c:f>'03.MK'!$B$4:$E$4</c:f>
              <c:numCache>
                <c:formatCode>General</c:formatCode>
                <c:ptCount val="4"/>
              </c:numCache>
            </c:numRef>
          </c:val>
          <c:extLst xmlns:c15="http://schemas.microsoft.com/office/drawing/2012/chart">
            <c:ext xmlns:c16="http://schemas.microsoft.com/office/drawing/2014/chart" uri="{C3380CC4-5D6E-409C-BE32-E72D297353CC}">
              <c16:uniqueId val="{0000000C-6595-4A67-BB7E-68F4435CA834}"/>
            </c:ext>
          </c:extLst>
        </c:ser>
        <c:dLbls>
          <c:showLegendKey val="0"/>
          <c:showVal val="0"/>
          <c:showCatName val="0"/>
          <c:showSerName val="0"/>
          <c:showPercent val="0"/>
          <c:showBubbleSize val="0"/>
        </c:dLbls>
        <c:gapWidth val="67"/>
        <c:axId val="546922488"/>
        <c:axId val="546922880"/>
      </c:barChart>
      <c:catAx>
        <c:axId val="54692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880"/>
        <c:crosses val="autoZero"/>
        <c:auto val="1"/>
        <c:lblAlgn val="ctr"/>
        <c:lblOffset val="100"/>
        <c:noMultiLvlLbl val="0"/>
      </c:catAx>
      <c:valAx>
        <c:axId val="546922880"/>
        <c:scaling>
          <c:orientation val="minMax"/>
          <c:max val="3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488"/>
        <c:crosses val="autoZero"/>
        <c:crossBetween val="between"/>
      </c:valAx>
      <c:spPr>
        <a:noFill/>
        <a:ln>
          <a:noFill/>
        </a:ln>
        <a:effectLst/>
      </c:spPr>
    </c:plotArea>
    <c:legend>
      <c:legendPos val="b"/>
      <c:legendEntry>
        <c:idx val="2"/>
        <c:delete val="1"/>
      </c:legendEntry>
      <c:layout>
        <c:manualLayout>
          <c:xMode val="edge"/>
          <c:yMode val="edge"/>
          <c:x val="0.42453128572849913"/>
          <c:y val="0.92359030382982232"/>
          <c:w val="0.16515624335404774"/>
          <c:h val="6.56891803176798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5609649364311"/>
          <c:y val="6.3343145548712093E-2"/>
          <c:w val="0.85582822404116476"/>
          <c:h val="0.74864376300010804"/>
        </c:manualLayout>
      </c:layout>
      <c:barChart>
        <c:barDir val="col"/>
        <c:grouping val="clustered"/>
        <c:varyColors val="0"/>
        <c:ser>
          <c:idx val="1"/>
          <c:order val="1"/>
          <c:tx>
            <c:strRef>
              <c:f>'03.MK'!$A$5</c:f>
              <c:strCache>
                <c:ptCount val="1"/>
                <c:pt idx="0">
                  <c:v>Plāns</c:v>
                </c:pt>
              </c:strCache>
            </c:strRef>
          </c:tx>
          <c:spPr>
            <a:solidFill>
              <a:srgbClr val="85C2E0"/>
            </a:solidFill>
            <a:ln w="6350" cap="flat" cmpd="sng" algn="ctr">
              <a:solidFill>
                <a:srgbClr val="85C2E0"/>
              </a:solidFill>
              <a:prstDash val="solid"/>
              <a:miter lim="800000"/>
            </a:ln>
            <a:effectLst/>
          </c:spPr>
          <c:invertIfNegative val="0"/>
          <c:dLbls>
            <c:dLbl>
              <c:idx val="0"/>
              <c:layout>
                <c:manualLayout>
                  <c:x val="-2.4078907408793221E-3"/>
                  <c:y val="3.1864535943908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A1-4321-8408-8952F376D24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2022. gads
</c:v>
                </c:pt>
                <c:pt idx="1">
                  <c:v>2023. gads
(prognoze)</c:v>
                </c:pt>
                <c:pt idx="2">
                  <c:v>2024. gadam un turpmāk ik gadu 
</c:v>
                </c:pt>
              </c:strCache>
            </c:strRef>
          </c:cat>
          <c:val>
            <c:numRef>
              <c:f>'03.MK'!$B$5:$D$5</c:f>
              <c:numCache>
                <c:formatCode>General</c:formatCode>
                <c:ptCount val="3"/>
                <c:pt idx="0">
                  <c:v>8169627</c:v>
                </c:pt>
                <c:pt idx="1">
                  <c:v>8169627</c:v>
                </c:pt>
                <c:pt idx="2">
                  <c:v>8169627</c:v>
                </c:pt>
              </c:numCache>
            </c:numRef>
          </c:val>
          <c:extLst>
            <c:ext xmlns:c16="http://schemas.microsoft.com/office/drawing/2014/chart" uri="{C3380CC4-5D6E-409C-BE32-E72D297353CC}">
              <c16:uniqueId val="{00000001-6CA1-4321-8408-8952F376D244}"/>
            </c:ext>
          </c:extLst>
        </c:ser>
        <c:ser>
          <c:idx val="2"/>
          <c:order val="2"/>
          <c:tx>
            <c:strRef>
              <c:f>'03.MK'!$A$6</c:f>
              <c:strCache>
                <c:ptCount val="1"/>
                <c:pt idx="0">
                  <c:v>Izpilde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2358859698155393E-2"/>
                  <c:y val="-5.31773464504121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D9-49C9-B269-E2F4E279FD38}"/>
                </c:ext>
              </c:extLst>
            </c:dLbl>
            <c:dLbl>
              <c:idx val="1"/>
              <c:layout>
                <c:manualLayout>
                  <c:x val="1.78870877585243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D9-49C9-B269-E2F4E279FD38}"/>
                </c:ext>
              </c:extLst>
            </c:dLbl>
            <c:dLbl>
              <c:idx val="4"/>
              <c:layout>
                <c:manualLayout>
                  <c:x val="-1.610287355955098E-16"/>
                  <c:y val="-2.2163120567375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A1-4321-8408-8952F376D24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2022. gads
</c:v>
                </c:pt>
                <c:pt idx="1">
                  <c:v>2023. gads
(prognoze)</c:v>
                </c:pt>
                <c:pt idx="2">
                  <c:v>2024. gadam un turpmāk ik gadu 
</c:v>
                </c:pt>
              </c:strCache>
            </c:strRef>
          </c:cat>
          <c:val>
            <c:numRef>
              <c:f>'03.MK'!$B$6:$D$6</c:f>
              <c:numCache>
                <c:formatCode>#,##0</c:formatCode>
                <c:ptCount val="3"/>
                <c:pt idx="0">
                  <c:v>3763872</c:v>
                </c:pt>
                <c:pt idx="1">
                  <c:v>6794770</c:v>
                </c:pt>
              </c:numCache>
            </c:numRef>
          </c:val>
          <c:extLst xmlns:c15="http://schemas.microsoft.com/office/drawing/2012/chart">
            <c:ext xmlns:c16="http://schemas.microsoft.com/office/drawing/2014/chart" uri="{C3380CC4-5D6E-409C-BE32-E72D297353CC}">
              <c16:uniqueId val="{00000003-6CA1-4321-8408-8952F376D244}"/>
            </c:ext>
          </c:extLst>
        </c:ser>
        <c:ser>
          <c:idx val="0"/>
          <c:order val="0"/>
          <c:tx>
            <c:strRef>
              <c:f>'03.MK'!$A$4</c:f>
              <c:strCache>
                <c:ptCount val="1"/>
              </c:strCache>
            </c:strRef>
          </c:tx>
          <c:spPr>
            <a:solidFill>
              <a:schemeClr val="accent1"/>
            </a:solidFill>
            <a:ln>
              <a:noFill/>
            </a:ln>
            <a:effectLst/>
          </c:spPr>
          <c:invertIfNegative val="0"/>
          <c:dLbls>
            <c:dLbl>
              <c:idx val="4"/>
              <c:layout>
                <c:manualLayout>
                  <c:x val="-5.9232343980717826E-2"/>
                  <c:y val="-9.1976950354609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A1-4321-8408-8952F376D244}"/>
                </c:ext>
              </c:extLst>
            </c:dLbl>
            <c:spPr>
              <a:solidFill>
                <a:sysClr val="window" lastClr="FFFFFF"/>
              </a:solidFill>
              <a:ln>
                <a:solidFill>
                  <a:schemeClr val="tx1"/>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'03.MK'!$B$3:$D$3</c:f>
              <c:strCache>
                <c:ptCount val="3"/>
                <c:pt idx="0">
                  <c:v>2022. gads
</c:v>
                </c:pt>
                <c:pt idx="1">
                  <c:v>2023. gads
(prognoze)</c:v>
                </c:pt>
                <c:pt idx="2">
                  <c:v>2024. gadam un turpmāk ik gadu 
</c:v>
                </c:pt>
              </c:strCache>
            </c:strRef>
          </c:cat>
          <c:val>
            <c:numRef>
              <c:f>'03.MK'!$B$4:$D$4</c:f>
              <c:numCache>
                <c:formatCode>General</c:formatCode>
                <c:ptCount val="3"/>
              </c:numCache>
            </c:numRef>
          </c:val>
          <c:extLst xmlns:c15="http://schemas.microsoft.com/office/drawing/2012/chart">
            <c:ext xmlns:c16="http://schemas.microsoft.com/office/drawing/2014/chart" uri="{C3380CC4-5D6E-409C-BE32-E72D297353CC}">
              <c16:uniqueId val="{00000005-6CA1-4321-8408-8952F376D244}"/>
            </c:ext>
          </c:extLst>
        </c:ser>
        <c:dLbls>
          <c:showLegendKey val="0"/>
          <c:showVal val="0"/>
          <c:showCatName val="0"/>
          <c:showSerName val="0"/>
          <c:showPercent val="0"/>
          <c:showBubbleSize val="0"/>
        </c:dLbls>
        <c:gapWidth val="67"/>
        <c:axId val="546922488"/>
        <c:axId val="546922880"/>
      </c:barChart>
      <c:catAx>
        <c:axId val="54692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880"/>
        <c:crosses val="autoZero"/>
        <c:auto val="1"/>
        <c:lblAlgn val="ctr"/>
        <c:lblOffset val="100"/>
        <c:noMultiLvlLbl val="0"/>
      </c:catAx>
      <c:valAx>
        <c:axId val="546922880"/>
        <c:scaling>
          <c:orientation val="minMax"/>
          <c:max val="900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488"/>
        <c:crosses val="autoZero"/>
        <c:crossBetween val="between"/>
      </c:valAx>
      <c:spPr>
        <a:noFill/>
        <a:ln>
          <a:noFill/>
        </a:ln>
        <a:effectLst/>
      </c:spPr>
    </c:plotArea>
    <c:legend>
      <c:legendPos val="b"/>
      <c:legendEntry>
        <c:idx val="2"/>
        <c:delete val="1"/>
      </c:legendEntry>
      <c:layout>
        <c:manualLayout>
          <c:xMode val="edge"/>
          <c:yMode val="edge"/>
          <c:x val="0.17195649403559721"/>
          <c:y val="0.92359030382982232"/>
          <c:w val="0.30002625959150886"/>
          <c:h val="6.56891803176798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5609649364311"/>
          <c:y val="2.6495717548733689E-2"/>
          <c:w val="0.86461362327512692"/>
          <c:h val="0.78586780614135543"/>
        </c:manualLayout>
      </c:layout>
      <c:barChart>
        <c:barDir val="col"/>
        <c:grouping val="clustered"/>
        <c:varyColors val="0"/>
        <c:ser>
          <c:idx val="1"/>
          <c:order val="1"/>
          <c:tx>
            <c:strRef>
              <c:f>'03.MK'!$A$5</c:f>
              <c:strCache>
                <c:ptCount val="1"/>
                <c:pt idx="0">
                  <c:v>Plāns</c:v>
                </c:pt>
              </c:strCache>
            </c:strRef>
          </c:tx>
          <c:spPr>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c:spPr>
          <c:invertIfNegative val="0"/>
          <c:dPt>
            <c:idx val="0"/>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0-00FA-4228-A871-DBB3354A7B8B}"/>
              </c:ext>
            </c:extLst>
          </c:dPt>
          <c:dPt>
            <c:idx val="1"/>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0-C351-4162-AA15-72EF4E2EB77E}"/>
              </c:ext>
            </c:extLst>
          </c:dPt>
          <c:dPt>
            <c:idx val="2"/>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1-C351-4162-AA15-72EF4E2EB77E}"/>
              </c:ext>
            </c:extLst>
          </c:dPt>
          <c:dLbls>
            <c:dLbl>
              <c:idx val="0"/>
              <c:layout>
                <c:manualLayout>
                  <c:x val="-2.4078941903173936E-3"/>
                  <c:y val="6.628325939449007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FA-4228-A871-DBB3354A7B8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2022. gads
</c:v>
                </c:pt>
                <c:pt idx="1">
                  <c:v>2023. gads
(prognoze)</c:v>
                </c:pt>
                <c:pt idx="2">
                  <c:v>2024. gadam un turpmāk ik gadu 
</c:v>
                </c:pt>
              </c:strCache>
            </c:strRef>
          </c:cat>
          <c:val>
            <c:numRef>
              <c:f>'03.MK'!$B$5:$D$5</c:f>
              <c:numCache>
                <c:formatCode>General</c:formatCode>
                <c:ptCount val="3"/>
                <c:pt idx="0">
                  <c:v>5000000</c:v>
                </c:pt>
                <c:pt idx="1">
                  <c:v>5000000</c:v>
                </c:pt>
                <c:pt idx="2">
                  <c:v>5000000</c:v>
                </c:pt>
              </c:numCache>
            </c:numRef>
          </c:val>
          <c:extLst>
            <c:ext xmlns:c16="http://schemas.microsoft.com/office/drawing/2014/chart" uri="{C3380CC4-5D6E-409C-BE32-E72D297353CC}">
              <c16:uniqueId val="{00000001-00FA-4228-A871-DBB3354A7B8B}"/>
            </c:ext>
          </c:extLst>
        </c:ser>
        <c:ser>
          <c:idx val="2"/>
          <c:order val="2"/>
          <c:tx>
            <c:strRef>
              <c:f>'03.MK'!$A$6</c:f>
              <c:strCache>
                <c:ptCount val="1"/>
                <c:pt idx="0">
                  <c:v>Izpilde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3178124313639359E-2"/>
                  <c:y val="1.0635469290082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FA-4228-A871-DBB3354A7B8B}"/>
                </c:ext>
              </c:extLst>
            </c:dLbl>
            <c:dLbl>
              <c:idx val="1"/>
              <c:layout>
                <c:manualLayout>
                  <c:x val="8.7854162090928254E-3"/>
                  <c:y val="1.0635469290082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FA-4228-A871-DBB3354A7B8B}"/>
                </c:ext>
              </c:extLst>
            </c:dLbl>
            <c:dLbl>
              <c:idx val="4"/>
              <c:layout>
                <c:manualLayout>
                  <c:x val="-1.610287355955098E-16"/>
                  <c:y val="-2.2163120567375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FA-4228-A871-DBB3354A7B8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2022. gads
</c:v>
                </c:pt>
                <c:pt idx="1">
                  <c:v>2023. gads
(prognoze)</c:v>
                </c:pt>
                <c:pt idx="2">
                  <c:v>2024. gadam un turpmāk ik gadu 
</c:v>
                </c:pt>
              </c:strCache>
            </c:strRef>
          </c:cat>
          <c:val>
            <c:numRef>
              <c:f>'03.MK'!$B$6:$D$6</c:f>
              <c:numCache>
                <c:formatCode>#,##0</c:formatCode>
                <c:ptCount val="3"/>
                <c:pt idx="0">
                  <c:v>2956730</c:v>
                </c:pt>
                <c:pt idx="1">
                  <c:v>4326904</c:v>
                </c:pt>
              </c:numCache>
            </c:numRef>
          </c:val>
          <c:extLst xmlns:c15="http://schemas.microsoft.com/office/drawing/2012/chart">
            <c:ext xmlns:c16="http://schemas.microsoft.com/office/drawing/2014/chart" uri="{C3380CC4-5D6E-409C-BE32-E72D297353CC}">
              <c16:uniqueId val="{00000005-00FA-4228-A871-DBB3354A7B8B}"/>
            </c:ext>
          </c:extLst>
        </c:ser>
        <c:ser>
          <c:idx val="0"/>
          <c:order val="0"/>
          <c:tx>
            <c:strRef>
              <c:f>'03.MK'!$A$4</c:f>
              <c:strCache>
                <c:ptCount val="1"/>
              </c:strCache>
            </c:strRef>
          </c:tx>
          <c:spPr>
            <a:solidFill>
              <a:schemeClr val="accent1"/>
            </a:solidFill>
            <a:ln>
              <a:noFill/>
            </a:ln>
            <a:effectLst/>
          </c:spPr>
          <c:invertIfNegative val="0"/>
          <c:dLbls>
            <c:dLbl>
              <c:idx val="4"/>
              <c:layout>
                <c:manualLayout>
                  <c:x val="-5.9232343980717826E-2"/>
                  <c:y val="-9.1976950354609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FA-4228-A871-DBB3354A7B8B}"/>
                </c:ext>
              </c:extLst>
            </c:dLbl>
            <c:spPr>
              <a:solidFill>
                <a:sysClr val="window" lastClr="FFFFFF"/>
              </a:solidFill>
              <a:ln>
                <a:solidFill>
                  <a:schemeClr val="tx1"/>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'03.MK'!$B$3:$D$3</c:f>
              <c:strCache>
                <c:ptCount val="3"/>
                <c:pt idx="0">
                  <c:v>2022. gads
</c:v>
                </c:pt>
                <c:pt idx="1">
                  <c:v>2023. gads
(prognoze)</c:v>
                </c:pt>
                <c:pt idx="2">
                  <c:v>2024. gadam un turpmāk ik gadu 
</c:v>
                </c:pt>
              </c:strCache>
            </c:strRef>
          </c:cat>
          <c:val>
            <c:numRef>
              <c:f>'03.MK'!$B$4:$D$4</c:f>
              <c:numCache>
                <c:formatCode>General</c:formatCode>
                <c:ptCount val="3"/>
              </c:numCache>
            </c:numRef>
          </c:val>
          <c:extLst xmlns:c15="http://schemas.microsoft.com/office/drawing/2012/chart">
            <c:ext xmlns:c16="http://schemas.microsoft.com/office/drawing/2014/chart" uri="{C3380CC4-5D6E-409C-BE32-E72D297353CC}">
              <c16:uniqueId val="{00000007-00FA-4228-A871-DBB3354A7B8B}"/>
            </c:ext>
          </c:extLst>
        </c:ser>
        <c:dLbls>
          <c:showLegendKey val="0"/>
          <c:showVal val="0"/>
          <c:showCatName val="0"/>
          <c:showSerName val="0"/>
          <c:showPercent val="0"/>
          <c:showBubbleSize val="0"/>
        </c:dLbls>
        <c:gapWidth val="67"/>
        <c:axId val="546922488"/>
        <c:axId val="546922880"/>
      </c:barChart>
      <c:catAx>
        <c:axId val="54692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880"/>
        <c:crosses val="autoZero"/>
        <c:auto val="1"/>
        <c:lblAlgn val="ctr"/>
        <c:lblOffset val="100"/>
        <c:noMultiLvlLbl val="0"/>
      </c:catAx>
      <c:valAx>
        <c:axId val="546922880"/>
        <c:scaling>
          <c:orientation val="minMax"/>
          <c:max val="600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488"/>
        <c:crosses val="autoZero"/>
        <c:crossBetween val="between"/>
      </c:valAx>
      <c:spPr>
        <a:noFill/>
        <a:ln>
          <a:noFill/>
        </a:ln>
        <a:effectLst/>
      </c:spPr>
    </c:plotArea>
    <c:legend>
      <c:legendPos val="b"/>
      <c:legendEntry>
        <c:idx val="2"/>
        <c:delete val="1"/>
      </c:legendEntry>
      <c:layout>
        <c:manualLayout>
          <c:xMode val="edge"/>
          <c:yMode val="edge"/>
          <c:x val="0.17195649403559721"/>
          <c:y val="0.92359030382982232"/>
          <c:w val="0.30002625959150886"/>
          <c:h val="6.56891803176798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D9-46BA-920C-FF6B2BBF6A8E}"/>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D9-46BA-920C-FF6B2BBF6A8E}"/>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D9-46BA-920C-FF6B2BBF6A8E}"/>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D9-46BA-920C-FF6B2BBF6A8E}"/>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0.0</c:formatCode>
                <c:ptCount val="5"/>
                <c:pt idx="0">
                  <c:v>90.711999999999989</c:v>
                </c:pt>
                <c:pt idx="1">
                  <c:v>91.938461538461553</c:v>
                </c:pt>
                <c:pt idx="2">
                  <c:v>86.430769230769243</c:v>
                </c:pt>
                <c:pt idx="3">
                  <c:v>87.634615384615373</c:v>
                </c:pt>
                <c:pt idx="4">
                  <c:v>89.981481481481481</c:v>
                </c:pt>
              </c:numCache>
            </c:numRef>
          </c:val>
          <c:extLst>
            <c:ext xmlns:c16="http://schemas.microsoft.com/office/drawing/2014/chart" uri="{C3380CC4-5D6E-409C-BE32-E72D297353CC}">
              <c16:uniqueId val="{00000004-8FD9-46BA-920C-FF6B2BBF6A8E}"/>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0.0</c:formatCode>
                <c:ptCount val="5"/>
                <c:pt idx="0">
                  <c:v>97.242307692307719</c:v>
                </c:pt>
                <c:pt idx="1">
                  <c:v>97.696153846153848</c:v>
                </c:pt>
                <c:pt idx="2">
                  <c:v>96.046153846153857</c:v>
                </c:pt>
                <c:pt idx="3">
                  <c:v>94.234615384615381</c:v>
                </c:pt>
                <c:pt idx="4">
                  <c:v>95.079083819593578</c:v>
                </c:pt>
              </c:numCache>
            </c:numRef>
          </c:val>
          <c:extLst>
            <c:ext xmlns:c16="http://schemas.microsoft.com/office/drawing/2014/chart" uri="{C3380CC4-5D6E-409C-BE32-E72D297353CC}">
              <c16:uniqueId val="{00000005-8FD9-46BA-920C-FF6B2BBF6A8E}"/>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76213337286154E-2"/>
          <c:y val="0.11131152216680587"/>
          <c:w val="0.91295365947156826"/>
          <c:h val="0.691182104262522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KOPSAVILKUMS!$B$5:$B$31</c:f>
              <c:strCache>
                <c:ptCount val="27"/>
                <c:pt idx="0">
                  <c:v>VKo</c:v>
                </c:pt>
                <c:pt idx="1">
                  <c:v>ST</c:v>
                </c:pt>
                <c:pt idx="2">
                  <c:v>62.res.</c:v>
                </c:pt>
                <c:pt idx="3">
                  <c:v>64.res.</c:v>
                </c:pt>
                <c:pt idx="4">
                  <c:v>SIF</c:v>
                </c:pt>
                <c:pt idx="5">
                  <c:v>VM</c:v>
                </c:pt>
                <c:pt idx="6">
                  <c:v>VARAM</c:v>
                </c:pt>
                <c:pt idx="7">
                  <c:v>EM</c:v>
                </c:pt>
                <c:pt idx="8">
                  <c:v>SPRK</c:v>
                </c:pt>
                <c:pt idx="9">
                  <c:v>SM</c:v>
                </c:pt>
                <c:pt idx="10">
                  <c:v>FM</c:v>
                </c:pt>
                <c:pt idx="11">
                  <c:v>ZM</c:v>
                </c:pt>
                <c:pt idx="12">
                  <c:v>IZM</c:v>
                </c:pt>
                <c:pt idx="13">
                  <c:v>KM</c:v>
                </c:pt>
                <c:pt idx="14">
                  <c:v>AT</c:v>
                </c:pt>
                <c:pt idx="15">
                  <c:v>LM</c:v>
                </c:pt>
                <c:pt idx="16">
                  <c:v>AiM</c:v>
                </c:pt>
                <c:pt idx="17">
                  <c:v>PKC</c:v>
                </c:pt>
                <c:pt idx="18">
                  <c:v>KNAB</c:v>
                </c:pt>
                <c:pt idx="19">
                  <c:v>IeM</c:v>
                </c:pt>
                <c:pt idx="20">
                  <c:v>SEPL</c:v>
                </c:pt>
                <c:pt idx="21">
                  <c:v>TM</c:v>
                </c:pt>
                <c:pt idx="22">
                  <c:v>Prok.</c:v>
                </c:pt>
                <c:pt idx="23">
                  <c:v>RTV</c:v>
                </c:pt>
                <c:pt idx="24">
                  <c:v>TB</c:v>
                </c:pt>
                <c:pt idx="25">
                  <c:v>MK</c:v>
                </c:pt>
                <c:pt idx="26">
                  <c:v>ĀM</c:v>
                </c:pt>
              </c:strCache>
            </c:strRef>
          </c:cat>
          <c:val>
            <c:numRef>
              <c:f>KOPSAVILKUMS!$K$5:$K$31</c:f>
              <c:numCache>
                <c:formatCode>General</c:formatCode>
                <c:ptCount val="27"/>
                <c:pt idx="0">
                  <c:v>100</c:v>
                </c:pt>
                <c:pt idx="1">
                  <c:v>100</c:v>
                </c:pt>
                <c:pt idx="2">
                  <c:v>100</c:v>
                </c:pt>
                <c:pt idx="3">
                  <c:v>97.6</c:v>
                </c:pt>
                <c:pt idx="4">
                  <c:v>96.2</c:v>
                </c:pt>
                <c:pt idx="5">
                  <c:v>96.2</c:v>
                </c:pt>
                <c:pt idx="6">
                  <c:v>96.1</c:v>
                </c:pt>
                <c:pt idx="7" formatCode="0.0">
                  <c:v>96</c:v>
                </c:pt>
                <c:pt idx="8">
                  <c:v>95.9</c:v>
                </c:pt>
                <c:pt idx="9">
                  <c:v>95.4</c:v>
                </c:pt>
                <c:pt idx="10">
                  <c:v>93.5</c:v>
                </c:pt>
                <c:pt idx="11">
                  <c:v>92.9</c:v>
                </c:pt>
                <c:pt idx="12">
                  <c:v>91.2</c:v>
                </c:pt>
                <c:pt idx="13">
                  <c:v>90.5</c:v>
                </c:pt>
                <c:pt idx="14">
                  <c:v>89.2</c:v>
                </c:pt>
                <c:pt idx="15">
                  <c:v>88.1</c:v>
                </c:pt>
                <c:pt idx="16" formatCode="0.0">
                  <c:v>86</c:v>
                </c:pt>
                <c:pt idx="17">
                  <c:v>85.9</c:v>
                </c:pt>
                <c:pt idx="18">
                  <c:v>85.4</c:v>
                </c:pt>
                <c:pt idx="19">
                  <c:v>84.9</c:v>
                </c:pt>
                <c:pt idx="20">
                  <c:v>84.4</c:v>
                </c:pt>
                <c:pt idx="21">
                  <c:v>83.8</c:v>
                </c:pt>
                <c:pt idx="22">
                  <c:v>82.4</c:v>
                </c:pt>
                <c:pt idx="23" formatCode="0.0">
                  <c:v>82</c:v>
                </c:pt>
                <c:pt idx="24">
                  <c:v>79.7</c:v>
                </c:pt>
                <c:pt idx="25">
                  <c:v>79.3</c:v>
                </c:pt>
                <c:pt idx="26">
                  <c:v>76.900000000000006</c:v>
                </c:pt>
              </c:numCache>
            </c:numRef>
          </c:val>
          <c:extLst>
            <c:ext xmlns:c16="http://schemas.microsoft.com/office/drawing/2014/chart" uri="{C3380CC4-5D6E-409C-BE32-E72D297353CC}">
              <c16:uniqueId val="{00000000-CAA9-4A60-BCA5-97FF9DFA4656}"/>
            </c:ext>
          </c:extLst>
        </c:ser>
        <c:dLbls>
          <c:dLblPos val="outEnd"/>
          <c:showLegendKey val="0"/>
          <c:showVal val="1"/>
          <c:showCatName val="0"/>
          <c:showSerName val="0"/>
          <c:showPercent val="0"/>
          <c:showBubbleSize val="0"/>
        </c:dLbls>
        <c:gapWidth val="100"/>
        <c:overlap val="-27"/>
        <c:axId val="1656705712"/>
        <c:axId val="1656706960"/>
      </c:barChart>
      <c:catAx>
        <c:axId val="16567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6960"/>
        <c:crosses val="autoZero"/>
        <c:auto val="1"/>
        <c:lblAlgn val="ctr"/>
        <c:lblOffset val="100"/>
        <c:noMultiLvlLbl val="0"/>
      </c:catAx>
      <c:valAx>
        <c:axId val="16567069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5712"/>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1367065786928241"/>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B5-422E-AC69-31D25428DAEF}"/>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B5-422E-AC69-31D25428DAEF}"/>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B5-422E-AC69-31D25428DAEF}"/>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B5-422E-AC69-31D25428DAEF}"/>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91.4</c:v>
                </c:pt>
                <c:pt idx="1">
                  <c:v>91.1</c:v>
                </c:pt>
                <c:pt idx="2">
                  <c:v>84.1</c:v>
                </c:pt>
                <c:pt idx="3">
                  <c:v>82.9</c:v>
                </c:pt>
                <c:pt idx="4" formatCode="0.0">
                  <c:v>86</c:v>
                </c:pt>
              </c:numCache>
            </c:numRef>
          </c:val>
          <c:extLst>
            <c:ext xmlns:c16="http://schemas.microsoft.com/office/drawing/2014/chart" uri="{C3380CC4-5D6E-409C-BE32-E72D297353CC}">
              <c16:uniqueId val="{00000004-8FB5-422E-AC69-31D25428DAEF}"/>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99.8</c:v>
                </c:pt>
                <c:pt idx="1">
                  <c:v>99.2</c:v>
                </c:pt>
                <c:pt idx="2">
                  <c:v>98.7</c:v>
                </c:pt>
                <c:pt idx="3">
                  <c:v>99.4</c:v>
                </c:pt>
                <c:pt idx="4" formatCode="0.0">
                  <c:v>99.46121964126317</c:v>
                </c:pt>
              </c:numCache>
            </c:numRef>
          </c:val>
          <c:extLst>
            <c:ext xmlns:c16="http://schemas.microsoft.com/office/drawing/2014/chart" uri="{C3380CC4-5D6E-409C-BE32-E72D297353CC}">
              <c16:uniqueId val="{00000005-8FB5-422E-AC69-31D25428DAEF}"/>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0606948779289913"/>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12</c:v>
                </c:pt>
                <c:pt idx="1">
                  <c:v>8</c:v>
                </c:pt>
              </c:numCache>
            </c:numRef>
          </c:val>
          <c:extLst>
            <c:ext xmlns:c16="http://schemas.microsoft.com/office/drawing/2014/chart" uri="{C3380CC4-5D6E-409C-BE32-E72D297353CC}">
              <c16:uniqueId val="{00000000-7501-4FA1-B108-E9D553652B3B}"/>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6</c:v>
                </c:pt>
                <c:pt idx="1">
                  <c:v>7</c:v>
                </c:pt>
              </c:numCache>
            </c:numRef>
          </c:val>
          <c:extLst>
            <c:ext xmlns:c16="http://schemas.microsoft.com/office/drawing/2014/chart" uri="{C3380CC4-5D6E-409C-BE32-E72D297353CC}">
              <c16:uniqueId val="{00000001-7501-4FA1-B108-E9D553652B3B}"/>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0844326633765664"/>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DC-4B33-8355-238325881E52}"/>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DC-4B33-8355-238325881E52}"/>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DC-4B33-8355-238325881E52}"/>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DC-4B33-8355-238325881E52}"/>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89.3</c:v>
                </c:pt>
                <c:pt idx="1">
                  <c:v>89.3</c:v>
                </c:pt>
                <c:pt idx="2">
                  <c:v>75.3</c:v>
                </c:pt>
                <c:pt idx="3">
                  <c:v>85</c:v>
                </c:pt>
                <c:pt idx="4">
                  <c:v>76.900000000000006</c:v>
                </c:pt>
              </c:numCache>
            </c:numRef>
          </c:val>
          <c:extLst>
            <c:ext xmlns:c16="http://schemas.microsoft.com/office/drawing/2014/chart" uri="{C3380CC4-5D6E-409C-BE32-E72D297353CC}">
              <c16:uniqueId val="{00000004-98DC-4B33-8355-238325881E52}"/>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97</c:v>
                </c:pt>
                <c:pt idx="1">
                  <c:v>97.7</c:v>
                </c:pt>
                <c:pt idx="2">
                  <c:v>97</c:v>
                </c:pt>
                <c:pt idx="3">
                  <c:v>95.1</c:v>
                </c:pt>
                <c:pt idx="4" formatCode="0.0">
                  <c:v>98.426513226957525</c:v>
                </c:pt>
              </c:numCache>
            </c:numRef>
          </c:val>
          <c:extLst>
            <c:ext xmlns:c16="http://schemas.microsoft.com/office/drawing/2014/chart" uri="{C3380CC4-5D6E-409C-BE32-E72D297353CC}">
              <c16:uniqueId val="{00000005-98DC-4B33-8355-238325881E52}"/>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6.7351997666958291E-2"/>
          <c:w val="0.90512270341207346"/>
          <c:h val="0.74209192557467174"/>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3</c:v>
                </c:pt>
                <c:pt idx="1">
                  <c:v>6</c:v>
                </c:pt>
              </c:numCache>
            </c:numRef>
          </c:val>
          <c:extLst>
            <c:ext xmlns:c16="http://schemas.microsoft.com/office/drawing/2014/chart" uri="{C3380CC4-5D6E-409C-BE32-E72D297353CC}">
              <c16:uniqueId val="{00000000-90D0-4DC2-87AD-5D59ED81502A}"/>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5</c:v>
                </c:pt>
                <c:pt idx="1">
                  <c:v>4</c:v>
                </c:pt>
              </c:numCache>
            </c:numRef>
          </c:val>
          <c:extLst>
            <c:ext xmlns:c16="http://schemas.microsoft.com/office/drawing/2014/chart" uri="{C3380CC4-5D6E-409C-BE32-E72D297353CC}">
              <c16:uniqueId val="{00000001-90D0-4DC2-87AD-5D59ED81502A}"/>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2"/>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2412544093253373"/>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92-4479-BB13-D8AA82F6843C}"/>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92-4479-BB13-D8AA82F6843C}"/>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92-4479-BB13-D8AA82F6843C}"/>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92-4479-BB13-D8AA82F6843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91.5</c:v>
                </c:pt>
                <c:pt idx="1">
                  <c:v>94.9</c:v>
                </c:pt>
                <c:pt idx="2">
                  <c:v>92.1</c:v>
                </c:pt>
                <c:pt idx="3">
                  <c:v>93.4</c:v>
                </c:pt>
                <c:pt idx="4" formatCode="0.0">
                  <c:v>96</c:v>
                </c:pt>
              </c:numCache>
            </c:numRef>
          </c:val>
          <c:extLst>
            <c:ext xmlns:c16="http://schemas.microsoft.com/office/drawing/2014/chart" uri="{C3380CC4-5D6E-409C-BE32-E72D297353CC}">
              <c16:uniqueId val="{00000004-6E92-4479-BB13-D8AA82F6843C}"/>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92.3</c:v>
                </c:pt>
                <c:pt idx="1">
                  <c:v>92.8</c:v>
                </c:pt>
                <c:pt idx="2">
                  <c:v>93.1</c:v>
                </c:pt>
                <c:pt idx="3">
                  <c:v>80.7</c:v>
                </c:pt>
                <c:pt idx="4" formatCode="0.0">
                  <c:v>97.892118922172273</c:v>
                </c:pt>
              </c:numCache>
            </c:numRef>
          </c:val>
          <c:extLst>
            <c:ext xmlns:c16="http://schemas.microsoft.com/office/drawing/2014/chart" uri="{C3380CC4-5D6E-409C-BE32-E72D297353CC}">
              <c16:uniqueId val="{00000005-6E92-4479-BB13-D8AA82F6843C}"/>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912637847420453E-2"/>
          <c:y val="0.22712860892388451"/>
          <c:w val="0.89284760643857575"/>
          <c:h val="0.58591819099535647"/>
        </c:manualLayout>
      </c:layout>
      <c:barChart>
        <c:barDir val="col"/>
        <c:grouping val="clustered"/>
        <c:varyColors val="0"/>
        <c:ser>
          <c:idx val="0"/>
          <c:order val="0"/>
          <c:tx>
            <c:strRef>
              <c:f>grafiki!$G$10</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grafiki!$I$8:$K$8</c:f>
              <c:numCache>
                <c:formatCode>General</c:formatCode>
                <c:ptCount val="3"/>
                <c:pt idx="0">
                  <c:v>2024</c:v>
                </c:pt>
                <c:pt idx="1">
                  <c:v>2025</c:v>
                </c:pt>
                <c:pt idx="2">
                  <c:v>2026</c:v>
                </c:pt>
              </c:numCache>
            </c:numRef>
          </c:cat>
          <c:val>
            <c:numRef>
              <c:f>grafiki!$I$10:$K$10</c:f>
              <c:numCache>
                <c:formatCode>#\ ##0.0</c:formatCode>
                <c:ptCount val="3"/>
                <c:pt idx="0">
                  <c:v>8449.5</c:v>
                </c:pt>
                <c:pt idx="1">
                  <c:v>8499.2999999999993</c:v>
                </c:pt>
                <c:pt idx="2">
                  <c:v>8499.2999999999993</c:v>
                </c:pt>
              </c:numCache>
            </c:numRef>
          </c:val>
          <c:extLst>
            <c:ext xmlns:c16="http://schemas.microsoft.com/office/drawing/2014/chart" uri="{C3380CC4-5D6E-409C-BE32-E72D297353CC}">
              <c16:uniqueId val="{00000000-558E-411C-B3CE-E6BE7AE8C00D}"/>
            </c:ext>
          </c:extLst>
        </c:ser>
        <c:ser>
          <c:idx val="1"/>
          <c:order val="1"/>
          <c:tx>
            <c:strRef>
              <c:f>grafiki!$G$9</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grafiki!$I$8:$K$8</c:f>
              <c:numCache>
                <c:formatCode>General</c:formatCode>
                <c:ptCount val="3"/>
                <c:pt idx="0">
                  <c:v>2024</c:v>
                </c:pt>
                <c:pt idx="1">
                  <c:v>2025</c:v>
                </c:pt>
                <c:pt idx="2">
                  <c:v>2026</c:v>
                </c:pt>
              </c:numCache>
            </c:numRef>
          </c:cat>
          <c:val>
            <c:numRef>
              <c:f>grafiki!$I$9:$K$9</c:f>
              <c:numCache>
                <c:formatCode>#\ ##0.0</c:formatCode>
                <c:ptCount val="3"/>
                <c:pt idx="0">
                  <c:v>8615.5</c:v>
                </c:pt>
                <c:pt idx="1">
                  <c:v>8634.7999999999993</c:v>
                </c:pt>
                <c:pt idx="2">
                  <c:v>8354.1</c:v>
                </c:pt>
              </c:numCache>
            </c:numRef>
          </c:val>
          <c:extLst>
            <c:ext xmlns:c16="http://schemas.microsoft.com/office/drawing/2014/chart" uri="{C3380CC4-5D6E-409C-BE32-E72D297353CC}">
              <c16:uniqueId val="{00000001-558E-411C-B3CE-E6BE7AE8C00D}"/>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max val="86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6.7351997666958291E-2"/>
          <c:w val="0.90512270341207346"/>
          <c:h val="0.76507364179364246"/>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15</c:v>
                </c:pt>
                <c:pt idx="1">
                  <c:v>10</c:v>
                </c:pt>
              </c:numCache>
            </c:numRef>
          </c:val>
          <c:extLst>
            <c:ext xmlns:c16="http://schemas.microsoft.com/office/drawing/2014/chart" uri="{C3380CC4-5D6E-409C-BE32-E72D297353CC}">
              <c16:uniqueId val="{00000000-ACAE-4041-B068-A07D7904958E}"/>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42</c:v>
                </c:pt>
                <c:pt idx="1">
                  <c:v>37</c:v>
                </c:pt>
              </c:numCache>
            </c:numRef>
          </c:val>
          <c:extLst>
            <c:ext xmlns:c16="http://schemas.microsoft.com/office/drawing/2014/chart" uri="{C3380CC4-5D6E-409C-BE32-E72D297353CC}">
              <c16:uniqueId val="{00000001-ACAE-4041-B068-A07D7904958E}"/>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188980494009079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E2-4BD9-BBBE-451F4F482EA8}"/>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E2-4BD9-BBBE-451F4F482EA8}"/>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E2-4BD9-BBBE-451F4F482EA8}"/>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E2-4BD9-BBBE-451F4F482EA8}"/>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88.8</c:v>
                </c:pt>
                <c:pt idx="1">
                  <c:v>90</c:v>
                </c:pt>
                <c:pt idx="2">
                  <c:v>87.7</c:v>
                </c:pt>
                <c:pt idx="3">
                  <c:v>94</c:v>
                </c:pt>
                <c:pt idx="4">
                  <c:v>93.5</c:v>
                </c:pt>
              </c:numCache>
            </c:numRef>
          </c:val>
          <c:extLst>
            <c:ext xmlns:c16="http://schemas.microsoft.com/office/drawing/2014/chart" uri="{C3380CC4-5D6E-409C-BE32-E72D297353CC}">
              <c16:uniqueId val="{00000004-EFE2-4BD9-BBBE-451F4F482EA8}"/>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96.8</c:v>
                </c:pt>
                <c:pt idx="1">
                  <c:v>99.4</c:v>
                </c:pt>
                <c:pt idx="2">
                  <c:v>95.3</c:v>
                </c:pt>
                <c:pt idx="3">
                  <c:v>96.4</c:v>
                </c:pt>
                <c:pt idx="4" formatCode="0.0">
                  <c:v>96.796731143775261</c:v>
                </c:pt>
              </c:numCache>
            </c:numRef>
          </c:val>
          <c:extLst>
            <c:ext xmlns:c16="http://schemas.microsoft.com/office/drawing/2014/chart" uri="{C3380CC4-5D6E-409C-BE32-E72D297353CC}">
              <c16:uniqueId val="{00000005-EFE2-4BD9-BBBE-451F4F482EA8}"/>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6.7351997666958291E-2"/>
          <c:w val="0.90512270341207346"/>
          <c:h val="0.77302128900554112"/>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4</c:v>
                </c:pt>
                <c:pt idx="1">
                  <c:v>7</c:v>
                </c:pt>
              </c:numCache>
            </c:numRef>
          </c:val>
          <c:extLst>
            <c:ext xmlns:c16="http://schemas.microsoft.com/office/drawing/2014/chart" uri="{C3380CC4-5D6E-409C-BE32-E72D297353CC}">
              <c16:uniqueId val="{00000000-FA84-4764-9B04-251B76B3ACF2}"/>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10</c:v>
                </c:pt>
                <c:pt idx="1">
                  <c:v>13</c:v>
                </c:pt>
              </c:numCache>
            </c:numRef>
          </c:val>
          <c:extLst>
            <c:ext xmlns:c16="http://schemas.microsoft.com/office/drawing/2014/chart" uri="{C3380CC4-5D6E-409C-BE32-E72D297353CC}">
              <c16:uniqueId val="{00000001-FA84-4764-9B04-251B76B3ACF2}"/>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0321587480603098"/>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D7-461C-8A8B-A196E98455F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D7-461C-8A8B-A196E98455F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D7-461C-8A8B-A196E98455F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D7-461C-8A8B-A196E98455F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91.2</c:v>
                </c:pt>
                <c:pt idx="1">
                  <c:v>89.3</c:v>
                </c:pt>
                <c:pt idx="2">
                  <c:v>82.6</c:v>
                </c:pt>
                <c:pt idx="3">
                  <c:v>79.599999999999994</c:v>
                </c:pt>
                <c:pt idx="4">
                  <c:v>84.9</c:v>
                </c:pt>
              </c:numCache>
            </c:numRef>
          </c:val>
          <c:extLst>
            <c:ext xmlns:c16="http://schemas.microsoft.com/office/drawing/2014/chart" uri="{C3380CC4-5D6E-409C-BE32-E72D297353CC}">
              <c16:uniqueId val="{00000004-4AD7-461C-8A8B-A196E98455F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98.2</c:v>
                </c:pt>
                <c:pt idx="1">
                  <c:v>98.5</c:v>
                </c:pt>
                <c:pt idx="2">
                  <c:v>96.2</c:v>
                </c:pt>
                <c:pt idx="3">
                  <c:v>96.1</c:v>
                </c:pt>
                <c:pt idx="4" formatCode="0.0">
                  <c:v>94.702767432534756</c:v>
                </c:pt>
              </c:numCache>
            </c:numRef>
          </c:val>
          <c:extLst>
            <c:ext xmlns:c16="http://schemas.microsoft.com/office/drawing/2014/chart" uri="{C3380CC4-5D6E-409C-BE32-E72D297353CC}">
              <c16:uniqueId val="{00000005-4AD7-461C-8A8B-A196E98455F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1252051974068609"/>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41</c:v>
                </c:pt>
                <c:pt idx="1">
                  <c:v>38</c:v>
                </c:pt>
              </c:numCache>
            </c:numRef>
          </c:val>
          <c:extLst>
            <c:ext xmlns:c16="http://schemas.microsoft.com/office/drawing/2014/chart" uri="{C3380CC4-5D6E-409C-BE32-E72D297353CC}">
              <c16:uniqueId val="{00000000-A1F8-41DB-A647-EBA79151F98B}"/>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30</c:v>
                </c:pt>
                <c:pt idx="1">
                  <c:v>42</c:v>
                </c:pt>
              </c:numCache>
            </c:numRef>
          </c:val>
          <c:extLst>
            <c:ext xmlns:c16="http://schemas.microsoft.com/office/drawing/2014/chart" uri="{C3380CC4-5D6E-409C-BE32-E72D297353CC}">
              <c16:uniqueId val="{00000001-A1F8-41DB-A647-EBA79151F98B}"/>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3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188980494009079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43-493E-B2FF-5A1162B50672}"/>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43-493E-B2FF-5A1162B50672}"/>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43-493E-B2FF-5A1162B50672}"/>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43-493E-B2FF-5A1162B50672}"/>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89.1</c:v>
                </c:pt>
                <c:pt idx="1">
                  <c:v>92.9</c:v>
                </c:pt>
                <c:pt idx="2">
                  <c:v>86.2</c:v>
                </c:pt>
                <c:pt idx="3">
                  <c:v>90.6</c:v>
                </c:pt>
                <c:pt idx="4">
                  <c:v>91.2</c:v>
                </c:pt>
              </c:numCache>
            </c:numRef>
          </c:val>
          <c:extLst>
            <c:ext xmlns:c16="http://schemas.microsoft.com/office/drawing/2014/chart" uri="{C3380CC4-5D6E-409C-BE32-E72D297353CC}">
              <c16:uniqueId val="{00000004-6C43-493E-B2FF-5A1162B50672}"/>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99.4</c:v>
                </c:pt>
                <c:pt idx="1">
                  <c:v>99.2</c:v>
                </c:pt>
                <c:pt idx="2">
                  <c:v>98.9</c:v>
                </c:pt>
                <c:pt idx="3">
                  <c:v>97.7</c:v>
                </c:pt>
                <c:pt idx="4" formatCode="0.0">
                  <c:v>98.4</c:v>
                </c:pt>
              </c:numCache>
            </c:numRef>
          </c:val>
          <c:extLst>
            <c:ext xmlns:c16="http://schemas.microsoft.com/office/drawing/2014/chart" uri="{C3380CC4-5D6E-409C-BE32-E72D297353CC}">
              <c16:uniqueId val="{00000005-6C43-493E-B2FF-5A1162B50672}"/>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1606823136659736"/>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29</c:v>
                </c:pt>
                <c:pt idx="1">
                  <c:v>33</c:v>
                </c:pt>
              </c:numCache>
            </c:numRef>
          </c:val>
          <c:extLst>
            <c:ext xmlns:c16="http://schemas.microsoft.com/office/drawing/2014/chart" uri="{C3380CC4-5D6E-409C-BE32-E72D297353CC}">
              <c16:uniqueId val="{00000000-F757-4061-86F1-A71D7AF79223}"/>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38</c:v>
                </c:pt>
                <c:pt idx="1">
                  <c:v>48</c:v>
                </c:pt>
              </c:numCache>
            </c:numRef>
          </c:val>
          <c:extLst>
            <c:ext xmlns:c16="http://schemas.microsoft.com/office/drawing/2014/chart" uri="{C3380CC4-5D6E-409C-BE32-E72D297353CC}">
              <c16:uniqueId val="{00000001-F757-4061-86F1-A71D7AF79223}"/>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3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0321587480603098"/>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8C-4E59-9817-54F9D918AD01}"/>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8C-4E59-9817-54F9D918AD01}"/>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8C-4E59-9817-54F9D918AD01}"/>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8C-4E59-9817-54F9D918AD01}"/>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95</c:v>
                </c:pt>
                <c:pt idx="1">
                  <c:v>96.9</c:v>
                </c:pt>
                <c:pt idx="2">
                  <c:v>86.4</c:v>
                </c:pt>
                <c:pt idx="3">
                  <c:v>87.8</c:v>
                </c:pt>
                <c:pt idx="4">
                  <c:v>90.5</c:v>
                </c:pt>
              </c:numCache>
            </c:numRef>
          </c:val>
          <c:extLst>
            <c:ext xmlns:c16="http://schemas.microsoft.com/office/drawing/2014/chart" uri="{C3380CC4-5D6E-409C-BE32-E72D297353CC}">
              <c16:uniqueId val="{00000004-608C-4E59-9817-54F9D918AD01}"/>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98.8</c:v>
                </c:pt>
                <c:pt idx="1">
                  <c:v>98.9</c:v>
                </c:pt>
                <c:pt idx="2">
                  <c:v>96.8</c:v>
                </c:pt>
                <c:pt idx="3">
                  <c:v>97</c:v>
                </c:pt>
                <c:pt idx="4" formatCode="0.0">
                  <c:v>97.368092566303162</c:v>
                </c:pt>
              </c:numCache>
            </c:numRef>
          </c:val>
          <c:extLst>
            <c:ext xmlns:c16="http://schemas.microsoft.com/office/drawing/2014/chart" uri="{C3380CC4-5D6E-409C-BE32-E72D297353CC}">
              <c16:uniqueId val="{00000005-608C-4E59-9817-54F9D918AD01}"/>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5.468987809023184E-2"/>
          <c:w val="0.90512270341207346"/>
          <c:h val="0.76555957038226963"/>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17</c:v>
                </c:pt>
                <c:pt idx="1">
                  <c:v>23</c:v>
                </c:pt>
              </c:numCache>
            </c:numRef>
          </c:val>
          <c:extLst>
            <c:ext xmlns:c16="http://schemas.microsoft.com/office/drawing/2014/chart" uri="{C3380CC4-5D6E-409C-BE32-E72D297353CC}">
              <c16:uniqueId val="{00000000-7B15-4577-BF80-241170E049F5}"/>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21</c:v>
                </c:pt>
                <c:pt idx="1">
                  <c:v>20</c:v>
                </c:pt>
              </c:numCache>
            </c:numRef>
          </c:val>
          <c:extLst>
            <c:ext xmlns:c16="http://schemas.microsoft.com/office/drawing/2014/chart" uri="{C3380CC4-5D6E-409C-BE32-E72D297353CC}">
              <c16:uniqueId val="{00000001-7B15-4577-BF80-241170E049F5}"/>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70321587480603098"/>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C3-44C7-BD09-85F50C8A31B6}"/>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C3-44C7-BD09-85F50C8A31B6}"/>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C3-44C7-BD09-85F50C8A31B6}"/>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C3-44C7-BD09-85F50C8A31B6}"/>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86</c:v>
                </c:pt>
                <c:pt idx="1">
                  <c:v>89.3</c:v>
                </c:pt>
                <c:pt idx="2">
                  <c:v>81.400000000000006</c:v>
                </c:pt>
                <c:pt idx="3">
                  <c:v>85.2</c:v>
                </c:pt>
                <c:pt idx="4">
                  <c:v>88.1</c:v>
                </c:pt>
              </c:numCache>
            </c:numRef>
          </c:val>
          <c:extLst>
            <c:ext xmlns:c16="http://schemas.microsoft.com/office/drawing/2014/chart" uri="{C3380CC4-5D6E-409C-BE32-E72D297353CC}">
              <c16:uniqueId val="{00000004-E9C3-44C7-BD09-85F50C8A31B6}"/>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99.7</c:v>
                </c:pt>
                <c:pt idx="1">
                  <c:v>99.6</c:v>
                </c:pt>
                <c:pt idx="2">
                  <c:v>98.2</c:v>
                </c:pt>
                <c:pt idx="3">
                  <c:v>99.2</c:v>
                </c:pt>
                <c:pt idx="4" formatCode="0.0">
                  <c:v>99.201857532481412</c:v>
                </c:pt>
              </c:numCache>
            </c:numRef>
          </c:val>
          <c:extLst>
            <c:ext xmlns:c16="http://schemas.microsoft.com/office/drawing/2014/chart" uri="{C3380CC4-5D6E-409C-BE32-E72D297353CC}">
              <c16:uniqueId val="{00000005-E9C3-44C7-BD09-85F50C8A31B6}"/>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3458440946576724E-2"/>
          <c:y val="0.90950951211985775"/>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1"/>
          <c:order val="0"/>
          <c:tx>
            <c:strRef>
              <c:f>grafiki!$G$21</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grafiki!$I$19:$K$19</c:f>
              <c:numCache>
                <c:formatCode>General</c:formatCode>
                <c:ptCount val="3"/>
                <c:pt idx="0">
                  <c:v>2024</c:v>
                </c:pt>
                <c:pt idx="1">
                  <c:v>2025</c:v>
                </c:pt>
                <c:pt idx="2">
                  <c:v>2026</c:v>
                </c:pt>
              </c:numCache>
            </c:numRef>
          </c:cat>
          <c:val>
            <c:numRef>
              <c:f>grafiki!$I$21:$K$21</c:f>
              <c:numCache>
                <c:formatCode>#\ ##0.0</c:formatCode>
                <c:ptCount val="3"/>
                <c:pt idx="0">
                  <c:v>2156.9</c:v>
                </c:pt>
                <c:pt idx="1">
                  <c:v>2126.8000000000002</c:v>
                </c:pt>
                <c:pt idx="2">
                  <c:v>2126.8000000000002</c:v>
                </c:pt>
              </c:numCache>
            </c:numRef>
          </c:val>
          <c:extLst>
            <c:ext xmlns:c16="http://schemas.microsoft.com/office/drawing/2014/chart" uri="{C3380CC4-5D6E-409C-BE32-E72D297353CC}">
              <c16:uniqueId val="{00000000-7043-4290-A937-AA769C44026C}"/>
            </c:ext>
          </c:extLst>
        </c:ser>
        <c:ser>
          <c:idx val="0"/>
          <c:order val="1"/>
          <c:tx>
            <c:strRef>
              <c:f>grafiki!$G$20</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grafiki!$I$19:$K$19</c:f>
              <c:numCache>
                <c:formatCode>General</c:formatCode>
                <c:ptCount val="3"/>
                <c:pt idx="0">
                  <c:v>2024</c:v>
                </c:pt>
                <c:pt idx="1">
                  <c:v>2025</c:v>
                </c:pt>
                <c:pt idx="2">
                  <c:v>2026</c:v>
                </c:pt>
              </c:numCache>
            </c:numRef>
          </c:cat>
          <c:val>
            <c:numRef>
              <c:f>grafiki!$I$20:$K$20</c:f>
              <c:numCache>
                <c:formatCode>#\ ##0.0</c:formatCode>
                <c:ptCount val="3"/>
                <c:pt idx="0">
                  <c:v>2621.4</c:v>
                </c:pt>
                <c:pt idx="1">
                  <c:v>2658</c:v>
                </c:pt>
                <c:pt idx="2">
                  <c:v>2252.6</c:v>
                </c:pt>
              </c:numCache>
            </c:numRef>
          </c:val>
          <c:extLst>
            <c:ext xmlns:c16="http://schemas.microsoft.com/office/drawing/2014/chart" uri="{C3380CC4-5D6E-409C-BE32-E72D297353CC}">
              <c16:uniqueId val="{00000001-7043-4290-A937-AA769C44026C}"/>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min val="1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68307419905845113"/>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45</c:v>
                </c:pt>
                <c:pt idx="1">
                  <c:v>45</c:v>
                </c:pt>
              </c:numCache>
            </c:numRef>
          </c:val>
          <c:extLst>
            <c:ext xmlns:c16="http://schemas.microsoft.com/office/drawing/2014/chart" uri="{C3380CC4-5D6E-409C-BE32-E72D297353CC}">
              <c16:uniqueId val="{00000000-D25C-4A34-B1F3-BC2081FF695D}"/>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44</c:v>
                </c:pt>
                <c:pt idx="1">
                  <c:v>49</c:v>
                </c:pt>
              </c:numCache>
            </c:numRef>
          </c:val>
          <c:extLst>
            <c:ext xmlns:c16="http://schemas.microsoft.com/office/drawing/2014/chart" uri="{C3380CC4-5D6E-409C-BE32-E72D297353CC}">
              <c16:uniqueId val="{00000001-D25C-4A34-B1F3-BC2081FF695D}"/>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
          <c:y val="0.90176227971503564"/>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3B-4DBA-9721-85D80CC968FF}"/>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3B-4DBA-9721-85D80CC968FF}"/>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3B-4DBA-9721-85D80CC968FF}"/>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3B-4DBA-9721-85D80CC968FF}"/>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89.7</c:v>
                </c:pt>
                <c:pt idx="1">
                  <c:v>96.5</c:v>
                </c:pt>
                <c:pt idx="2">
                  <c:v>92</c:v>
                </c:pt>
                <c:pt idx="3">
                  <c:v>79.7</c:v>
                </c:pt>
                <c:pt idx="4">
                  <c:v>95.4</c:v>
                </c:pt>
              </c:numCache>
            </c:numRef>
          </c:val>
          <c:extLst>
            <c:ext xmlns:c16="http://schemas.microsoft.com/office/drawing/2014/chart" uri="{C3380CC4-5D6E-409C-BE32-E72D297353CC}">
              <c16:uniqueId val="{00000004-FC3B-4DBA-9721-85D80CC968FF}"/>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99.8</c:v>
                </c:pt>
                <c:pt idx="1">
                  <c:v>99.8</c:v>
                </c:pt>
                <c:pt idx="2">
                  <c:v>99.9</c:v>
                </c:pt>
                <c:pt idx="3">
                  <c:v>99.6</c:v>
                </c:pt>
                <c:pt idx="4" formatCode="0.0">
                  <c:v>98.078638506157688</c:v>
                </c:pt>
              </c:numCache>
            </c:numRef>
          </c:val>
          <c:extLst>
            <c:ext xmlns:c16="http://schemas.microsoft.com/office/drawing/2014/chart" uri="{C3380CC4-5D6E-409C-BE32-E72D297353CC}">
              <c16:uniqueId val="{00000005-FC3B-4DBA-9721-85D80CC968FF}"/>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123763510240767E-2"/>
          <c:y val="0.90562570499271733"/>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68307419905845113"/>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15</c:v>
                </c:pt>
                <c:pt idx="1">
                  <c:v>3</c:v>
                </c:pt>
              </c:numCache>
            </c:numRef>
          </c:val>
          <c:extLst>
            <c:ext xmlns:c16="http://schemas.microsoft.com/office/drawing/2014/chart" uri="{C3380CC4-5D6E-409C-BE32-E72D297353CC}">
              <c16:uniqueId val="{00000000-D75D-422F-A050-DA7F8B8B421C}"/>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12</c:v>
                </c:pt>
                <c:pt idx="1">
                  <c:v>10</c:v>
                </c:pt>
              </c:numCache>
            </c:numRef>
          </c:val>
          <c:extLst>
            <c:ext xmlns:c16="http://schemas.microsoft.com/office/drawing/2014/chart" uri="{C3380CC4-5D6E-409C-BE32-E72D297353CC}">
              <c16:uniqueId val="{00000001-D75D-422F-A050-DA7F8B8B421C}"/>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
          <c:y val="0.8964712744240301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0A-4CAF-A9D6-264CE3E55FE9}"/>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0A-4CAF-A9D6-264CE3E55FE9}"/>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0A-4CAF-A9D6-264CE3E55FE9}"/>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0A-4CAF-A9D6-264CE3E55FE9}"/>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86.8</c:v>
                </c:pt>
                <c:pt idx="1">
                  <c:v>87.4</c:v>
                </c:pt>
                <c:pt idx="2">
                  <c:v>88.3</c:v>
                </c:pt>
                <c:pt idx="3">
                  <c:v>82</c:v>
                </c:pt>
                <c:pt idx="4">
                  <c:v>83.8</c:v>
                </c:pt>
              </c:numCache>
            </c:numRef>
          </c:val>
          <c:extLst>
            <c:ext xmlns:c16="http://schemas.microsoft.com/office/drawing/2014/chart" uri="{C3380CC4-5D6E-409C-BE32-E72D297353CC}">
              <c16:uniqueId val="{00000004-BA0A-4CAF-A9D6-264CE3E55FE9}"/>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98.5</c:v>
                </c:pt>
                <c:pt idx="1">
                  <c:v>96.7</c:v>
                </c:pt>
                <c:pt idx="2">
                  <c:v>97.3</c:v>
                </c:pt>
                <c:pt idx="3">
                  <c:v>91.8</c:v>
                </c:pt>
                <c:pt idx="4" formatCode="0.0">
                  <c:v>94.100449555236949</c:v>
                </c:pt>
              </c:numCache>
            </c:numRef>
          </c:val>
          <c:extLst>
            <c:ext xmlns:c16="http://schemas.microsoft.com/office/drawing/2014/chart" uri="{C3380CC4-5D6E-409C-BE32-E72D297353CC}">
              <c16:uniqueId val="{00000005-BA0A-4CAF-A9D6-264CE3E55FE9}"/>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123763510240767E-2"/>
          <c:y val="0.90006242265613856"/>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68307419905845113"/>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49</c:v>
                </c:pt>
                <c:pt idx="1">
                  <c:v>48</c:v>
                </c:pt>
              </c:numCache>
            </c:numRef>
          </c:val>
          <c:extLst>
            <c:ext xmlns:c16="http://schemas.microsoft.com/office/drawing/2014/chart" uri="{C3380CC4-5D6E-409C-BE32-E72D297353CC}">
              <c16:uniqueId val="{00000000-1B9C-4F6A-A0B0-943C8507B204}"/>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30</c:v>
                </c:pt>
                <c:pt idx="1">
                  <c:v>21</c:v>
                </c:pt>
              </c:numCache>
            </c:numRef>
          </c:val>
          <c:extLst>
            <c:ext xmlns:c16="http://schemas.microsoft.com/office/drawing/2014/chart" uri="{C3380CC4-5D6E-409C-BE32-E72D297353CC}">
              <c16:uniqueId val="{00000001-1B9C-4F6A-A0B0-943C8507B204}"/>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30"/>
      </c:valAx>
      <c:spPr>
        <a:noFill/>
        <a:ln>
          <a:noFill/>
        </a:ln>
        <a:effectLst/>
      </c:spPr>
    </c:plotArea>
    <c:legend>
      <c:legendPos val="b"/>
      <c:layout>
        <c:manualLayout>
          <c:xMode val="edge"/>
          <c:yMode val="edge"/>
          <c:x val="0"/>
          <c:y val="0.90176227971503564"/>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5F-434D-80C3-D7FFC4D41EA3}"/>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5F-434D-80C3-D7FFC4D41EA3}"/>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5F-434D-80C3-D7FFC4D41EA3}"/>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5F-434D-80C3-D7FFC4D41EA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96.2</c:v>
                </c:pt>
                <c:pt idx="1">
                  <c:v>95.8</c:v>
                </c:pt>
                <c:pt idx="2">
                  <c:v>93.4</c:v>
                </c:pt>
                <c:pt idx="3">
                  <c:v>95.8</c:v>
                </c:pt>
                <c:pt idx="4">
                  <c:v>96.1</c:v>
                </c:pt>
              </c:numCache>
            </c:numRef>
          </c:val>
          <c:extLst>
            <c:ext xmlns:c16="http://schemas.microsoft.com/office/drawing/2014/chart" uri="{C3380CC4-5D6E-409C-BE32-E72D297353CC}">
              <c16:uniqueId val="{00000004-BA5F-434D-80C3-D7FFC4D41EA3}"/>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96.1</c:v>
                </c:pt>
                <c:pt idx="1">
                  <c:v>93.6</c:v>
                </c:pt>
                <c:pt idx="2">
                  <c:v>97.8</c:v>
                </c:pt>
                <c:pt idx="3">
                  <c:v>96.9</c:v>
                </c:pt>
                <c:pt idx="4" formatCode="0.0">
                  <c:v>92.493206948946948</c:v>
                </c:pt>
              </c:numCache>
            </c:numRef>
          </c:val>
          <c:extLst>
            <c:ext xmlns:c16="http://schemas.microsoft.com/office/drawing/2014/chart" uri="{C3380CC4-5D6E-409C-BE32-E72D297353CC}">
              <c16:uniqueId val="{00000005-BA5F-434D-80C3-D7FFC4D41EA3}"/>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123763510240767E-2"/>
          <c:y val="0.8833723672674737"/>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0952922551347752"/>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12</c:v>
                </c:pt>
                <c:pt idx="1">
                  <c:v>10</c:v>
                </c:pt>
              </c:numCache>
            </c:numRef>
          </c:val>
          <c:extLst>
            <c:ext xmlns:c16="http://schemas.microsoft.com/office/drawing/2014/chart" uri="{C3380CC4-5D6E-409C-BE32-E72D297353CC}">
              <c16:uniqueId val="{00000000-AE6B-442C-9EB9-679B34C5BD5D}"/>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37</c:v>
                </c:pt>
                <c:pt idx="1">
                  <c:v>44</c:v>
                </c:pt>
              </c:numCache>
            </c:numRef>
          </c:val>
          <c:extLst>
            <c:ext xmlns:c16="http://schemas.microsoft.com/office/drawing/2014/chart" uri="{C3380CC4-5D6E-409C-BE32-E72D297353CC}">
              <c16:uniqueId val="{00000001-AE6B-442C-9EB9-679B34C5BD5D}"/>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
          <c:y val="0.91234429029704622"/>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A9-4397-B12E-01035268F65D}"/>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A9-4397-B12E-01035268F65D}"/>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A9-4397-B12E-01035268F65D}"/>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A9-4397-B12E-01035268F65D}"/>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92.8</c:v>
                </c:pt>
                <c:pt idx="1">
                  <c:v>95.3</c:v>
                </c:pt>
                <c:pt idx="2">
                  <c:v>91</c:v>
                </c:pt>
                <c:pt idx="3">
                  <c:v>90.5</c:v>
                </c:pt>
                <c:pt idx="4">
                  <c:v>96.2</c:v>
                </c:pt>
              </c:numCache>
            </c:numRef>
          </c:val>
          <c:extLst>
            <c:ext xmlns:c16="http://schemas.microsoft.com/office/drawing/2014/chart" uri="{C3380CC4-5D6E-409C-BE32-E72D297353CC}">
              <c16:uniqueId val="{00000004-FFA9-4397-B12E-01035268F65D}"/>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99.5</c:v>
                </c:pt>
                <c:pt idx="1">
                  <c:v>99.8</c:v>
                </c:pt>
                <c:pt idx="2">
                  <c:v>99.7</c:v>
                </c:pt>
                <c:pt idx="3">
                  <c:v>99.5</c:v>
                </c:pt>
                <c:pt idx="4" formatCode="0.0">
                  <c:v>99.494443088602992</c:v>
                </c:pt>
              </c:numCache>
            </c:numRef>
          </c:val>
          <c:extLst>
            <c:ext xmlns:c16="http://schemas.microsoft.com/office/drawing/2014/chart" uri="{C3380CC4-5D6E-409C-BE32-E72D297353CC}">
              <c16:uniqueId val="{00000005-FFA9-4397-B12E-01035268F65D}"/>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123763510240767E-2"/>
          <c:y val="0.8833723672674737"/>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0423822022247218"/>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17</c:v>
                </c:pt>
                <c:pt idx="1">
                  <c:v>9</c:v>
                </c:pt>
              </c:numCache>
            </c:numRef>
          </c:val>
          <c:extLst>
            <c:ext xmlns:c16="http://schemas.microsoft.com/office/drawing/2014/chart" uri="{C3380CC4-5D6E-409C-BE32-E72D297353CC}">
              <c16:uniqueId val="{00000000-F087-49BC-AB16-07D55426F34C}"/>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19</c:v>
                </c:pt>
                <c:pt idx="1">
                  <c:v>19</c:v>
                </c:pt>
              </c:numCache>
            </c:numRef>
          </c:val>
          <c:extLst>
            <c:ext xmlns:c16="http://schemas.microsoft.com/office/drawing/2014/chart" uri="{C3380CC4-5D6E-409C-BE32-E72D297353CC}">
              <c16:uniqueId val="{00000001-F087-49BC-AB16-07D55426F34C}"/>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8753370797837476"/>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71-4760-97A2-8A2D47FCBF3D}"/>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71-4760-97A2-8A2D47FCBF3D}"/>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71-4760-97A2-8A2D47FCBF3D}"/>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71-4760-97A2-8A2D47FCBF3D}"/>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(KOPSAVILKUMS!$C$10,KOPSAVILKUMS!$E$10,KOPSAVILKUMS!$G$10,KOPSAVILKUMS!$I$10,KOPSAVILKUMS!$K$10)</c:f>
              <c:numCache>
                <c:formatCode>General</c:formatCode>
                <c:ptCount val="5"/>
                <c:pt idx="0" formatCode="0.0">
                  <c:v>92.5</c:v>
                </c:pt>
                <c:pt idx="1">
                  <c:v>92.3</c:v>
                </c:pt>
                <c:pt idx="2">
                  <c:v>90.6</c:v>
                </c:pt>
                <c:pt idx="3">
                  <c:v>90.5</c:v>
                </c:pt>
                <c:pt idx="4">
                  <c:v>92.9</c:v>
                </c:pt>
              </c:numCache>
            </c:numRef>
          </c:val>
          <c:extLst>
            <c:ext xmlns:c16="http://schemas.microsoft.com/office/drawing/2014/chart" uri="{C3380CC4-5D6E-409C-BE32-E72D297353CC}">
              <c16:uniqueId val="{00000004-3071-4760-97A2-8A2D47FCBF3D}"/>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c:f>
              <c:numCache>
                <c:formatCode>General</c:formatCode>
                <c:ptCount val="5"/>
                <c:pt idx="0">
                  <c:v>2018</c:v>
                </c:pt>
                <c:pt idx="1">
                  <c:v>2019</c:v>
                </c:pt>
                <c:pt idx="2">
                  <c:v>2020</c:v>
                </c:pt>
                <c:pt idx="3">
                  <c:v>2021</c:v>
                </c:pt>
                <c:pt idx="4">
                  <c:v>2022</c:v>
                </c:pt>
              </c:numCache>
            </c:numRef>
          </c:cat>
          <c:val>
            <c:numRef>
              <c:f>(KOPSAVILKUMS!$D$10,KOPSAVILKUMS!$F$10,KOPSAVILKUMS!$H$10,KOPSAVILKUMS!$J$10,KOPSAVILKUMS!$L$10)</c:f>
              <c:numCache>
                <c:formatCode>General</c:formatCode>
                <c:ptCount val="5"/>
                <c:pt idx="0">
                  <c:v>97.5</c:v>
                </c:pt>
                <c:pt idx="1">
                  <c:v>97.2</c:v>
                </c:pt>
                <c:pt idx="2">
                  <c:v>97.9</c:v>
                </c:pt>
                <c:pt idx="3">
                  <c:v>97.5</c:v>
                </c:pt>
                <c:pt idx="4" formatCode="0.0">
                  <c:v>95.619340478146142</c:v>
                </c:pt>
              </c:numCache>
            </c:numRef>
          </c:val>
          <c:extLst>
            <c:ext xmlns:c16="http://schemas.microsoft.com/office/drawing/2014/chart" uri="{C3380CC4-5D6E-409C-BE32-E72D297353CC}">
              <c16:uniqueId val="{00000005-3071-4760-97A2-8A2D47FCBF3D}"/>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2.123763510240767E-2"/>
          <c:y val="0.8833723672674737"/>
          <c:w val="0.97489310985301691"/>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304674796106079E-2"/>
          <c:y val="0.19841066020593578"/>
          <c:w val="0.89284760643857575"/>
          <c:h val="0.63008360838009847"/>
        </c:manualLayout>
      </c:layout>
      <c:barChart>
        <c:barDir val="col"/>
        <c:grouping val="clustered"/>
        <c:varyColors val="0"/>
        <c:ser>
          <c:idx val="1"/>
          <c:order val="0"/>
          <c:tx>
            <c:strRef>
              <c:f>grafiki!$G$15</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grafiki!$I$13:$K$13</c:f>
              <c:numCache>
                <c:formatCode>General</c:formatCode>
                <c:ptCount val="3"/>
                <c:pt idx="0">
                  <c:v>2024</c:v>
                </c:pt>
                <c:pt idx="1">
                  <c:v>2025</c:v>
                </c:pt>
                <c:pt idx="2">
                  <c:v>2026</c:v>
                </c:pt>
              </c:numCache>
            </c:numRef>
          </c:cat>
          <c:val>
            <c:numRef>
              <c:f>grafiki!$I$15:$K$15</c:f>
              <c:numCache>
                <c:formatCode>#\ ##0.0</c:formatCode>
                <c:ptCount val="3"/>
                <c:pt idx="0">
                  <c:v>4319.3999999999996</c:v>
                </c:pt>
                <c:pt idx="1">
                  <c:v>4569.5</c:v>
                </c:pt>
                <c:pt idx="2">
                  <c:v>4569.5</c:v>
                </c:pt>
              </c:numCache>
            </c:numRef>
          </c:val>
          <c:extLst>
            <c:ext xmlns:c16="http://schemas.microsoft.com/office/drawing/2014/chart" uri="{C3380CC4-5D6E-409C-BE32-E72D297353CC}">
              <c16:uniqueId val="{00000000-E7D5-4463-A101-820B088C5091}"/>
            </c:ext>
          </c:extLst>
        </c:ser>
        <c:ser>
          <c:idx val="0"/>
          <c:order val="1"/>
          <c:tx>
            <c:strRef>
              <c:f>grafiki!$G$14</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grafiki!$I$13:$K$13</c:f>
              <c:numCache>
                <c:formatCode>General</c:formatCode>
                <c:ptCount val="3"/>
                <c:pt idx="0">
                  <c:v>2024</c:v>
                </c:pt>
                <c:pt idx="1">
                  <c:v>2025</c:v>
                </c:pt>
                <c:pt idx="2">
                  <c:v>2026</c:v>
                </c:pt>
              </c:numCache>
            </c:numRef>
          </c:cat>
          <c:val>
            <c:numRef>
              <c:f>grafiki!$I$14:$K$14</c:f>
              <c:numCache>
                <c:formatCode>#\ ##0.0</c:formatCode>
                <c:ptCount val="3"/>
                <c:pt idx="0">
                  <c:v>4365.3999999999996</c:v>
                </c:pt>
                <c:pt idx="1">
                  <c:v>4688</c:v>
                </c:pt>
                <c:pt idx="2">
                  <c:v>5065.7</c:v>
                </c:pt>
              </c:numCache>
            </c:numRef>
          </c:val>
          <c:extLst>
            <c:ext xmlns:c16="http://schemas.microsoft.com/office/drawing/2014/chart" uri="{C3380CC4-5D6E-409C-BE32-E72D297353CC}">
              <c16:uniqueId val="{00000001-E7D5-4463-A101-820B088C5091}"/>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968003999500063"/>
          <c:w val="0.90512270341207346"/>
          <c:h val="0.70423822022247218"/>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'+-15_Apkopojums'!$D$5:$E$5</c:f>
              <c:numCache>
                <c:formatCode>General</c:formatCode>
                <c:ptCount val="2"/>
                <c:pt idx="0">
                  <c:v>16</c:v>
                </c:pt>
                <c:pt idx="1">
                  <c:v>10</c:v>
                </c:pt>
              </c:numCache>
            </c:numRef>
          </c:val>
          <c:extLst>
            <c:ext xmlns:c16="http://schemas.microsoft.com/office/drawing/2014/chart" uri="{C3380CC4-5D6E-409C-BE32-E72D297353CC}">
              <c16:uniqueId val="{00000000-2699-42C9-8350-ACC214462833}"/>
            </c:ext>
          </c:extLst>
        </c:ser>
        <c:ser>
          <c:idx val="1"/>
          <c:order val="1"/>
          <c:tx>
            <c:strRef>
              <c:f>'+-15_Apkopojums'!$C$6</c:f>
              <c:strCache>
                <c:ptCount val="1"/>
                <c:pt idx="0">
                  <c:v>Plāns ir izpildīts par vairāk nekā 15%</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2021</c:v>
                </c:pt>
                <c:pt idx="1">
                  <c:v>2022</c:v>
                </c:pt>
              </c:numCache>
            </c:numRef>
          </c:cat>
          <c:val>
            <c:numRef>
              <c:f>'+-15_Apkopojums'!$D$6:$E$6</c:f>
              <c:numCache>
                <c:formatCode>General</c:formatCode>
                <c:ptCount val="2"/>
                <c:pt idx="0">
                  <c:v>12</c:v>
                </c:pt>
                <c:pt idx="1">
                  <c:v>11</c:v>
                </c:pt>
              </c:numCache>
            </c:numRef>
          </c:val>
          <c:extLst>
            <c:ext xmlns:c16="http://schemas.microsoft.com/office/drawing/2014/chart" uri="{C3380CC4-5D6E-409C-BE32-E72D297353CC}">
              <c16:uniqueId val="{00000001-2699-42C9-8350-ACC214462833}"/>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
          <c:y val="0.9229263008790568"/>
          <c:w val="1"/>
          <c:h val="7.1782693829937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94370482380035"/>
          <c:y val="2.9830508474576273E-2"/>
          <c:w val="0.85085463148547291"/>
          <c:h val="0.61898990202560555"/>
        </c:manualLayout>
      </c:layout>
      <c:barChart>
        <c:barDir val="col"/>
        <c:grouping val="clustered"/>
        <c:varyColors val="0"/>
        <c:ser>
          <c:idx val="0"/>
          <c:order val="0"/>
          <c:tx>
            <c:strRef>
              <c:f>CSP!$A$20</c:f>
              <c:strCache>
                <c:ptCount val="1"/>
                <c:pt idx="0">
                  <c:v>Iedzīvotāji, kuri regulāri (vismaz reizi nedēļā) lieto internetu gada sākumā</c:v>
                </c:pt>
              </c:strCache>
            </c:strRef>
          </c:tx>
          <c:spPr>
            <a:solidFill>
              <a:srgbClr val="2E8AB8"/>
            </a:solidFill>
            <a:ln>
              <a:solidFill>
                <a:srgbClr val="2E8AB8"/>
              </a:solidFill>
            </a:ln>
            <a:effectLst/>
          </c:spPr>
          <c:invertIfNegative val="0"/>
          <c:dPt>
            <c:idx val="0"/>
            <c:invertIfNegative val="0"/>
            <c:bubble3D val="0"/>
            <c:spPr>
              <a:solidFill>
                <a:srgbClr val="2E8AB8"/>
              </a:solidFill>
              <a:ln>
                <a:solidFill>
                  <a:srgbClr val="2E8AB8"/>
                </a:solidFill>
              </a:ln>
              <a:effectLst/>
            </c:spPr>
            <c:extLst>
              <c:ext xmlns:c16="http://schemas.microsoft.com/office/drawing/2014/chart" uri="{C3380CC4-5D6E-409C-BE32-E72D297353CC}">
                <c16:uniqueId val="{00000001-4ECC-4EAF-B1D7-23F1D4C6DAC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CSP!$D$19:$G$19</c:f>
              <c:numCache>
                <c:formatCode>General</c:formatCode>
                <c:ptCount val="4"/>
                <c:pt idx="0">
                  <c:v>2019</c:v>
                </c:pt>
                <c:pt idx="1">
                  <c:v>2020</c:v>
                </c:pt>
                <c:pt idx="2">
                  <c:v>2021</c:v>
                </c:pt>
                <c:pt idx="3">
                  <c:v>2022</c:v>
                </c:pt>
              </c:numCache>
            </c:numRef>
          </c:cat>
          <c:val>
            <c:numRef>
              <c:f>CSP!$D$20:$G$20</c:f>
              <c:numCache>
                <c:formatCode>0.0</c:formatCode>
                <c:ptCount val="4"/>
                <c:pt idx="0">
                  <c:v>83.7</c:v>
                </c:pt>
                <c:pt idx="1">
                  <c:v>86.9</c:v>
                </c:pt>
                <c:pt idx="2">
                  <c:v>89.7</c:v>
                </c:pt>
                <c:pt idx="3">
                  <c:v>90</c:v>
                </c:pt>
              </c:numCache>
            </c:numRef>
          </c:val>
          <c:extLst>
            <c:ext xmlns:c16="http://schemas.microsoft.com/office/drawing/2014/chart" uri="{C3380CC4-5D6E-409C-BE32-E72D297353CC}">
              <c16:uniqueId val="{00000002-4ECC-4EAF-B1D7-23F1D4C6DAC8}"/>
            </c:ext>
          </c:extLst>
        </c:ser>
        <c:dLbls>
          <c:showLegendKey val="0"/>
          <c:showVal val="0"/>
          <c:showCatName val="0"/>
          <c:showSerName val="0"/>
          <c:showPercent val="0"/>
          <c:showBubbleSize val="0"/>
        </c:dLbls>
        <c:gapWidth val="100"/>
        <c:overlap val="-27"/>
        <c:axId val="720087584"/>
        <c:axId val="720089504"/>
      </c:barChart>
      <c:lineChart>
        <c:grouping val="standard"/>
        <c:varyColors val="0"/>
        <c:ser>
          <c:idx val="1"/>
          <c:order val="1"/>
          <c:tx>
            <c:strRef>
              <c:f>CSP!$A$21</c:f>
              <c:strCache>
                <c:ptCount val="1"/>
                <c:pt idx="0">
                  <c:v>Informācijas iegūšana no tīmekļa vietnēm vai mobilajām lietotnēm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9759958005249361E-2"/>
                  <c:y val="-3.896996119963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CC-4EAF-B1D7-23F1D4C6DAC8}"/>
                </c:ext>
              </c:extLst>
            </c:dLbl>
            <c:dLbl>
              <c:idx val="1"/>
              <c:layout>
                <c:manualLayout>
                  <c:x val="-4.0547275590551178E-2"/>
                  <c:y val="-3.2877044215626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CC-4EAF-B1D7-23F1D4C6DAC8}"/>
                </c:ext>
              </c:extLst>
            </c:dLbl>
            <c:dLbl>
              <c:idx val="2"/>
              <c:layout>
                <c:manualLayout>
                  <c:x val="-4.0661837270341283E-2"/>
                  <c:y val="-3.8635330522755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CC-4EAF-B1D7-23F1D4C6DAC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CSP!$D$19:$G$19</c:f>
              <c:numCache>
                <c:formatCode>General</c:formatCode>
                <c:ptCount val="4"/>
                <c:pt idx="0">
                  <c:v>2019</c:v>
                </c:pt>
                <c:pt idx="1">
                  <c:v>2020</c:v>
                </c:pt>
                <c:pt idx="2">
                  <c:v>2021</c:v>
                </c:pt>
                <c:pt idx="3">
                  <c:v>2022</c:v>
                </c:pt>
              </c:numCache>
            </c:numRef>
          </c:cat>
          <c:val>
            <c:numRef>
              <c:f>CSP!$D$21:$G$21</c:f>
              <c:numCache>
                <c:formatCode>General</c:formatCode>
                <c:ptCount val="4"/>
                <c:pt idx="0">
                  <c:v>57.7</c:v>
                </c:pt>
                <c:pt idx="1">
                  <c:v>68.2</c:v>
                </c:pt>
                <c:pt idx="2">
                  <c:v>67.599999999999994</c:v>
                </c:pt>
              </c:numCache>
            </c:numRef>
          </c:val>
          <c:smooth val="0"/>
          <c:extLst>
            <c:ext xmlns:c16="http://schemas.microsoft.com/office/drawing/2014/chart" uri="{C3380CC4-5D6E-409C-BE32-E72D297353CC}">
              <c16:uniqueId val="{00000006-4ECC-4EAF-B1D7-23F1D4C6DAC8}"/>
            </c:ext>
          </c:extLst>
        </c:ser>
        <c:ser>
          <c:idx val="2"/>
          <c:order val="2"/>
          <c:tx>
            <c:strRef>
              <c:f>CSP!$A$22</c:f>
              <c:strCache>
                <c:ptCount val="1"/>
                <c:pt idx="0">
                  <c:v>Veidlapu aizpildīšana tiešsaistē</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0547275590551199E-2"/>
                  <c:y val="3.796606916900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CC-4EAF-B1D7-23F1D4C6DAC8}"/>
                </c:ext>
              </c:extLst>
            </c:dLbl>
            <c:dLbl>
              <c:idx val="1"/>
              <c:layout>
                <c:manualLayout>
                  <c:x val="-4.043288188976378E-2"/>
                  <c:y val="4.1681789014758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CC-4EAF-B1D7-23F1D4C6DAC8}"/>
                </c:ext>
              </c:extLst>
            </c:dLbl>
            <c:dLbl>
              <c:idx val="2"/>
              <c:layout>
                <c:manualLayout>
                  <c:x val="-4.1220367454068318E-2"/>
                  <c:y val="4.1347158337881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ECC-4EAF-B1D7-23F1D4C6DAC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CSP!$D$19:$G$19</c:f>
              <c:numCache>
                <c:formatCode>General</c:formatCode>
                <c:ptCount val="4"/>
                <c:pt idx="0">
                  <c:v>2019</c:v>
                </c:pt>
                <c:pt idx="1">
                  <c:v>2020</c:v>
                </c:pt>
                <c:pt idx="2">
                  <c:v>2021</c:v>
                </c:pt>
                <c:pt idx="3">
                  <c:v>2022</c:v>
                </c:pt>
              </c:numCache>
            </c:numRef>
          </c:cat>
          <c:val>
            <c:numRef>
              <c:f>CSP!$D$22:$G$22</c:f>
              <c:numCache>
                <c:formatCode>General</c:formatCode>
                <c:ptCount val="4"/>
                <c:pt idx="0">
                  <c:v>55.5</c:v>
                </c:pt>
                <c:pt idx="1">
                  <c:v>63.4</c:v>
                </c:pt>
                <c:pt idx="2">
                  <c:v>64.7</c:v>
                </c:pt>
              </c:numCache>
            </c:numRef>
          </c:val>
          <c:smooth val="0"/>
          <c:extLst>
            <c:ext xmlns:c16="http://schemas.microsoft.com/office/drawing/2014/chart" uri="{C3380CC4-5D6E-409C-BE32-E72D297353CC}">
              <c16:uniqueId val="{0000000A-4ECC-4EAF-B1D7-23F1D4C6DAC8}"/>
            </c:ext>
          </c:extLst>
        </c:ser>
        <c:ser>
          <c:idx val="3"/>
          <c:order val="3"/>
          <c:tx>
            <c:strRef>
              <c:f>CSP!$A$23</c:f>
              <c:strCache>
                <c:ptCount val="1"/>
                <c:pt idx="0">
                  <c:v>Veidlapu lejupielāde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3124577427821525E-2"/>
                  <c:y val="3.6258133384507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CC-4EAF-B1D7-23F1D4C6DAC8}"/>
                </c:ext>
              </c:extLst>
            </c:dLbl>
            <c:dLbl>
              <c:idx val="1"/>
              <c:layout>
                <c:manualLayout>
                  <c:x val="-4.3239139107611547E-2"/>
                  <c:y val="4.2016419691636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ECC-4EAF-B1D7-23F1D4C6DAC8}"/>
                </c:ext>
              </c:extLst>
            </c:dLbl>
            <c:dLbl>
              <c:idx val="2"/>
              <c:layout>
                <c:manualLayout>
                  <c:x val="-4.1778729658792729E-2"/>
                  <c:y val="3.8300699845877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ECC-4EAF-B1D7-23F1D4C6DAC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CSP!$D$19:$G$19</c:f>
              <c:numCache>
                <c:formatCode>General</c:formatCode>
                <c:ptCount val="4"/>
                <c:pt idx="0">
                  <c:v>2019</c:v>
                </c:pt>
                <c:pt idx="1">
                  <c:v>2020</c:v>
                </c:pt>
                <c:pt idx="2">
                  <c:v>2021</c:v>
                </c:pt>
                <c:pt idx="3">
                  <c:v>2022</c:v>
                </c:pt>
              </c:numCache>
            </c:numRef>
          </c:cat>
          <c:val>
            <c:numRef>
              <c:f>CSP!$D$23:$G$23</c:f>
              <c:numCache>
                <c:formatCode>General</c:formatCode>
                <c:ptCount val="4"/>
                <c:pt idx="0">
                  <c:v>18.399999999999999</c:v>
                </c:pt>
                <c:pt idx="1">
                  <c:v>32.200000000000003</c:v>
                </c:pt>
                <c:pt idx="2">
                  <c:v>36.4</c:v>
                </c:pt>
              </c:numCache>
            </c:numRef>
          </c:val>
          <c:smooth val="0"/>
          <c:extLst>
            <c:ext xmlns:c16="http://schemas.microsoft.com/office/drawing/2014/chart" uri="{C3380CC4-5D6E-409C-BE32-E72D297353CC}">
              <c16:uniqueId val="{0000000E-4ECC-4EAF-B1D7-23F1D4C6DAC8}"/>
            </c:ext>
          </c:extLst>
        </c:ser>
        <c:dLbls>
          <c:showLegendKey val="0"/>
          <c:showVal val="0"/>
          <c:showCatName val="0"/>
          <c:showSerName val="0"/>
          <c:showPercent val="0"/>
          <c:showBubbleSize val="0"/>
        </c:dLbls>
        <c:marker val="1"/>
        <c:smooth val="0"/>
        <c:axId val="720087584"/>
        <c:axId val="720089504"/>
      </c:lineChart>
      <c:catAx>
        <c:axId val="72008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0089504"/>
        <c:crosses val="autoZero"/>
        <c:auto val="1"/>
        <c:lblAlgn val="ctr"/>
        <c:lblOffset val="100"/>
        <c:noMultiLvlLbl val="0"/>
      </c:catAx>
      <c:valAx>
        <c:axId val="72008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solidFill>
                      <a:sysClr val="windowText" lastClr="000000"/>
                    </a:solidFill>
                  </a:rPr>
                  <a: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0087584"/>
        <c:crosses val="autoZero"/>
        <c:crossBetween val="between"/>
        <c:majorUnit val="20"/>
      </c:valAx>
      <c:spPr>
        <a:noFill/>
        <a:ln>
          <a:noFill/>
        </a:ln>
        <a:effectLst/>
      </c:spPr>
    </c:plotArea>
    <c:legend>
      <c:legendPos val="b"/>
      <c:layout>
        <c:manualLayout>
          <c:xMode val="edge"/>
          <c:yMode val="edge"/>
          <c:x val="0.10026449262467481"/>
          <c:y val="0.7161958285748633"/>
          <c:w val="0.83695292690993273"/>
          <c:h val="0.27154153266053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603925051667895E-2"/>
          <c:y val="3.305901355514064E-2"/>
          <c:w val="0.91049293729823899"/>
          <c:h val="0.70152272182856423"/>
        </c:manualLayout>
      </c:layout>
      <c:barChart>
        <c:barDir val="col"/>
        <c:grouping val="stacked"/>
        <c:varyColors val="0"/>
        <c:ser>
          <c:idx val="0"/>
          <c:order val="0"/>
          <c:tx>
            <c:strRef>
              <c:f>Grafiki!$I$1</c:f>
              <c:strCache>
                <c:ptCount val="1"/>
                <c:pt idx="0">
                  <c:v>Ministrija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Grafiki!$H$2:$H$16</c:f>
              <c:strCache>
                <c:ptCount val="15"/>
                <c:pt idx="0">
                  <c:v>SM</c:v>
                </c:pt>
                <c:pt idx="1">
                  <c:v>EM</c:v>
                </c:pt>
                <c:pt idx="2">
                  <c:v>KM</c:v>
                </c:pt>
                <c:pt idx="3">
                  <c:v>ZM</c:v>
                </c:pt>
                <c:pt idx="4">
                  <c:v>VARAM</c:v>
                </c:pt>
                <c:pt idx="5">
                  <c:v>IZM</c:v>
                </c:pt>
                <c:pt idx="6">
                  <c:v>FM</c:v>
                </c:pt>
                <c:pt idx="7">
                  <c:v>VM</c:v>
                </c:pt>
                <c:pt idx="8">
                  <c:v>LM</c:v>
                </c:pt>
                <c:pt idx="9">
                  <c:v>IeM</c:v>
                </c:pt>
                <c:pt idx="10">
                  <c:v>KNAB</c:v>
                </c:pt>
                <c:pt idx="11">
                  <c:v>TM</c:v>
                </c:pt>
                <c:pt idx="12">
                  <c:v>SIF</c:v>
                </c:pt>
                <c:pt idx="13">
                  <c:v>SEPL</c:v>
                </c:pt>
                <c:pt idx="14">
                  <c:v>ĀM</c:v>
                </c:pt>
              </c:strCache>
            </c:strRef>
          </c:cat>
          <c:val>
            <c:numRef>
              <c:f>Grafiki!$I$2:$I$16</c:f>
              <c:numCache>
                <c:formatCode>General</c:formatCode>
                <c:ptCount val="15"/>
                <c:pt idx="0">
                  <c:v>1</c:v>
                </c:pt>
                <c:pt idx="10">
                  <c:v>1</c:v>
                </c:pt>
                <c:pt idx="12">
                  <c:v>1</c:v>
                </c:pt>
                <c:pt idx="14">
                  <c:v>1</c:v>
                </c:pt>
              </c:numCache>
            </c:numRef>
          </c:val>
          <c:extLst>
            <c:ext xmlns:c16="http://schemas.microsoft.com/office/drawing/2014/chart" uri="{C3380CC4-5D6E-409C-BE32-E72D297353CC}">
              <c16:uniqueId val="{00000000-AD35-44BC-9727-F9BCB0750970}"/>
            </c:ext>
          </c:extLst>
        </c:ser>
        <c:ser>
          <c:idx val="1"/>
          <c:order val="1"/>
          <c:tx>
            <c:strRef>
              <c:f>Grafiki!$J$1</c:f>
              <c:strCache>
                <c:ptCount val="1"/>
                <c:pt idx="0">
                  <c:v>Padotības iestāde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Grafiki!$H$2:$H$16</c:f>
              <c:strCache>
                <c:ptCount val="15"/>
                <c:pt idx="0">
                  <c:v>SM</c:v>
                </c:pt>
                <c:pt idx="1">
                  <c:v>EM</c:v>
                </c:pt>
                <c:pt idx="2">
                  <c:v>KM</c:v>
                </c:pt>
                <c:pt idx="3">
                  <c:v>ZM</c:v>
                </c:pt>
                <c:pt idx="4">
                  <c:v>VARAM</c:v>
                </c:pt>
                <c:pt idx="5">
                  <c:v>IZM</c:v>
                </c:pt>
                <c:pt idx="6">
                  <c:v>FM</c:v>
                </c:pt>
                <c:pt idx="7">
                  <c:v>VM</c:v>
                </c:pt>
                <c:pt idx="8">
                  <c:v>LM</c:v>
                </c:pt>
                <c:pt idx="9">
                  <c:v>IeM</c:v>
                </c:pt>
                <c:pt idx="10">
                  <c:v>KNAB</c:v>
                </c:pt>
                <c:pt idx="11">
                  <c:v>TM</c:v>
                </c:pt>
                <c:pt idx="12">
                  <c:v>SIF</c:v>
                </c:pt>
                <c:pt idx="13">
                  <c:v>SEPL</c:v>
                </c:pt>
                <c:pt idx="14">
                  <c:v>ĀM</c:v>
                </c:pt>
              </c:strCache>
            </c:strRef>
          </c:cat>
          <c:val>
            <c:numRef>
              <c:f>Grafiki!$J$2:$J$16</c:f>
              <c:numCache>
                <c:formatCode>General</c:formatCode>
                <c:ptCount val="15"/>
                <c:pt idx="1">
                  <c:v>2</c:v>
                </c:pt>
                <c:pt idx="2">
                  <c:v>5</c:v>
                </c:pt>
                <c:pt idx="3">
                  <c:v>4</c:v>
                </c:pt>
                <c:pt idx="4">
                  <c:v>4</c:v>
                </c:pt>
                <c:pt idx="5">
                  <c:v>3</c:v>
                </c:pt>
                <c:pt idx="6">
                  <c:v>1</c:v>
                </c:pt>
                <c:pt idx="7">
                  <c:v>2</c:v>
                </c:pt>
                <c:pt idx="8">
                  <c:v>2</c:v>
                </c:pt>
                <c:pt idx="9">
                  <c:v>2</c:v>
                </c:pt>
                <c:pt idx="11">
                  <c:v>1</c:v>
                </c:pt>
              </c:numCache>
            </c:numRef>
          </c:val>
          <c:extLst>
            <c:ext xmlns:c16="http://schemas.microsoft.com/office/drawing/2014/chart" uri="{C3380CC4-5D6E-409C-BE32-E72D297353CC}">
              <c16:uniqueId val="{00000001-AD35-44BC-9727-F9BCB0750970}"/>
            </c:ext>
          </c:extLst>
        </c:ser>
        <c:ser>
          <c:idx val="2"/>
          <c:order val="2"/>
          <c:tx>
            <c:strRef>
              <c:f>Grafiki!$K$1</c:f>
              <c:strCache>
                <c:ptCount val="1"/>
                <c:pt idx="0">
                  <c:v>Kapitālsabiedrība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Grafiki!$H$2:$H$16</c:f>
              <c:strCache>
                <c:ptCount val="15"/>
                <c:pt idx="0">
                  <c:v>SM</c:v>
                </c:pt>
                <c:pt idx="1">
                  <c:v>EM</c:v>
                </c:pt>
                <c:pt idx="2">
                  <c:v>KM</c:v>
                </c:pt>
                <c:pt idx="3">
                  <c:v>ZM</c:v>
                </c:pt>
                <c:pt idx="4">
                  <c:v>VARAM</c:v>
                </c:pt>
                <c:pt idx="5">
                  <c:v>IZM</c:v>
                </c:pt>
                <c:pt idx="6">
                  <c:v>FM</c:v>
                </c:pt>
                <c:pt idx="7">
                  <c:v>VM</c:v>
                </c:pt>
                <c:pt idx="8">
                  <c:v>LM</c:v>
                </c:pt>
                <c:pt idx="9">
                  <c:v>IeM</c:v>
                </c:pt>
                <c:pt idx="10">
                  <c:v>KNAB</c:v>
                </c:pt>
                <c:pt idx="11">
                  <c:v>TM</c:v>
                </c:pt>
                <c:pt idx="12">
                  <c:v>SIF</c:v>
                </c:pt>
                <c:pt idx="13">
                  <c:v>SEPL</c:v>
                </c:pt>
                <c:pt idx="14">
                  <c:v>ĀM</c:v>
                </c:pt>
              </c:strCache>
            </c:strRef>
          </c:cat>
          <c:val>
            <c:numRef>
              <c:f>Grafiki!$K$2:$K$16</c:f>
              <c:numCache>
                <c:formatCode>General</c:formatCode>
                <c:ptCount val="15"/>
                <c:pt idx="0">
                  <c:v>7</c:v>
                </c:pt>
                <c:pt idx="1">
                  <c:v>4</c:v>
                </c:pt>
                <c:pt idx="2">
                  <c:v>1</c:v>
                </c:pt>
                <c:pt idx="3">
                  <c:v>1</c:v>
                </c:pt>
                <c:pt idx="6">
                  <c:v>1</c:v>
                </c:pt>
                <c:pt idx="13">
                  <c:v>1</c:v>
                </c:pt>
              </c:numCache>
            </c:numRef>
          </c:val>
          <c:extLst>
            <c:ext xmlns:c16="http://schemas.microsoft.com/office/drawing/2014/chart" uri="{C3380CC4-5D6E-409C-BE32-E72D297353CC}">
              <c16:uniqueId val="{00000002-AD35-44BC-9727-F9BCB0750970}"/>
            </c:ext>
          </c:extLst>
        </c:ser>
        <c:dLbls>
          <c:showLegendKey val="0"/>
          <c:showVal val="0"/>
          <c:showCatName val="0"/>
          <c:showSerName val="0"/>
          <c:showPercent val="0"/>
          <c:showBubbleSize val="0"/>
        </c:dLbls>
        <c:gapWidth val="50"/>
        <c:overlap val="100"/>
        <c:axId val="1712294447"/>
        <c:axId val="1712293967"/>
      </c:barChart>
      <c:catAx>
        <c:axId val="1712294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2293967"/>
        <c:crosses val="autoZero"/>
        <c:auto val="1"/>
        <c:lblAlgn val="ctr"/>
        <c:lblOffset val="100"/>
        <c:noMultiLvlLbl val="0"/>
      </c:catAx>
      <c:valAx>
        <c:axId val="1712293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1.009782064978482E-2"/>
              <c:y val="0.3894924803165651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2294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v-LV"/>
    </a:p>
  </c:txPr>
  <c:externalData r:id="rId4">
    <c:autoUpdate val="0"/>
  </c:externalData>
  <c:userShapes r:id="rId5"/>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528300058233929"/>
          <c:y val="4.1086513008143782E-2"/>
          <c:w val="0.47775318249688892"/>
          <c:h val="0.93924025021497581"/>
        </c:manualLayout>
      </c:layout>
      <c:pie3DChart>
        <c:varyColors val="1"/>
        <c:ser>
          <c:idx val="0"/>
          <c:order val="0"/>
          <c:dPt>
            <c:idx val="0"/>
            <c:bubble3D val="0"/>
            <c:spPr>
              <a:solidFill>
                <a:schemeClr val="accent5">
                  <a:shade val="58000"/>
                </a:schemeClr>
              </a:solidFill>
              <a:ln>
                <a:noFill/>
              </a:ln>
              <a:effectLst/>
              <a:sp3d/>
            </c:spPr>
            <c:extLst>
              <c:ext xmlns:c16="http://schemas.microsoft.com/office/drawing/2014/chart" uri="{C3380CC4-5D6E-409C-BE32-E72D297353CC}">
                <c16:uniqueId val="{00000001-CA3F-4667-9A71-875A76E1260A}"/>
              </c:ext>
            </c:extLst>
          </c:dPt>
          <c:dPt>
            <c:idx val="1"/>
            <c:bubble3D val="0"/>
            <c:spPr>
              <a:solidFill>
                <a:schemeClr val="accent5">
                  <a:shade val="86000"/>
                </a:schemeClr>
              </a:solidFill>
              <a:ln>
                <a:noFill/>
              </a:ln>
              <a:effectLst/>
              <a:sp3d/>
            </c:spPr>
            <c:extLst>
              <c:ext xmlns:c16="http://schemas.microsoft.com/office/drawing/2014/chart" uri="{C3380CC4-5D6E-409C-BE32-E72D297353CC}">
                <c16:uniqueId val="{00000003-CA3F-4667-9A71-875A76E1260A}"/>
              </c:ext>
            </c:extLst>
          </c:dPt>
          <c:dPt>
            <c:idx val="2"/>
            <c:bubble3D val="0"/>
            <c:spPr>
              <a:solidFill>
                <a:schemeClr val="accent5">
                  <a:tint val="86000"/>
                </a:schemeClr>
              </a:solidFill>
              <a:ln>
                <a:noFill/>
              </a:ln>
              <a:effectLst/>
              <a:sp3d/>
            </c:spPr>
            <c:extLst>
              <c:ext xmlns:c16="http://schemas.microsoft.com/office/drawing/2014/chart" uri="{C3380CC4-5D6E-409C-BE32-E72D297353CC}">
                <c16:uniqueId val="{00000005-CA3F-4667-9A71-875A76E1260A}"/>
              </c:ext>
            </c:extLst>
          </c:dPt>
          <c:dPt>
            <c:idx val="3"/>
            <c:bubble3D val="0"/>
            <c:spPr>
              <a:solidFill>
                <a:schemeClr val="accent5">
                  <a:tint val="58000"/>
                </a:schemeClr>
              </a:solidFill>
              <a:ln>
                <a:noFill/>
              </a:ln>
              <a:effectLst/>
              <a:sp3d/>
            </c:spPr>
            <c:extLst>
              <c:ext xmlns:c16="http://schemas.microsoft.com/office/drawing/2014/chart" uri="{C3380CC4-5D6E-409C-BE32-E72D297353CC}">
                <c16:uniqueId val="{00000007-CA3F-4667-9A71-875A76E1260A}"/>
              </c:ext>
            </c:extLst>
          </c:dPt>
          <c:dLbls>
            <c:dLbl>
              <c:idx val="0"/>
              <c:layout>
                <c:manualLayout>
                  <c:x val="6.8838748097664257E-2"/>
                  <c:y val="6.8194040188239774E-3"/>
                </c:manualLayout>
              </c:layout>
              <c:tx>
                <c:rich>
                  <a:bodyPr rot="0" spcFirstLastPara="1" vertOverflow="ellipsis" vert="horz" wrap="square" lIns="38100" tIns="19050" rIns="38100" bIns="19050" anchor="ctr" anchorCtr="1">
                    <a:noAutofit/>
                  </a:bodyPr>
                  <a:lstStyle/>
                  <a:p>
                    <a:pPr>
                      <a:defRPr sz="10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fld id="{A30E2C4E-D022-4659-AF39-27B09129CD0C}" type="CATEGORYNAME">
                      <a:rPr lang="en-US" sz="1000" b="0"/>
                      <a:pPr>
                        <a:defRPr sz="1000">
                          <a:solidFill>
                            <a:sysClr val="windowText" lastClr="000000"/>
                          </a:solidFill>
                          <a:latin typeface="Times New Roman" panose="02020603050405020304" pitchFamily="18" charset="0"/>
                          <a:cs typeface="Times New Roman" panose="02020603050405020304" pitchFamily="18" charset="0"/>
                        </a:defRPr>
                      </a:pPr>
                      <a:t>[CATEGORY NAME]</a:t>
                    </a:fld>
                    <a:r>
                      <a:rPr lang="en-US" sz="1000" b="0" baseline="0"/>
                      <a:t>; </a:t>
                    </a:r>
                    <a:fld id="{4F7D5339-55CF-4763-A333-DBAA3D529271}" type="VALUE">
                      <a:rPr lang="en-US" sz="1000" b="1" baseline="0"/>
                      <a:pPr>
                        <a:defRPr sz="1000">
                          <a:solidFill>
                            <a:sysClr val="windowText" lastClr="000000"/>
                          </a:solidFill>
                          <a:latin typeface="Times New Roman" panose="02020603050405020304" pitchFamily="18" charset="0"/>
                          <a:cs typeface="Times New Roman" panose="02020603050405020304" pitchFamily="18" charset="0"/>
                        </a:defRPr>
                      </a:pPr>
                      <a:t>[VALUE]</a:t>
                    </a:fld>
                    <a:endParaRPr lang="en-US" sz="1000" b="0" baseline="0"/>
                  </a:p>
                </c:rich>
              </c:tx>
              <c:spPr>
                <a:noFill/>
                <a:ln>
                  <a:noFill/>
                </a:ln>
                <a:effectLst/>
              </c:spPr>
              <c:txPr>
                <a:bodyPr rot="0" spcFirstLastPara="1" vertOverflow="ellipsis" vert="horz" wrap="square" lIns="38100" tIns="19050" rIns="38100" bIns="19050" anchor="ctr" anchorCtr="1">
                  <a:noAutofit/>
                </a:bodyPr>
                <a:lstStyle/>
                <a:p>
                  <a:pPr>
                    <a:defRPr sz="10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extLst>
                <c:ext xmlns:c15="http://schemas.microsoft.com/office/drawing/2012/chart" uri="{CE6537A1-D6FC-4f65-9D91-7224C49458BB}">
                  <c15:layout>
                    <c:manualLayout>
                      <c:w val="0.17434032510642053"/>
                      <c:h val="0.20291357415029473"/>
                    </c:manualLayout>
                  </c15:layout>
                  <c15:dlblFieldTable/>
                  <c15:showDataLabelsRange val="0"/>
                </c:ext>
                <c:ext xmlns:c16="http://schemas.microsoft.com/office/drawing/2014/chart" uri="{C3380CC4-5D6E-409C-BE32-E72D297353CC}">
                  <c16:uniqueId val="{00000001-CA3F-4667-9A71-875A76E1260A}"/>
                </c:ext>
              </c:extLst>
            </c:dLbl>
            <c:dLbl>
              <c:idx val="1"/>
              <c:layout>
                <c:manualLayout>
                  <c:x val="-0.17396528375129588"/>
                  <c:y val="-1.7802228363838626E-2"/>
                </c:manualLayout>
              </c:layout>
              <c:tx>
                <c:rich>
                  <a:bodyPr rot="0" spcFirstLastPara="1" vertOverflow="ellipsis" vert="horz" wrap="square" lIns="38100" tIns="19050" rIns="38100" bIns="19050" anchor="ctr" anchorCtr="1">
                    <a:noAutofit/>
                  </a:bodyPr>
                  <a:lstStyle/>
                  <a:p>
                    <a:pPr>
                      <a:defRPr sz="10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fld id="{67BF54EB-F420-4385-8AA5-26E323F54CBF}" type="CATEGORYNAME">
                      <a:rPr lang="lv-LV" sz="1000" b="0"/>
                      <a:pPr>
                        <a:defRPr sz="1000">
                          <a:solidFill>
                            <a:sysClr val="windowText" lastClr="000000"/>
                          </a:solidFill>
                          <a:latin typeface="Times New Roman" panose="02020603050405020304" pitchFamily="18" charset="0"/>
                          <a:cs typeface="Times New Roman" panose="02020603050405020304" pitchFamily="18" charset="0"/>
                        </a:defRPr>
                      </a:pPr>
                      <a:t>[CATEGORY NAME]</a:t>
                    </a:fld>
                    <a:r>
                      <a:rPr lang="lv-LV" sz="1000" b="0" baseline="0"/>
                      <a:t>; </a:t>
                    </a:r>
                    <a:fld id="{A94967EA-BEE5-477F-9638-E7BDA5302980}" type="VALUE">
                      <a:rPr lang="lv-LV" sz="1000" b="1" baseline="0"/>
                      <a:pPr>
                        <a:defRPr sz="1000">
                          <a:solidFill>
                            <a:sysClr val="windowText" lastClr="000000"/>
                          </a:solidFill>
                          <a:latin typeface="Times New Roman" panose="02020603050405020304" pitchFamily="18" charset="0"/>
                          <a:cs typeface="Times New Roman" panose="02020603050405020304" pitchFamily="18" charset="0"/>
                        </a:defRPr>
                      </a:pPr>
                      <a:t>[VALUE]</a:t>
                    </a:fld>
                    <a:endParaRPr lang="lv-LV" sz="1000" b="0" baseline="0"/>
                  </a:p>
                </c:rich>
              </c:tx>
              <c:spPr>
                <a:noFill/>
                <a:ln>
                  <a:noFill/>
                </a:ln>
                <a:effectLst/>
              </c:spPr>
              <c:txPr>
                <a:bodyPr rot="0" spcFirstLastPara="1" vertOverflow="ellipsis" vert="horz" wrap="square" lIns="38100" tIns="19050" rIns="38100" bIns="19050" anchor="ctr" anchorCtr="1">
                  <a:noAutofit/>
                </a:bodyPr>
                <a:lstStyle/>
                <a:p>
                  <a:pPr>
                    <a:defRPr sz="10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extLst>
                <c:ext xmlns:c15="http://schemas.microsoft.com/office/drawing/2012/chart" uri="{CE6537A1-D6FC-4f65-9D91-7224C49458BB}">
                  <c15:layout>
                    <c:manualLayout>
                      <c:w val="0.16829758822353938"/>
                      <c:h val="0.20168203813923685"/>
                    </c:manualLayout>
                  </c15:layout>
                  <c15:dlblFieldTable/>
                  <c15:showDataLabelsRange val="0"/>
                </c:ext>
                <c:ext xmlns:c16="http://schemas.microsoft.com/office/drawing/2014/chart" uri="{C3380CC4-5D6E-409C-BE32-E72D297353CC}">
                  <c16:uniqueId val="{00000003-CA3F-4667-9A71-875A76E1260A}"/>
                </c:ext>
              </c:extLst>
            </c:dLbl>
            <c:dLbl>
              <c:idx val="2"/>
              <c:layout>
                <c:manualLayout>
                  <c:x val="1.1754118970422814E-2"/>
                  <c:y val="-0.19433453268672543"/>
                </c:manualLayout>
              </c:layout>
              <c:tx>
                <c:rich>
                  <a:bodyPr/>
                  <a:lstStyle/>
                  <a:p>
                    <a:fld id="{75B267AC-B732-44F8-8B0A-961A39D9F5D6}" type="CATEGORYNAME">
                      <a:rPr lang="lv-LV"/>
                      <a:pPr/>
                      <a:t>[CATEGORY NAME]</a:t>
                    </a:fld>
                    <a:r>
                      <a:rPr lang="lv-LV" baseline="0"/>
                      <a:t>; </a:t>
                    </a:r>
                    <a:fld id="{5EC5D9D6-2F2D-48CF-B56B-24634E2B8416}"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A3F-4667-9A71-875A76E1260A}"/>
                </c:ext>
              </c:extLst>
            </c:dLbl>
            <c:dLbl>
              <c:idx val="3"/>
              <c:layout>
                <c:manualLayout>
                  <c:x val="0.13710386201724784"/>
                  <c:y val="4.6149032695416384E-2"/>
                </c:manualLayout>
              </c:layout>
              <c:tx>
                <c:rich>
                  <a:bodyPr/>
                  <a:lstStyle/>
                  <a:p>
                    <a:fld id="{FF064F13-E5CA-4EAA-A9CB-0DE125488E46}" type="CATEGORYNAME">
                      <a:rPr lang="en-US"/>
                      <a:pPr/>
                      <a:t>[CATEGORY NAME]</a:t>
                    </a:fld>
                    <a:r>
                      <a:rPr lang="en-US" baseline="0"/>
                      <a:t>; </a:t>
                    </a:r>
                    <a:fld id="{4952D3E9-DBFB-4005-9AD1-82D472FD93DF}"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A3F-4667-9A71-875A76E1260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Grafiki!$A$53:$A$56</c:f>
              <c:strCache>
                <c:ptCount val="4"/>
                <c:pt idx="0">
                  <c:v>Iestādes pašu finansējums</c:v>
                </c:pt>
                <c:pt idx="1">
                  <c:v>Valsts budžeta līdzekļi</c:v>
                </c:pt>
                <c:pt idx="2">
                  <c:v>ES fondu līdzekļi</c:v>
                </c:pt>
                <c:pt idx="3">
                  <c:v>Citi</c:v>
                </c:pt>
              </c:strCache>
            </c:strRef>
          </c:cat>
          <c:val>
            <c:numRef>
              <c:f>Grafiki!$B$53:$B$56</c:f>
              <c:numCache>
                <c:formatCode>General</c:formatCode>
                <c:ptCount val="4"/>
                <c:pt idx="0">
                  <c:v>5</c:v>
                </c:pt>
                <c:pt idx="1">
                  <c:v>12</c:v>
                </c:pt>
                <c:pt idx="2">
                  <c:v>12</c:v>
                </c:pt>
                <c:pt idx="3">
                  <c:v>16</c:v>
                </c:pt>
              </c:numCache>
            </c:numRef>
          </c:val>
          <c:extLst>
            <c:ext xmlns:c16="http://schemas.microsoft.com/office/drawing/2014/chart" uri="{C3380CC4-5D6E-409C-BE32-E72D297353CC}">
              <c16:uniqueId val="{00000008-CA3F-4667-9A71-875A76E1260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883993262357045E-2"/>
          <c:y val="2.1696492483894058E-2"/>
          <c:w val="0.68562319167627073"/>
          <c:h val="0.95149695776664278"/>
        </c:manualLayout>
      </c:layout>
      <c:pieChart>
        <c:varyColors val="1"/>
        <c:ser>
          <c:idx val="0"/>
          <c:order val="0"/>
          <c:dPt>
            <c:idx val="0"/>
            <c:bubble3D val="0"/>
            <c:spPr>
              <a:pattFill prst="pct75">
                <a:fgClr>
                  <a:srgbClr val="F79646"/>
                </a:fgClr>
                <a:bgClr>
                  <a:sysClr val="window" lastClr="FFFFFF"/>
                </a:bgClr>
              </a:pattFill>
              <a:ln w="19050" cap="flat" cmpd="sng" algn="ctr">
                <a:solidFill>
                  <a:sysClr val="window" lastClr="FFFFFF"/>
                </a:solidFill>
                <a:prstDash val="solid"/>
                <a:miter lim="800000"/>
              </a:ln>
              <a:effectLst/>
            </c:spPr>
            <c:extLst>
              <c:ext xmlns:c16="http://schemas.microsoft.com/office/drawing/2014/chart" uri="{C3380CC4-5D6E-409C-BE32-E72D297353CC}">
                <c16:uniqueId val="{00000001-58DA-4C3A-AD8A-51E19F4AE006}"/>
              </c:ext>
            </c:extLst>
          </c:dPt>
          <c:dPt>
            <c:idx val="1"/>
            <c:bubble3D val="0"/>
            <c:spPr>
              <a:pattFill prst="narHorz">
                <a:fgClr>
                  <a:srgbClr val="F79646"/>
                </a:fgClr>
                <a:bgClr>
                  <a:srgbClr val="F79646">
                    <a:lumMod val="20000"/>
                    <a:lumOff val="80000"/>
                  </a:srgbClr>
                </a:bgClr>
              </a:pattFill>
              <a:ln w="19050" cap="flat" cmpd="sng" algn="ctr">
                <a:solidFill>
                  <a:sysClr val="window" lastClr="FFFFFF"/>
                </a:solidFill>
                <a:prstDash val="solid"/>
                <a:miter lim="800000"/>
              </a:ln>
              <a:effectLst/>
            </c:spPr>
            <c:extLst>
              <c:ext xmlns:c16="http://schemas.microsoft.com/office/drawing/2014/chart" uri="{C3380CC4-5D6E-409C-BE32-E72D297353CC}">
                <c16:uniqueId val="{00000003-58DA-4C3A-AD8A-51E19F4AE006}"/>
              </c:ext>
            </c:extLst>
          </c:dPt>
          <c:dPt>
            <c:idx val="2"/>
            <c:bubble3D val="0"/>
            <c:spPr>
              <a:pattFill prst="dashHorz">
                <a:fgClr>
                  <a:srgbClr val="F79646"/>
                </a:fgClr>
                <a:bgClr>
                  <a:srgbClr val="F79646">
                    <a:lumMod val="20000"/>
                    <a:lumOff val="80000"/>
                  </a:srgbClr>
                </a:bgClr>
              </a:pattFill>
              <a:ln w="19050" cap="flat" cmpd="sng" algn="ctr">
                <a:solidFill>
                  <a:sysClr val="window" lastClr="FFFFFF"/>
                </a:solidFill>
                <a:prstDash val="solid"/>
                <a:miter lim="800000"/>
              </a:ln>
              <a:effectLst/>
            </c:spPr>
            <c:extLst>
              <c:ext xmlns:c16="http://schemas.microsoft.com/office/drawing/2014/chart" uri="{C3380CC4-5D6E-409C-BE32-E72D297353CC}">
                <c16:uniqueId val="{00000005-58DA-4C3A-AD8A-51E19F4AE006}"/>
              </c:ext>
            </c:extLst>
          </c:dPt>
          <c:dLbls>
            <c:dLbl>
              <c:idx val="0"/>
              <c:layout>
                <c:manualLayout>
                  <c:x val="6.5244964525872327E-3"/>
                  <c:y val="-2.808428775948461E-2"/>
                </c:manualLayout>
              </c:layout>
              <c:tx>
                <c:rich>
                  <a:bodyPr/>
                  <a:lstStyle/>
                  <a:p>
                    <a:fld id="{694B35E9-D413-4A43-B05D-1CF3A5F969C4}" type="CATEGORYNAME">
                      <a:rPr lang="en-US"/>
                      <a:pPr/>
                      <a:t>[CATEGORY NAME]</a:t>
                    </a:fld>
                    <a:endParaRPr lang="en-US" baseline="0" dirty="0"/>
                  </a:p>
                  <a:p>
                    <a:fld id="{503B537F-669D-422F-A3BE-5CBB7212B302}" type="VALUE">
                      <a:rPr lang="en-US" sz="1000"/>
                      <a:pPr/>
                      <a:t>[VALUE]</a:t>
                    </a:fld>
                    <a:endParaRPr lang="en-US" sz="1000" baseline="0" dirty="0"/>
                  </a:p>
                  <a:p>
                    <a:fld id="{9C2FAA86-8AAD-49B0-8869-3E2A7FCF5427}" type="PERCENTAGE">
                      <a:rPr lang="en-US" sz="1000" b="1"/>
                      <a:pPr/>
                      <a:t>[PERCENTAGE]</a:t>
                    </a:fld>
                    <a:endParaRPr lang="lv-LV"/>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8DA-4C3A-AD8A-51E19F4AE006}"/>
                </c:ext>
              </c:extLst>
            </c:dLbl>
            <c:dLbl>
              <c:idx val="1"/>
              <c:layout>
                <c:manualLayout>
                  <c:x val="-7.1643410338074281E-2"/>
                  <c:y val="-0.20107865068002864"/>
                </c:manualLayout>
              </c:layout>
              <c:tx>
                <c:rich>
                  <a:bodyPr/>
                  <a:lstStyle/>
                  <a:p>
                    <a:fld id="{8D3C748D-8DB9-4558-AF36-9210D3C9DC14}" type="CATEGORYNAME">
                      <a:rPr lang="en-US" baseline="0" dirty="0"/>
                      <a:pPr/>
                      <a:t>[CATEGORY NAME]</a:t>
                    </a:fld>
                    <a:endParaRPr lang="en-US" baseline="0" dirty="0"/>
                  </a:p>
                  <a:p>
                    <a:fld id="{5C6F7EF5-F6BD-49AA-A737-B1FD6874B96B}" type="VALUE">
                      <a:rPr lang="en-US" sz="1000" baseline="0" dirty="0"/>
                      <a:pPr/>
                      <a:t>[VALUE]</a:t>
                    </a:fld>
                    <a:endParaRPr lang="en-US" sz="1000" baseline="0" dirty="0"/>
                  </a:p>
                  <a:p>
                    <a:fld id="{ADB8F9AD-63AB-4D6A-B923-3BEC596A9C73}" type="PERCENTAGE">
                      <a:rPr lang="en-US" sz="1000" b="1" baseline="0" dirty="0"/>
                      <a:pPr/>
                      <a:t>[PERCENTAGE]</a:t>
                    </a:fld>
                    <a:endParaRPr lang="lv-LV"/>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58DA-4C3A-AD8A-51E19F4AE006}"/>
                </c:ext>
              </c:extLst>
            </c:dLbl>
            <c:dLbl>
              <c:idx val="2"/>
              <c:layout>
                <c:manualLayout>
                  <c:x val="9.7275454280218526E-2"/>
                  <c:y val="0.15912446313528991"/>
                </c:manualLayout>
              </c:layout>
              <c:tx>
                <c:rich>
                  <a:bodyPr/>
                  <a:lstStyle/>
                  <a:p>
                    <a:fld id="{98127177-45B6-4FDD-A11A-6B12CEC274BF}" type="CATEGORYNAME">
                      <a:rPr lang="en-US" baseline="0" dirty="0"/>
                      <a:pPr/>
                      <a:t>[CATEGORY NAME]</a:t>
                    </a:fld>
                    <a:endParaRPr lang="en-US" baseline="0" dirty="0"/>
                  </a:p>
                  <a:p>
                    <a:fld id="{B9C68E44-2E8C-417F-871F-17C6B8F11C44}" type="VALUE">
                      <a:rPr lang="en-US" sz="1000" baseline="0" dirty="0"/>
                      <a:pPr/>
                      <a:t>[VALUE]</a:t>
                    </a:fld>
                    <a:endParaRPr lang="en-US" sz="1000" baseline="0" dirty="0"/>
                  </a:p>
                  <a:p>
                    <a:fld id="{FBF485FF-CE73-474A-B656-B1EC7419B182}" type="PERCENTAGE">
                      <a:rPr lang="en-US" sz="1000" b="1" baseline="0" dirty="0"/>
                      <a:pPr/>
                      <a:t>[PERCENTAGE]</a:t>
                    </a:fld>
                    <a:endParaRPr lang="lv-LV"/>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58DA-4C3A-AD8A-51E19F4AE006}"/>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Analīze!$A$11:$A$13</c:f>
              <c:strCache>
                <c:ptCount val="3"/>
                <c:pt idx="0">
                  <c:v>Mutvārdu</c:v>
                </c:pt>
                <c:pt idx="1">
                  <c:v>Rakstveida</c:v>
                </c:pt>
                <c:pt idx="2">
                  <c:v>Mutvārdu un rakstveida</c:v>
                </c:pt>
              </c:strCache>
            </c:strRef>
          </c:cat>
          <c:val>
            <c:numRef>
              <c:f>Analīze!$B$11:$B$13</c:f>
              <c:numCache>
                <c:formatCode>General</c:formatCode>
                <c:ptCount val="3"/>
                <c:pt idx="0">
                  <c:v>4</c:v>
                </c:pt>
                <c:pt idx="1">
                  <c:v>49</c:v>
                </c:pt>
                <c:pt idx="2">
                  <c:v>37</c:v>
                </c:pt>
              </c:numCache>
            </c:numRef>
          </c:val>
          <c:extLst>
            <c:ext xmlns:c16="http://schemas.microsoft.com/office/drawing/2014/chart" uri="{C3380CC4-5D6E-409C-BE32-E72D297353CC}">
              <c16:uniqueId val="{00000006-58DA-4C3A-AD8A-51E19F4AE006}"/>
            </c:ext>
          </c:extLst>
        </c:ser>
        <c:dLbls>
          <c:showLegendKey val="0"/>
          <c:showVal val="0"/>
          <c:showCatName val="1"/>
          <c:showSerName val="0"/>
          <c:showPercent val="1"/>
          <c:showBubbleSize val="0"/>
          <c:showLeaderLines val="1"/>
        </c:dLbls>
        <c:firstSliceAng val="5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998407161443771E-2"/>
          <c:y val="7.314524555903866E-2"/>
          <c:w val="0.92477518605516229"/>
          <c:h val="0.60740503048404215"/>
        </c:manualLayout>
      </c:layout>
      <c:barChart>
        <c:barDir val="col"/>
        <c:grouping val="clustered"/>
        <c:varyColors val="0"/>
        <c:ser>
          <c:idx val="0"/>
          <c:order val="0"/>
          <c:spPr>
            <a:solidFill>
              <a:srgbClr val="57ABD5"/>
            </a:soli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Analīze!$A$21:$A$33</c:f>
              <c:strCache>
                <c:ptCount val="13"/>
                <c:pt idx="0">
                  <c:v>TM (TA)</c:v>
                </c:pt>
                <c:pt idx="1">
                  <c:v>IeM (VP)</c:v>
                </c:pt>
                <c:pt idx="2">
                  <c:v>Prok.</c:v>
                </c:pt>
                <c:pt idx="3">
                  <c:v>TM (VVC)</c:v>
                </c:pt>
                <c:pt idx="4">
                  <c:v>TM (IeVP)</c:v>
                </c:pt>
                <c:pt idx="5">
                  <c:v>Saeima</c:v>
                </c:pt>
                <c:pt idx="6">
                  <c:v>VPK</c:v>
                </c:pt>
                <c:pt idx="7">
                  <c:v>EM (CSP)</c:v>
                </c:pt>
                <c:pt idx="8">
                  <c:v>ĀM</c:v>
                </c:pt>
                <c:pt idx="9">
                  <c:v>VARAM (DAP)</c:v>
                </c:pt>
                <c:pt idx="10">
                  <c:v>Vko</c:v>
                </c:pt>
                <c:pt idx="11">
                  <c:v>ST</c:v>
                </c:pt>
                <c:pt idx="12">
                  <c:v>VM (PSMVM)</c:v>
                </c:pt>
              </c:strCache>
            </c:strRef>
          </c:cat>
          <c:val>
            <c:numRef>
              <c:f>Analīze!$B$21:$B$33</c:f>
              <c:numCache>
                <c:formatCode>General</c:formatCode>
                <c:ptCount val="13"/>
                <c:pt idx="0">
                  <c:v>79.2</c:v>
                </c:pt>
                <c:pt idx="1">
                  <c:v>46</c:v>
                </c:pt>
                <c:pt idx="2">
                  <c:v>42</c:v>
                </c:pt>
                <c:pt idx="3">
                  <c:v>10</c:v>
                </c:pt>
                <c:pt idx="4">
                  <c:v>8</c:v>
                </c:pt>
                <c:pt idx="5">
                  <c:v>6</c:v>
                </c:pt>
                <c:pt idx="6">
                  <c:v>2</c:v>
                </c:pt>
                <c:pt idx="7">
                  <c:v>2</c:v>
                </c:pt>
                <c:pt idx="8">
                  <c:v>1</c:v>
                </c:pt>
                <c:pt idx="9">
                  <c:v>1</c:v>
                </c:pt>
                <c:pt idx="10">
                  <c:v>1</c:v>
                </c:pt>
                <c:pt idx="11">
                  <c:v>1</c:v>
                </c:pt>
                <c:pt idx="12">
                  <c:v>0.25</c:v>
                </c:pt>
              </c:numCache>
            </c:numRef>
          </c:val>
          <c:extLst>
            <c:ext xmlns:c16="http://schemas.microsoft.com/office/drawing/2014/chart" uri="{C3380CC4-5D6E-409C-BE32-E72D297353CC}">
              <c16:uniqueId val="{00000000-570B-4458-8F62-DE27ACE93D8C}"/>
            </c:ext>
          </c:extLst>
        </c:ser>
        <c:dLbls>
          <c:showLegendKey val="0"/>
          <c:showVal val="0"/>
          <c:showCatName val="0"/>
          <c:showSerName val="0"/>
          <c:showPercent val="0"/>
          <c:showBubbleSize val="0"/>
        </c:dLbls>
        <c:gapWidth val="122"/>
        <c:overlap val="-27"/>
        <c:axId val="144760655"/>
        <c:axId val="1709979199"/>
      </c:barChart>
      <c:catAx>
        <c:axId val="14476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09979199"/>
        <c:crosses val="autoZero"/>
        <c:auto val="1"/>
        <c:lblAlgn val="ctr"/>
        <c:lblOffset val="100"/>
        <c:noMultiLvlLbl val="0"/>
      </c:catAx>
      <c:valAx>
        <c:axId val="1709979199"/>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4760655"/>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7338354562896"/>
          <c:y val="0.1920206398427878"/>
          <c:w val="0.8621640711879458"/>
          <c:h val="0.59600419079213263"/>
        </c:manualLayout>
      </c:layout>
      <c:barChart>
        <c:barDir val="col"/>
        <c:grouping val="clustered"/>
        <c:varyColors val="0"/>
        <c:ser>
          <c:idx val="0"/>
          <c:order val="0"/>
          <c:spPr>
            <a:solidFill>
              <a:srgbClr val="57ABD5"/>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Analīze!$A$40:$A$65</c:f>
              <c:strCache>
                <c:ptCount val="26"/>
                <c:pt idx="0">
                  <c:v>IeM</c:v>
                </c:pt>
                <c:pt idx="1">
                  <c:v>TM</c:v>
                </c:pt>
                <c:pt idx="2">
                  <c:v>Prok.</c:v>
                </c:pt>
                <c:pt idx="3">
                  <c:v>FM</c:v>
                </c:pt>
                <c:pt idx="4">
                  <c:v>Saeima</c:v>
                </c:pt>
                <c:pt idx="5">
                  <c:v>KNAB</c:v>
                </c:pt>
                <c:pt idx="6">
                  <c:v>EM</c:v>
                </c:pt>
                <c:pt idx="7">
                  <c:v>ĀM</c:v>
                </c:pt>
                <c:pt idx="8">
                  <c:v>VPK</c:v>
                </c:pt>
                <c:pt idx="9">
                  <c:v>Vko</c:v>
                </c:pt>
                <c:pt idx="10">
                  <c:v>LM</c:v>
                </c:pt>
                <c:pt idx="11">
                  <c:v>ST</c:v>
                </c:pt>
                <c:pt idx="12">
                  <c:v>IZM</c:v>
                </c:pt>
                <c:pt idx="13">
                  <c:v>KM</c:v>
                </c:pt>
                <c:pt idx="14">
                  <c:v>AiM</c:v>
                </c:pt>
                <c:pt idx="15">
                  <c:v>VARAM</c:v>
                </c:pt>
                <c:pt idx="16">
                  <c:v>VM</c:v>
                </c:pt>
                <c:pt idx="17">
                  <c:v>MK</c:v>
                </c:pt>
                <c:pt idx="18">
                  <c:v>NEPL</c:v>
                </c:pt>
                <c:pt idx="19">
                  <c:v>AT</c:v>
                </c:pt>
                <c:pt idx="20">
                  <c:v>SM</c:v>
                </c:pt>
                <c:pt idx="21">
                  <c:v>CVK</c:v>
                </c:pt>
                <c:pt idx="22">
                  <c:v>ZM</c:v>
                </c:pt>
                <c:pt idx="23">
                  <c:v>SIF</c:v>
                </c:pt>
                <c:pt idx="24">
                  <c:v>SPRK</c:v>
                </c:pt>
                <c:pt idx="25">
                  <c:v>SEPL</c:v>
                </c:pt>
              </c:strCache>
            </c:strRef>
          </c:cat>
          <c:val>
            <c:numRef>
              <c:f>Analīze!$B$40:$B$65</c:f>
              <c:numCache>
                <c:formatCode>#,##0</c:formatCode>
                <c:ptCount val="26"/>
                <c:pt idx="0">
                  <c:v>2052753.7197024797</c:v>
                </c:pt>
                <c:pt idx="1">
                  <c:v>929121.06</c:v>
                </c:pt>
                <c:pt idx="2">
                  <c:v>895264</c:v>
                </c:pt>
                <c:pt idx="3">
                  <c:v>538087</c:v>
                </c:pt>
                <c:pt idx="4">
                  <c:v>106506</c:v>
                </c:pt>
                <c:pt idx="5">
                  <c:v>81390.829999999987</c:v>
                </c:pt>
                <c:pt idx="6">
                  <c:v>73019.037599999996</c:v>
                </c:pt>
                <c:pt idx="7">
                  <c:v>62988</c:v>
                </c:pt>
                <c:pt idx="8">
                  <c:v>52192.97</c:v>
                </c:pt>
                <c:pt idx="9">
                  <c:v>44768.9</c:v>
                </c:pt>
                <c:pt idx="10">
                  <c:v>40630.32</c:v>
                </c:pt>
                <c:pt idx="11">
                  <c:v>37459.64</c:v>
                </c:pt>
                <c:pt idx="12">
                  <c:v>35549.409999999996</c:v>
                </c:pt>
                <c:pt idx="13">
                  <c:v>26186.12</c:v>
                </c:pt>
                <c:pt idx="14">
                  <c:v>17369.23</c:v>
                </c:pt>
                <c:pt idx="15">
                  <c:v>14095.94</c:v>
                </c:pt>
                <c:pt idx="16">
                  <c:v>12641.24</c:v>
                </c:pt>
                <c:pt idx="17">
                  <c:v>9437.89</c:v>
                </c:pt>
                <c:pt idx="18">
                  <c:v>6965</c:v>
                </c:pt>
                <c:pt idx="19">
                  <c:v>3354.23</c:v>
                </c:pt>
                <c:pt idx="20">
                  <c:v>2859.55</c:v>
                </c:pt>
                <c:pt idx="21">
                  <c:v>1057.68</c:v>
                </c:pt>
                <c:pt idx="22">
                  <c:v>978.87999999999988</c:v>
                </c:pt>
                <c:pt idx="23">
                  <c:v>942.28</c:v>
                </c:pt>
                <c:pt idx="24">
                  <c:v>918.21</c:v>
                </c:pt>
                <c:pt idx="25">
                  <c:v>370.64</c:v>
                </c:pt>
              </c:numCache>
            </c:numRef>
          </c:val>
          <c:extLst>
            <c:ext xmlns:c16="http://schemas.microsoft.com/office/drawing/2014/chart" uri="{C3380CC4-5D6E-409C-BE32-E72D297353CC}">
              <c16:uniqueId val="{00000000-7F12-4D6C-B1E8-58C6B53251D5}"/>
            </c:ext>
          </c:extLst>
        </c:ser>
        <c:dLbls>
          <c:dLblPos val="outEnd"/>
          <c:showLegendKey val="0"/>
          <c:showVal val="1"/>
          <c:showCatName val="0"/>
          <c:showSerName val="0"/>
          <c:showPercent val="0"/>
          <c:showBubbleSize val="0"/>
        </c:dLbls>
        <c:gapWidth val="50"/>
        <c:overlap val="-27"/>
        <c:axId val="732342992"/>
        <c:axId val="869867696"/>
      </c:barChart>
      <c:catAx>
        <c:axId val="73234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867696"/>
        <c:crosses val="autoZero"/>
        <c:auto val="1"/>
        <c:lblAlgn val="ctr"/>
        <c:lblOffset val="100"/>
        <c:noMultiLvlLbl val="0"/>
      </c:catAx>
      <c:valAx>
        <c:axId val="869867696"/>
        <c:scaling>
          <c:orientation val="minMax"/>
          <c:max val="21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32342992"/>
        <c:crosses val="autoZero"/>
        <c:crossBetween val="between"/>
        <c:majorUnit val="3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564556324398838E-2"/>
          <c:y val="1.2960238096230561E-2"/>
          <c:w val="0.78472984437551352"/>
          <c:h val="0.9870397619037693"/>
        </c:manualLayout>
      </c:layout>
      <c:pieChart>
        <c:varyColors val="1"/>
        <c:ser>
          <c:idx val="1"/>
          <c:order val="0"/>
          <c:dPt>
            <c:idx val="0"/>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1-A858-4D06-97C1-AF6D05A17735}"/>
              </c:ext>
            </c:extLst>
          </c:dPt>
          <c:dPt>
            <c:idx val="1"/>
            <c:bubble3D val="0"/>
            <c:spPr>
              <a:solidFill>
                <a:srgbClr val="ED7D31">
                  <a:lumMod val="60000"/>
                  <a:lumOff val="40000"/>
                </a:srgbClr>
              </a:solidFill>
              <a:ln w="19050" cap="flat" cmpd="sng" algn="ctr">
                <a:solidFill>
                  <a:schemeClr val="lt1"/>
                </a:solidFill>
                <a:prstDash val="solid"/>
                <a:miter lim="800000"/>
              </a:ln>
              <a:effectLst/>
            </c:spPr>
            <c:extLst>
              <c:ext xmlns:c16="http://schemas.microsoft.com/office/drawing/2014/chart" uri="{C3380CC4-5D6E-409C-BE32-E72D297353CC}">
                <c16:uniqueId val="{00000003-A858-4D06-97C1-AF6D05A17735}"/>
              </c:ext>
            </c:extLst>
          </c:dPt>
          <c:dLbls>
            <c:dLbl>
              <c:idx val="0"/>
              <c:layout>
                <c:manualLayout>
                  <c:x val="-0.11519132476861445"/>
                  <c:y val="7.7876508453203125E-2"/>
                </c:manualLayout>
              </c:layout>
              <c:tx>
                <c:rich>
                  <a:bodyPr wrap="square" lIns="38100" tIns="19050" rIns="38100" bIns="19050" anchor="ctr">
                    <a:noAutofit/>
                  </a:bodyPr>
                  <a:lstStyle/>
                  <a:p>
                    <a:pPr>
                      <a:defRPr sz="1100"/>
                    </a:pPr>
                    <a:fld id="{361225E2-CF84-43F3-91BE-2ECA276D44AD}" type="CATEGORYNAME">
                      <a:rPr lang="en-US" sz="1100"/>
                      <a:pPr>
                        <a:defRPr sz="1100"/>
                      </a:pPr>
                      <a:t>[CATEGORY NAME]</a:t>
                    </a:fld>
                    <a:r>
                      <a:rPr lang="en-US" sz="1100" baseline="0"/>
                      <a:t>
</a:t>
                    </a:r>
                    <a:fld id="{01B340FD-35DB-4685-9472-A6EB17418E73}" type="VALUE">
                      <a:rPr lang="en-US" sz="1100" baseline="0"/>
                      <a:pPr>
                        <a:defRPr sz="1100"/>
                      </a:pPr>
                      <a:t>[VALUE]</a:t>
                    </a:fld>
                    <a:r>
                      <a:rPr lang="en-US" sz="1100" baseline="0"/>
                      <a:t>
</a:t>
                    </a:r>
                    <a:fld id="{59267E42-A9EC-409F-ADB6-F957ECAE157D}" type="PERCENTAGE">
                      <a:rPr lang="en-US" sz="1100" b="1" baseline="0"/>
                      <a:pPr>
                        <a:defRPr sz="1100"/>
                      </a:pPr>
                      <a:t>[PERCENTAGE]</a:t>
                    </a:fld>
                    <a:endParaRPr lang="en-US" sz="1100" baseline="0"/>
                  </a:p>
                </c:rich>
              </c:tx>
              <c:numFmt formatCode="0.0%" sourceLinked="0"/>
              <c:spPr>
                <a:noFill/>
                <a:ln>
                  <a:noFill/>
                </a:ln>
                <a:effectLst/>
              </c:spPr>
              <c:showLegendKey val="0"/>
              <c:showVal val="1"/>
              <c:showCatName val="1"/>
              <c:showSerName val="0"/>
              <c:showPercent val="1"/>
              <c:showBubbleSize val="0"/>
              <c:separator>
</c:separator>
              <c:extLst>
                <c:ext xmlns:c15="http://schemas.microsoft.com/office/drawing/2012/chart" uri="{CE6537A1-D6FC-4f65-9D91-7224C49458BB}">
                  <c15:layout>
                    <c:manualLayout>
                      <c:w val="0.43991918773311228"/>
                      <c:h val="0.49224475432191073"/>
                    </c:manualLayout>
                  </c15:layout>
                  <c15:dlblFieldTable/>
                  <c15:showDataLabelsRange val="0"/>
                </c:ext>
                <c:ext xmlns:c16="http://schemas.microsoft.com/office/drawing/2014/chart" uri="{C3380CC4-5D6E-409C-BE32-E72D297353CC}">
                  <c16:uniqueId val="{00000001-A858-4D06-97C1-AF6D05A17735}"/>
                </c:ext>
              </c:extLst>
            </c:dLbl>
            <c:dLbl>
              <c:idx val="1"/>
              <c:layout>
                <c:manualLayout>
                  <c:x val="0.18162798729106225"/>
                  <c:y val="-1.0918928430035699E-2"/>
                </c:manualLayout>
              </c:layout>
              <c:tx>
                <c:rich>
                  <a:bodyPr wrap="square" lIns="38100" tIns="19050" rIns="38100" bIns="19050" anchor="ctr">
                    <a:noAutofit/>
                  </a:bodyPr>
                  <a:lstStyle/>
                  <a:p>
                    <a:pPr>
                      <a:defRPr sz="1100"/>
                    </a:pPr>
                    <a:fld id="{A07F891F-D8E7-4948-88E1-5133E1606E5B}" type="CATEGORYNAME">
                      <a:rPr lang="en-US" sz="1100"/>
                      <a:pPr>
                        <a:defRPr sz="1100"/>
                      </a:pPr>
                      <a:t>[CATEGORY NAME]</a:t>
                    </a:fld>
                    <a:r>
                      <a:rPr lang="en-US" sz="1100" baseline="0"/>
                      <a:t>
</a:t>
                    </a:r>
                    <a:fld id="{C1388D3E-09B4-40B3-8D0C-BDC0E22778BD}" type="VALUE">
                      <a:rPr lang="en-US" sz="1100" baseline="0"/>
                      <a:pPr>
                        <a:defRPr sz="1100"/>
                      </a:pPr>
                      <a:t>[VALUE]</a:t>
                    </a:fld>
                    <a:r>
                      <a:rPr lang="en-US" sz="1100" baseline="0"/>
                      <a:t>
</a:t>
                    </a:r>
                    <a:fld id="{6EFD3B0D-4D3B-4F07-8B60-084856741664}" type="PERCENTAGE">
                      <a:rPr lang="en-US" sz="1100" b="1" baseline="0"/>
                      <a:pPr>
                        <a:defRPr sz="1100"/>
                      </a:pPr>
                      <a:t>[PERCENTAGE]</a:t>
                    </a:fld>
                    <a:endParaRPr lang="en-US" sz="1100" baseline="0"/>
                  </a:p>
                </c:rich>
              </c:tx>
              <c:numFmt formatCode="0.0%" sourceLinked="0"/>
              <c:spPr>
                <a:noFill/>
                <a:ln>
                  <a:noFill/>
                </a:ln>
                <a:effectLst/>
              </c:spPr>
              <c:showLegendKey val="0"/>
              <c:showVal val="1"/>
              <c:showCatName val="1"/>
              <c:showSerName val="0"/>
              <c:showPercent val="1"/>
              <c:showBubbleSize val="0"/>
              <c:separator>
</c:separator>
              <c:extLst>
                <c:ext xmlns:c15="http://schemas.microsoft.com/office/drawing/2012/chart" uri="{CE6537A1-D6FC-4f65-9D91-7224C49458BB}">
                  <c15:layout>
                    <c:manualLayout>
                      <c:w val="0.44195503522585994"/>
                      <c:h val="0.4912658543380401"/>
                    </c:manualLayout>
                  </c15:layout>
                  <c15:dlblFieldTable/>
                  <c15:showDataLabelsRange val="0"/>
                </c:ext>
                <c:ext xmlns:c16="http://schemas.microsoft.com/office/drawing/2014/chart" uri="{C3380CC4-5D6E-409C-BE32-E72D297353CC}">
                  <c16:uniqueId val="{00000003-A858-4D06-97C1-AF6D05A17735}"/>
                </c:ext>
              </c:extLst>
            </c:dLbl>
            <c:spPr>
              <a:noFill/>
              <a:ln>
                <a:noFill/>
              </a:ln>
              <a:effectLst/>
            </c:spPr>
            <c:txPr>
              <a:bodyPr wrap="square" lIns="38100" tIns="19050" rIns="38100" bIns="19050" anchor="ctr">
                <a:spAutoFit/>
              </a:bodyPr>
              <a:lstStyle/>
              <a:p>
                <a:pPr>
                  <a:defRPr sz="1100"/>
                </a:pPr>
                <a:endParaRPr lang="lv-LV"/>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Analīze!$A$88:$A$89</c:f>
              <c:strCache>
                <c:ptCount val="2"/>
                <c:pt idx="0">
                  <c:v>Tiek izmantoti mašīntulkošnas pakalpojumi</c:v>
                </c:pt>
                <c:pt idx="1">
                  <c:v>Netiek izmantoti mašīntulkošanas pakalpojumi</c:v>
                </c:pt>
              </c:strCache>
            </c:strRef>
          </c:cat>
          <c:val>
            <c:numRef>
              <c:f>Analīze!$B$88:$B$89</c:f>
              <c:numCache>
                <c:formatCode>General</c:formatCode>
                <c:ptCount val="2"/>
                <c:pt idx="0">
                  <c:v>31</c:v>
                </c:pt>
                <c:pt idx="1">
                  <c:v>76</c:v>
                </c:pt>
              </c:numCache>
            </c:numRef>
          </c:val>
          <c:extLst>
            <c:ext xmlns:c16="http://schemas.microsoft.com/office/drawing/2014/chart" uri="{C3380CC4-5D6E-409C-BE32-E72D297353CC}">
              <c16:uniqueId val="{00000004-A858-4D06-97C1-AF6D05A17735}"/>
            </c:ext>
          </c:extLst>
        </c:ser>
        <c:ser>
          <c:idx val="0"/>
          <c:order val="1"/>
          <c:dPt>
            <c:idx val="0"/>
            <c:bubble3D val="0"/>
            <c:spPr>
              <a:solidFill>
                <a:schemeClr val="accent2"/>
              </a:solidFill>
              <a:ln cap="flat" cmpd="sng" algn="ctr">
                <a:prstDash val="solid"/>
                <a:miter lim="800000"/>
              </a:ln>
            </c:spPr>
            <c:extLst>
              <c:ext xmlns:c16="http://schemas.microsoft.com/office/drawing/2014/chart" uri="{C3380CC4-5D6E-409C-BE32-E72D297353CC}">
                <c16:uniqueId val="{00000006-A858-4D06-97C1-AF6D05A17735}"/>
              </c:ext>
            </c:extLst>
          </c:dPt>
          <c:dPt>
            <c:idx val="1"/>
            <c:bubble3D val="0"/>
            <c:spPr>
              <a:solidFill>
                <a:schemeClr val="accent6"/>
              </a:solidFill>
              <a:ln cap="flat" cmpd="sng" algn="ctr">
                <a:prstDash val="solid"/>
                <a:miter lim="800000"/>
              </a:ln>
            </c:spPr>
            <c:extLst>
              <c:ext xmlns:c16="http://schemas.microsoft.com/office/drawing/2014/chart" uri="{C3380CC4-5D6E-409C-BE32-E72D297353CC}">
                <c16:uniqueId val="{00000008-A858-4D06-97C1-AF6D05A17735}"/>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Analīze!$A$88:$A$89</c:f>
              <c:strCache>
                <c:ptCount val="2"/>
                <c:pt idx="0">
                  <c:v>Tiek izmantoti mašīntulkošnas pakalpojumi</c:v>
                </c:pt>
                <c:pt idx="1">
                  <c:v>Netiek izmantoti mašīntulkošanas pakalpojumi</c:v>
                </c:pt>
              </c:strCache>
            </c:strRef>
          </c:cat>
          <c:val>
            <c:numRef>
              <c:f>Analīze!$B$5:$B$6</c:f>
              <c:numCache>
                <c:formatCode>General</c:formatCode>
                <c:ptCount val="2"/>
                <c:pt idx="0">
                  <c:v>90</c:v>
                </c:pt>
                <c:pt idx="1">
                  <c:v>55</c:v>
                </c:pt>
              </c:numCache>
            </c:numRef>
          </c:val>
          <c:extLst>
            <c:ext xmlns:c16="http://schemas.microsoft.com/office/drawing/2014/chart" uri="{C3380CC4-5D6E-409C-BE32-E72D297353CC}">
              <c16:uniqueId val="{00000009-A858-4D06-97C1-AF6D05A17735}"/>
            </c:ext>
          </c:extLst>
        </c:ser>
        <c:dLbls>
          <c:showLegendKey val="0"/>
          <c:showVal val="0"/>
          <c:showCatName val="1"/>
          <c:showSerName val="0"/>
          <c:showPercent val="1"/>
          <c:showBubbleSize val="0"/>
          <c:showLeaderLines val="1"/>
        </c:dLbls>
        <c:firstSliceAng val="0"/>
      </c:pieChart>
    </c:plotArea>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27108196841248"/>
          <c:y val="5.8435324201838112E-2"/>
          <c:w val="0.70542022198013754"/>
          <c:h val="0.71638285214348207"/>
        </c:manualLayout>
      </c:layout>
      <c:barChart>
        <c:barDir val="bar"/>
        <c:grouping val="clustered"/>
        <c:varyColors val="0"/>
        <c:ser>
          <c:idx val="0"/>
          <c:order val="0"/>
          <c:spPr>
            <a:solidFill>
              <a:srgbClr val="2E8A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Grafiki!$Q$6:$Q$9</c:f>
              <c:strCache>
                <c:ptCount val="4"/>
                <c:pt idx="0">
                  <c:v>Cits</c:v>
                </c:pt>
                <c:pt idx="1">
                  <c:v>Bezatlīdzības lietošana</c:v>
                </c:pt>
                <c:pt idx="2">
                  <c:v>Pašpatēriņš</c:v>
                </c:pt>
                <c:pt idx="3">
                  <c:v>Nomas līgums</c:v>
                </c:pt>
              </c:strCache>
            </c:strRef>
          </c:cat>
          <c:val>
            <c:numRef>
              <c:f>Grafiki!$R$6:$R$9</c:f>
              <c:numCache>
                <c:formatCode>General</c:formatCode>
                <c:ptCount val="4"/>
                <c:pt idx="0">
                  <c:v>2</c:v>
                </c:pt>
                <c:pt idx="1">
                  <c:v>49</c:v>
                </c:pt>
                <c:pt idx="2">
                  <c:v>97</c:v>
                </c:pt>
                <c:pt idx="3">
                  <c:v>411</c:v>
                </c:pt>
              </c:numCache>
            </c:numRef>
          </c:val>
          <c:extLst>
            <c:ext xmlns:c16="http://schemas.microsoft.com/office/drawing/2014/chart" uri="{C3380CC4-5D6E-409C-BE32-E72D297353CC}">
              <c16:uniqueId val="{00000000-3437-4C7C-9F76-B5C15D8DAD54}"/>
            </c:ext>
          </c:extLst>
        </c:ser>
        <c:dLbls>
          <c:showLegendKey val="0"/>
          <c:showVal val="0"/>
          <c:showCatName val="0"/>
          <c:showSerName val="0"/>
          <c:showPercent val="0"/>
          <c:showBubbleSize val="0"/>
        </c:dLbls>
        <c:gapWidth val="15"/>
        <c:axId val="742463631"/>
        <c:axId val="742446351"/>
      </c:barChart>
      <c:catAx>
        <c:axId val="7424636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42446351"/>
        <c:crosses val="autoZero"/>
        <c:auto val="1"/>
        <c:lblAlgn val="ctr"/>
        <c:lblOffset val="100"/>
        <c:noMultiLvlLbl val="0"/>
      </c:catAx>
      <c:valAx>
        <c:axId val="742446351"/>
        <c:scaling>
          <c:orientation val="minMax"/>
          <c:max val="45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Skaits</a:t>
                </a:r>
              </a:p>
            </c:rich>
          </c:tx>
          <c:layout>
            <c:manualLayout>
              <c:xMode val="edge"/>
              <c:yMode val="edge"/>
              <c:x val="0.1833999189698603"/>
              <c:y val="0.818850763758968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42463631"/>
        <c:crosses val="autoZero"/>
        <c:crossBetween val="between"/>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38398912139101"/>
          <c:y val="5.2656773575873624E-2"/>
          <c:w val="0.85411985232165544"/>
          <c:h val="0.74217291172734567"/>
        </c:manualLayout>
      </c:layout>
      <c:barChart>
        <c:barDir val="col"/>
        <c:grouping val="clustered"/>
        <c:varyColors val="0"/>
        <c:ser>
          <c:idx val="0"/>
          <c:order val="0"/>
          <c:spPr>
            <a:solidFill>
              <a:srgbClr val="2E8A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Grafiki!$A$2:$A$8</c:f>
              <c:strCache>
                <c:ptCount val="7"/>
                <c:pt idx="0">
                  <c:v>0%-19%</c:v>
                </c:pt>
                <c:pt idx="1">
                  <c:v>20%-39%</c:v>
                </c:pt>
                <c:pt idx="2">
                  <c:v>40%-59%</c:v>
                </c:pt>
                <c:pt idx="3">
                  <c:v>60%-79%</c:v>
                </c:pt>
                <c:pt idx="4">
                  <c:v>80%-99%</c:v>
                </c:pt>
                <c:pt idx="5">
                  <c:v>100%</c:v>
                </c:pt>
                <c:pt idx="6">
                  <c:v>Mainīgs</c:v>
                </c:pt>
              </c:strCache>
            </c:strRef>
          </c:cat>
          <c:val>
            <c:numRef>
              <c:f>Grafiki!$B$2:$B$8</c:f>
              <c:numCache>
                <c:formatCode>General</c:formatCode>
                <c:ptCount val="7"/>
                <c:pt idx="0">
                  <c:v>2</c:v>
                </c:pt>
                <c:pt idx="1">
                  <c:v>9</c:v>
                </c:pt>
                <c:pt idx="2">
                  <c:v>15</c:v>
                </c:pt>
                <c:pt idx="3">
                  <c:v>73</c:v>
                </c:pt>
                <c:pt idx="4">
                  <c:v>101</c:v>
                </c:pt>
                <c:pt idx="5">
                  <c:v>348</c:v>
                </c:pt>
                <c:pt idx="6">
                  <c:v>11</c:v>
                </c:pt>
              </c:numCache>
            </c:numRef>
          </c:val>
          <c:extLst>
            <c:ext xmlns:c16="http://schemas.microsoft.com/office/drawing/2014/chart" uri="{C3380CC4-5D6E-409C-BE32-E72D297353CC}">
              <c16:uniqueId val="{00000000-1852-4600-A568-2E1E5454F3ED}"/>
            </c:ext>
          </c:extLst>
        </c:ser>
        <c:dLbls>
          <c:showLegendKey val="0"/>
          <c:showVal val="0"/>
          <c:showCatName val="0"/>
          <c:showSerName val="0"/>
          <c:showPercent val="0"/>
          <c:showBubbleSize val="0"/>
        </c:dLbls>
        <c:gapWidth val="60"/>
        <c:overlap val="-27"/>
        <c:axId val="414829888"/>
        <c:axId val="414816448"/>
      </c:barChart>
      <c:catAx>
        <c:axId val="41482988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Telpu noslodzes novērtējums</a:t>
                </a:r>
              </a:p>
            </c:rich>
          </c:tx>
          <c:layout>
            <c:manualLayout>
              <c:xMode val="edge"/>
              <c:yMode val="edge"/>
              <c:x val="0.36638927656543074"/>
              <c:y val="0.885185185185185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4816448"/>
        <c:crosses val="autoZero"/>
        <c:auto val="1"/>
        <c:lblAlgn val="ctr"/>
        <c:lblOffset val="100"/>
        <c:noMultiLvlLbl val="0"/>
      </c:catAx>
      <c:valAx>
        <c:axId val="41481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Skaits</a:t>
                </a:r>
              </a:p>
            </c:rich>
          </c:tx>
          <c:layout>
            <c:manualLayout>
              <c:xMode val="edge"/>
              <c:yMode val="edge"/>
              <c:x val="2.2813516198238275E-2"/>
              <c:y val="0.338795641210238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4829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'2022'!$A$13</c:f>
              <c:strCache>
                <c:ptCount val="1"/>
                <c:pt idx="0">
                  <c:v>Iekšējie resursi prioritātēm</c:v>
                </c:pt>
              </c:strCache>
            </c:strRef>
          </c:tx>
          <c:spPr>
            <a:solidFill>
              <a:srgbClr val="85C2E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'2022'!$B$11:$E$12</c:f>
              <c:multiLvlStrCache>
                <c:ptCount val="4"/>
                <c:lvl>
                  <c:pt idx="0">
                    <c:v>Konstatēts</c:v>
                  </c:pt>
                  <c:pt idx="1">
                    <c:v>Ieviests</c:v>
                  </c:pt>
                  <c:pt idx="2">
                    <c:v>Konstatēts</c:v>
                  </c:pt>
                  <c:pt idx="3">
                    <c:v>Ieviests</c:v>
                  </c:pt>
                </c:lvl>
                <c:lvl>
                  <c:pt idx="0">
                    <c:v>2023</c:v>
                  </c:pt>
                  <c:pt idx="2">
                    <c:v>2024</c:v>
                  </c:pt>
                </c:lvl>
              </c:multiLvlStrCache>
            </c:multiLvlStrRef>
          </c:cat>
          <c:val>
            <c:numRef>
              <c:f>'2022'!$B$13:$E$13</c:f>
              <c:numCache>
                <c:formatCode>0.0</c:formatCode>
                <c:ptCount val="4"/>
                <c:pt idx="0">
                  <c:v>156.35610199999999</c:v>
                </c:pt>
                <c:pt idx="1">
                  <c:v>150.20349877999999</c:v>
                </c:pt>
                <c:pt idx="2">
                  <c:v>76.147818999999998</c:v>
                </c:pt>
                <c:pt idx="3">
                  <c:v>73.856397999999999</c:v>
                </c:pt>
              </c:numCache>
            </c:numRef>
          </c:val>
          <c:extLst>
            <c:ext xmlns:c16="http://schemas.microsoft.com/office/drawing/2014/chart" uri="{C3380CC4-5D6E-409C-BE32-E72D297353CC}">
              <c16:uniqueId val="{00000000-231F-4D49-AC68-BA298711FBAC}"/>
            </c:ext>
          </c:extLst>
        </c:ser>
        <c:ser>
          <c:idx val="1"/>
          <c:order val="1"/>
          <c:tx>
            <c:strRef>
              <c:f>'2022'!$A$14</c:f>
              <c:strCache>
                <c:ptCount val="1"/>
                <c:pt idx="0">
                  <c:v>Citām kopējām prioritātēm</c:v>
                </c:pt>
              </c:strCache>
            </c:strRef>
          </c:tx>
          <c:spPr>
            <a:solidFill>
              <a:srgbClr val="70AD47">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'2022'!$B$11:$E$12</c:f>
              <c:multiLvlStrCache>
                <c:ptCount val="4"/>
                <c:lvl>
                  <c:pt idx="0">
                    <c:v>Konstatēts</c:v>
                  </c:pt>
                  <c:pt idx="1">
                    <c:v>Ieviests</c:v>
                  </c:pt>
                  <c:pt idx="2">
                    <c:v>Konstatēts</c:v>
                  </c:pt>
                  <c:pt idx="3">
                    <c:v>Ieviests</c:v>
                  </c:pt>
                </c:lvl>
                <c:lvl>
                  <c:pt idx="0">
                    <c:v>2023</c:v>
                  </c:pt>
                  <c:pt idx="2">
                    <c:v>2024</c:v>
                  </c:pt>
                </c:lvl>
              </c:multiLvlStrCache>
            </c:multiLvlStrRef>
          </c:cat>
          <c:val>
            <c:numRef>
              <c:f>'2022'!$B$14:$E$14</c:f>
              <c:numCache>
                <c:formatCode>0.0</c:formatCode>
                <c:ptCount val="4"/>
                <c:pt idx="0">
                  <c:v>12.055294</c:v>
                </c:pt>
                <c:pt idx="1">
                  <c:v>12.055294</c:v>
                </c:pt>
                <c:pt idx="2">
                  <c:v>8.6119059999999994</c:v>
                </c:pt>
                <c:pt idx="3">
                  <c:v>8.6119059999999994</c:v>
                </c:pt>
              </c:numCache>
            </c:numRef>
          </c:val>
          <c:extLst>
            <c:ext xmlns:c16="http://schemas.microsoft.com/office/drawing/2014/chart" uri="{C3380CC4-5D6E-409C-BE32-E72D297353CC}">
              <c16:uniqueId val="{00000001-231F-4D49-AC68-BA298711FBAC}"/>
            </c:ext>
          </c:extLst>
        </c:ser>
        <c:dLbls>
          <c:showLegendKey val="0"/>
          <c:showVal val="0"/>
          <c:showCatName val="0"/>
          <c:showSerName val="0"/>
          <c:showPercent val="0"/>
          <c:showBubbleSize val="0"/>
        </c:dLbls>
        <c:gapWidth val="50"/>
        <c:overlap val="100"/>
        <c:axId val="256146768"/>
        <c:axId val="1744282176"/>
      </c:barChart>
      <c:catAx>
        <c:axId val="25614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44282176"/>
        <c:crosses val="autoZero"/>
        <c:auto val="1"/>
        <c:lblAlgn val="ctr"/>
        <c:lblOffset val="100"/>
        <c:noMultiLvlLbl val="0"/>
      </c:catAx>
      <c:valAx>
        <c:axId val="1744282176"/>
        <c:scaling>
          <c:orientation val="minMax"/>
          <c:max val="1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milj. </a:t>
                </a:r>
                <a:r>
                  <a:rPr lang="lv-LV" i="1"/>
                  <a:t>euro</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6146768"/>
        <c:crosses val="autoZero"/>
        <c:crossBetween val="between"/>
      </c:valAx>
      <c:spPr>
        <a:noFill/>
        <a:ln>
          <a:noFill/>
        </a:ln>
        <a:effectLst/>
      </c:spPr>
    </c:plotArea>
    <c:legend>
      <c:legendPos val="b"/>
      <c:layout>
        <c:manualLayout>
          <c:xMode val="edge"/>
          <c:yMode val="edge"/>
          <c:x val="0.18850398909043878"/>
          <c:y val="0.85746188081004926"/>
          <c:w val="0.6229918482105733"/>
          <c:h val="0.1157822663471413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96770226845028"/>
          <c:y val="2.4559247167274818E-2"/>
          <c:w val="0.58477183018214185"/>
          <c:h val="0.91836118046219828"/>
        </c:manualLayout>
      </c:layout>
      <c:pieChart>
        <c:varyColors val="1"/>
        <c:ser>
          <c:idx val="0"/>
          <c:order val="0"/>
          <c:dPt>
            <c:idx val="0"/>
            <c:bubble3D val="0"/>
            <c:spPr>
              <a:solidFill>
                <a:srgbClr val="ED7D31">
                  <a:lumMod val="60000"/>
                  <a:lumOff val="40000"/>
                </a:srgbClr>
              </a:solidFill>
              <a:ln w="19050" cap="flat" cmpd="sng" algn="ctr">
                <a:solidFill>
                  <a:schemeClr val="lt1"/>
                </a:solidFill>
                <a:prstDash val="solid"/>
                <a:miter lim="800000"/>
              </a:ln>
              <a:effectLst/>
            </c:spPr>
            <c:extLst>
              <c:ext xmlns:c16="http://schemas.microsoft.com/office/drawing/2014/chart" uri="{C3380CC4-5D6E-409C-BE32-E72D297353CC}">
                <c16:uniqueId val="{00000001-5624-45BA-915F-308AC07D81A7}"/>
              </c:ext>
            </c:extLst>
          </c:dPt>
          <c:dPt>
            <c:idx val="1"/>
            <c:bubble3D val="0"/>
            <c:spPr>
              <a:solidFill>
                <a:srgbClr val="57ABD5"/>
              </a:solidFill>
              <a:ln w="19050" cap="flat" cmpd="sng" algn="ctr">
                <a:solidFill>
                  <a:schemeClr val="lt1"/>
                </a:solidFill>
                <a:prstDash val="solid"/>
                <a:miter lim="800000"/>
              </a:ln>
              <a:effectLst/>
            </c:spPr>
            <c:extLst>
              <c:ext xmlns:c16="http://schemas.microsoft.com/office/drawing/2014/chart" uri="{C3380CC4-5D6E-409C-BE32-E72D297353CC}">
                <c16:uniqueId val="{00000003-5624-45BA-915F-308AC07D81A7}"/>
              </c:ext>
            </c:extLst>
          </c:dPt>
          <c:dLbls>
            <c:dLbl>
              <c:idx val="0"/>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9FB93EF2-CB8B-4A09-B681-02537C5CC534}" type="CATEGORYNAME">
                      <a:rPr lang="en-US" sz="1000"/>
                      <a:pPr>
                        <a:defRPr sz="1000"/>
                      </a:pPr>
                      <a:t>[CATEGORY NAME]</a:t>
                    </a:fld>
                    <a:r>
                      <a:rPr lang="en-US" sz="1000" baseline="0"/>
                      <a:t>
</a:t>
                    </a:r>
                    <a:fld id="{9A0B54DF-362F-4954-B2CD-F0A8C982D6BE}" type="PERCENTAGE">
                      <a:rPr lang="en-US" sz="1050" b="1" baseline="0"/>
                      <a:pPr>
                        <a:defRPr sz="1000"/>
                      </a:pPr>
                      <a:t>[PERCENTAGE]</a:t>
                    </a:fld>
                    <a:endParaRPr lang="en-US" sz="1000" baseline="0"/>
                  </a:p>
                </c:rich>
              </c:tx>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624-45BA-915F-308AC07D81A7}"/>
                </c:ext>
              </c:extLst>
            </c:dLbl>
            <c:dLbl>
              <c:idx val="1"/>
              <c:layout>
                <c:manualLayout>
                  <c:x val="0.19509462549893233"/>
                  <c:y val="-0.24362504029101625"/>
                </c:manualLayout>
              </c:layout>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E47D7BC-5BA6-49F4-8641-54245E319F51}" type="CATEGORYNAME">
                      <a:rPr lang="en-US" sz="1000"/>
                      <a:pPr>
                        <a:defRPr sz="1000"/>
                      </a:pPr>
                      <a:t>[CATEGORY NAME]</a:t>
                    </a:fld>
                    <a:r>
                      <a:rPr lang="en-US" sz="1000" baseline="0"/>
                      <a:t>
</a:t>
                    </a:r>
                    <a:fld id="{DB21F4F8-CFC4-4477-BC1F-040F5831CA18}" type="PERCENTAGE">
                      <a:rPr lang="en-US" sz="1050" b="1" baseline="0"/>
                      <a:pPr>
                        <a:defRPr sz="1000"/>
                      </a:pPr>
                      <a:t>[PERCENTAGE]</a:t>
                    </a:fld>
                    <a:endParaRPr lang="en-US" sz="1000" baseline="0"/>
                  </a:p>
                </c:rich>
              </c:tx>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18937499999999999"/>
                      <c:h val="0.236405529953917"/>
                    </c:manualLayout>
                  </c15:layout>
                  <c15:dlblFieldTable/>
                  <c15:showDataLabelsRange val="0"/>
                </c:ext>
                <c:ext xmlns:c16="http://schemas.microsoft.com/office/drawing/2014/chart" uri="{C3380CC4-5D6E-409C-BE32-E72D297353CC}">
                  <c16:uniqueId val="{00000003-5624-45BA-915F-308AC07D81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'Klientu apkalpošana'!$B$1:$C$1</c:f>
              <c:strCache>
                <c:ptCount val="2"/>
                <c:pt idx="0">
                  <c:v>Klātienē apkalpotie klienti</c:v>
                </c:pt>
                <c:pt idx="1">
                  <c:v>Attālināti apkalpotie klienti</c:v>
                </c:pt>
              </c:strCache>
            </c:strRef>
          </c:cat>
          <c:val>
            <c:numRef>
              <c:f>'Klientu apkalpošana'!$B$10:$C$10</c:f>
              <c:numCache>
                <c:formatCode>General</c:formatCode>
                <c:ptCount val="2"/>
                <c:pt idx="0">
                  <c:v>2033048</c:v>
                </c:pt>
                <c:pt idx="1">
                  <c:v>6659658</c:v>
                </c:pt>
              </c:numCache>
            </c:numRef>
          </c:val>
          <c:extLst>
            <c:ext xmlns:c16="http://schemas.microsoft.com/office/drawing/2014/chart" uri="{C3380CC4-5D6E-409C-BE32-E72D297353CC}">
              <c16:uniqueId val="{00000004-5624-45BA-915F-308AC07D81A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077651395928849"/>
          <c:y val="0.12140193319208593"/>
          <c:w val="0.3747469383014434"/>
          <c:h val="0.87859806680791408"/>
        </c:manualLayout>
      </c:layout>
      <c:pieChart>
        <c:varyColors val="1"/>
        <c:ser>
          <c:idx val="0"/>
          <c:order val="0"/>
          <c:dPt>
            <c:idx val="0"/>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1-A451-4033-997D-DFE2D83B1FEF}"/>
              </c:ext>
            </c:extLst>
          </c:dPt>
          <c:dPt>
            <c:idx val="1"/>
            <c:bubble3D val="0"/>
            <c:spPr>
              <a:solidFill>
                <a:srgbClr val="2E8AB8"/>
              </a:solidFill>
              <a:ln w="19050">
                <a:solidFill>
                  <a:schemeClr val="lt1"/>
                </a:solidFill>
              </a:ln>
              <a:effectLst/>
            </c:spPr>
            <c:extLst>
              <c:ext xmlns:c16="http://schemas.microsoft.com/office/drawing/2014/chart" uri="{C3380CC4-5D6E-409C-BE32-E72D297353CC}">
                <c16:uniqueId val="{00000003-A451-4033-997D-DFE2D83B1FEF}"/>
              </c:ext>
            </c:extLst>
          </c:dPt>
          <c:dPt>
            <c:idx val="2"/>
            <c:bubble3D val="0"/>
            <c:spPr>
              <a:solidFill>
                <a:srgbClr val="57ABD5"/>
              </a:solidFill>
              <a:ln w="19050">
                <a:solidFill>
                  <a:schemeClr val="lt1"/>
                </a:solidFill>
              </a:ln>
              <a:effectLst/>
            </c:spPr>
            <c:extLst>
              <c:ext xmlns:c16="http://schemas.microsoft.com/office/drawing/2014/chart" uri="{C3380CC4-5D6E-409C-BE32-E72D297353CC}">
                <c16:uniqueId val="{00000005-A451-4033-997D-DFE2D83B1FEF}"/>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A451-4033-997D-DFE2D83B1FEF}"/>
              </c:ext>
            </c:extLst>
          </c:dPt>
          <c:dLbls>
            <c:dLbl>
              <c:idx val="0"/>
              <c:layout>
                <c:manualLayout>
                  <c:x val="7.026075448731682E-2"/>
                  <c:y val="2.5680188890906949E-2"/>
                </c:manualLayout>
              </c:layout>
              <c:tx>
                <c:rich>
                  <a:bodyPr/>
                  <a:lstStyle/>
                  <a:p>
                    <a:fld id="{7369E4AE-0DFE-4BF8-BDA9-B6ACCCC865DE}" type="CATEGORYNAME">
                      <a:rPr lang="en-US"/>
                      <a:pPr/>
                      <a:t>[CATEGORY NAME]</a:t>
                    </a:fld>
                    <a:r>
                      <a:rPr lang="en-US" baseline="0"/>
                      <a:t>
</a:t>
                    </a:r>
                    <a:fld id="{DAB34EB6-F593-408B-B67A-BF3EABE0E4C4}" type="PERCENTAGE">
                      <a:rPr lang="en-US"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4084989316138036"/>
                      <c:h val="0.17536170258229256"/>
                    </c:manualLayout>
                  </c15:layout>
                  <c15:dlblFieldTable/>
                  <c15:showDataLabelsRange val="0"/>
                </c:ext>
                <c:ext xmlns:c16="http://schemas.microsoft.com/office/drawing/2014/chart" uri="{C3380CC4-5D6E-409C-BE32-E72D297353CC}">
                  <c16:uniqueId val="{00000001-A451-4033-997D-DFE2D83B1FEF}"/>
                </c:ext>
              </c:extLst>
            </c:dLbl>
            <c:dLbl>
              <c:idx val="1"/>
              <c:layout>
                <c:manualLayout>
                  <c:x val="-0.13488570068881056"/>
                  <c:y val="0.13519717090994562"/>
                </c:manualLayout>
              </c:layout>
              <c:tx>
                <c:rich>
                  <a:bodyPr/>
                  <a:lstStyle/>
                  <a:p>
                    <a:fld id="{2463882D-1EF9-43E5-990C-AFDE55BC096F}" type="CATEGORYNAME">
                      <a:rPr lang="en-US"/>
                      <a:pPr/>
                      <a:t>[CATEGORY NAME]</a:t>
                    </a:fld>
                    <a:r>
                      <a:rPr lang="en-US" baseline="0"/>
                      <a:t>
</a:t>
                    </a:r>
                    <a:fld id="{4AE16291-10FB-4CA8-B056-58404731C3A0}" type="PERCENTAGE">
                      <a:rPr lang="en-US"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13132675174572597"/>
                      <c:h val="0.27137042062415195"/>
                    </c:manualLayout>
                  </c15:layout>
                  <c15:dlblFieldTable/>
                  <c15:showDataLabelsRange val="0"/>
                </c:ext>
                <c:ext xmlns:c16="http://schemas.microsoft.com/office/drawing/2014/chart" uri="{C3380CC4-5D6E-409C-BE32-E72D297353CC}">
                  <c16:uniqueId val="{00000003-A451-4033-997D-DFE2D83B1FEF}"/>
                </c:ext>
              </c:extLst>
            </c:dLbl>
            <c:dLbl>
              <c:idx val="2"/>
              <c:layout>
                <c:manualLayout>
                  <c:x val="0.20417089563077956"/>
                  <c:y val="-0.13846940963365495"/>
                </c:manualLayout>
              </c:layout>
              <c:tx>
                <c:rich>
                  <a:bodyPr/>
                  <a:lstStyle/>
                  <a:p>
                    <a:fld id="{12A324E4-9957-451C-AA28-4EDC98EFCEFB}" type="CATEGORYNAME">
                      <a:rPr lang="en-US"/>
                      <a:pPr/>
                      <a:t>[CATEGORY NAME]</a:t>
                    </a:fld>
                    <a:r>
                      <a:rPr lang="en-US" baseline="0"/>
                      <a:t>
</a:t>
                    </a:r>
                    <a:fld id="{9824E60C-3CD0-4726-A29D-470C12074FF8}" type="PERCENTAGE">
                      <a:rPr lang="en-US"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451-4033-997D-DFE2D83B1FEF}"/>
                </c:ext>
              </c:extLst>
            </c:dLbl>
            <c:dLbl>
              <c:idx val="3"/>
              <c:layout>
                <c:manualLayout>
                  <c:x val="-0.15544346085080321"/>
                  <c:y val="3.2946505838737594E-2"/>
                </c:manualLayout>
              </c:layout>
              <c:tx>
                <c:rich>
                  <a:bodyPr/>
                  <a:lstStyle/>
                  <a:p>
                    <a:fld id="{DA2DF416-3EE9-4108-925C-C08A6AB6525E}" type="CATEGORYNAME">
                      <a:rPr lang="en-US"/>
                      <a:pPr/>
                      <a:t>[CATEGORY NAME]</a:t>
                    </a:fld>
                    <a:r>
                      <a:rPr lang="en-US" baseline="0"/>
                      <a:t>
</a:t>
                    </a:r>
                    <a:fld id="{DCCC6A2E-4147-4675-A0FD-8FF8034BAB77}" type="PERCENTAGE">
                      <a:rPr lang="en-US"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5374902119898146"/>
                      <c:h val="0.15658201476511502"/>
                    </c:manualLayout>
                  </c15:layout>
                  <c15:dlblFieldTable/>
                  <c15:showDataLabelsRange val="0"/>
                </c:ext>
                <c:ext xmlns:c16="http://schemas.microsoft.com/office/drawing/2014/chart" uri="{C3380CC4-5D6E-409C-BE32-E72D297353CC}">
                  <c16:uniqueId val="{00000007-A451-4033-997D-DFE2D83B1FE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Grafiki!$A$35:$A$38</c:f>
              <c:strCache>
                <c:ptCount val="4"/>
                <c:pt idx="0">
                  <c:v>1-2 dienas klātiene</c:v>
                </c:pt>
                <c:pt idx="1">
                  <c:v>3-4 dienas klātiene</c:v>
                </c:pt>
                <c:pt idx="2">
                  <c:v>Tikai klātiene</c:v>
                </c:pt>
                <c:pt idx="3">
                  <c:v>0-5 dienas klātiene</c:v>
                </c:pt>
              </c:strCache>
            </c:strRef>
          </c:cat>
          <c:val>
            <c:numRef>
              <c:f>Grafiki!$B$35:$B$38</c:f>
              <c:numCache>
                <c:formatCode>General</c:formatCode>
                <c:ptCount val="4"/>
                <c:pt idx="0">
                  <c:v>36</c:v>
                </c:pt>
                <c:pt idx="1">
                  <c:v>139</c:v>
                </c:pt>
                <c:pt idx="2">
                  <c:v>367</c:v>
                </c:pt>
                <c:pt idx="3">
                  <c:v>17</c:v>
                </c:pt>
              </c:numCache>
            </c:numRef>
          </c:val>
          <c:extLst>
            <c:ext xmlns:c16="http://schemas.microsoft.com/office/drawing/2014/chart" uri="{C3380CC4-5D6E-409C-BE32-E72D297353CC}">
              <c16:uniqueId val="{00000008-A451-4033-997D-DFE2D83B1FE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914004914004916"/>
          <c:y val="0.11438679245283019"/>
          <c:w val="0.45331695331695332"/>
          <c:h val="0.87028301886792447"/>
        </c:manualLayout>
      </c:layout>
      <c:pieChart>
        <c:varyColors val="1"/>
        <c:ser>
          <c:idx val="0"/>
          <c:order val="0"/>
          <c:dPt>
            <c:idx val="0"/>
            <c:bubble3D val="0"/>
            <c:spPr>
              <a:solidFill>
                <a:schemeClr val="accent4"/>
              </a:solidFill>
              <a:ln w="19050">
                <a:solidFill>
                  <a:schemeClr val="lt1"/>
                </a:solidFill>
              </a:ln>
              <a:effectLst/>
            </c:spPr>
            <c:extLst>
              <c:ext xmlns:c16="http://schemas.microsoft.com/office/drawing/2014/chart" uri="{C3380CC4-5D6E-409C-BE32-E72D297353CC}">
                <c16:uniqueId val="{00000001-7516-4807-A8CD-DD95E878AF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16-4807-A8CD-DD95E878AF55}"/>
              </c:ext>
            </c:extLst>
          </c:dPt>
          <c:dPt>
            <c:idx val="2"/>
            <c:bubble3D val="0"/>
            <c:spPr>
              <a:solidFill>
                <a:srgbClr val="57ABD5"/>
              </a:solidFill>
              <a:ln w="19050">
                <a:solidFill>
                  <a:schemeClr val="lt1"/>
                </a:solidFill>
              </a:ln>
              <a:effectLst/>
            </c:spPr>
            <c:extLst>
              <c:ext xmlns:c16="http://schemas.microsoft.com/office/drawing/2014/chart" uri="{C3380CC4-5D6E-409C-BE32-E72D297353CC}">
                <c16:uniqueId val="{00000005-7516-4807-A8CD-DD95E878AF55}"/>
              </c:ext>
            </c:extLst>
          </c:dPt>
          <c:dPt>
            <c:idx val="3"/>
            <c:bubble3D val="0"/>
            <c:spPr>
              <a:solidFill>
                <a:srgbClr val="2E8AB8"/>
              </a:solidFill>
              <a:ln w="19050">
                <a:solidFill>
                  <a:schemeClr val="lt1"/>
                </a:solidFill>
              </a:ln>
              <a:effectLst/>
            </c:spPr>
            <c:extLst>
              <c:ext xmlns:c16="http://schemas.microsoft.com/office/drawing/2014/chart" uri="{C3380CC4-5D6E-409C-BE32-E72D297353CC}">
                <c16:uniqueId val="{00000007-7516-4807-A8CD-DD95E878AF55}"/>
              </c:ext>
            </c:extLst>
          </c:dPt>
          <c:dLbls>
            <c:dLbl>
              <c:idx val="0"/>
              <c:tx>
                <c:rich>
                  <a:bodyPr/>
                  <a:lstStyle/>
                  <a:p>
                    <a:fld id="{DFA5BA09-7867-4968-900D-17F2ABF54B35}" type="CATEGORYNAME">
                      <a:rPr lang="en-US"/>
                      <a:pPr/>
                      <a:t>[CATEGORY NAME]</a:t>
                    </a:fld>
                    <a:r>
                      <a:rPr lang="en-US" baseline="0"/>
                      <a:t>
</a:t>
                    </a:r>
                    <a:fld id="{558DDE26-0FEE-4382-92A8-0673B1EBF932}" type="PERCENTAGE">
                      <a:rPr lang="en-US" sz="1050"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516-4807-A8CD-DD95E878AF55}"/>
                </c:ext>
              </c:extLst>
            </c:dLbl>
            <c:dLbl>
              <c:idx val="1"/>
              <c:layout>
                <c:manualLayout>
                  <c:x val="0.20376762973341397"/>
                  <c:y val="7.81928543634486E-3"/>
                </c:manualLayout>
              </c:layout>
              <c:tx>
                <c:rich>
                  <a:bodyPr/>
                  <a:lstStyle/>
                  <a:p>
                    <a:fld id="{DD062E78-6325-4EF4-9721-F132D13A0BFB}" type="CATEGORYNAME">
                      <a:rPr lang="en-US"/>
                      <a:pPr/>
                      <a:t>[CATEGORY NAME]</a:t>
                    </a:fld>
                    <a:r>
                      <a:rPr lang="en-US" baseline="0"/>
                      <a:t>
</a:t>
                    </a:r>
                    <a:fld id="{16094309-2108-4A57-B313-E3F40DACE83F}" type="PERCENTAGE">
                      <a:rPr lang="en-US" sz="1050"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516-4807-A8CD-DD95E878AF55}"/>
                </c:ext>
              </c:extLst>
            </c:dLbl>
            <c:dLbl>
              <c:idx val="2"/>
              <c:layout>
                <c:manualLayout>
                  <c:x val="-0.12403062883722764"/>
                  <c:y val="0.15034159909115832"/>
                </c:manualLayout>
              </c:layout>
              <c:tx>
                <c:rich>
                  <a:bodyPr/>
                  <a:lstStyle/>
                  <a:p>
                    <a:fld id="{AD4A88A3-4173-471C-B493-3F14185EFD4E}" type="CATEGORYNAME">
                      <a:rPr lang="en-US"/>
                      <a:pPr/>
                      <a:t>[CATEGORY NAME]</a:t>
                    </a:fld>
                    <a:r>
                      <a:rPr lang="en-US" baseline="0"/>
                      <a:t>
</a:t>
                    </a:r>
                    <a:fld id="{3D774443-9DCB-4618-97A9-A8FAB2BC2BDA}" type="PERCENTAGE">
                      <a:rPr lang="en-US" sz="1050"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516-4807-A8CD-DD95E878AF55}"/>
                </c:ext>
              </c:extLst>
            </c:dLbl>
            <c:dLbl>
              <c:idx val="3"/>
              <c:layout>
                <c:manualLayout>
                  <c:x val="0.31546368367433997"/>
                  <c:y val="-0.17956350786890948"/>
                </c:manualLayout>
              </c:layout>
              <c:tx>
                <c:rich>
                  <a:bodyPr/>
                  <a:lstStyle/>
                  <a:p>
                    <a:fld id="{6F6AC126-86F1-41B4-8C29-D2B99203FCB7}" type="CATEGORYNAME">
                      <a:rPr lang="en-US"/>
                      <a:pPr/>
                      <a:t>[CATEGORY NAME]</a:t>
                    </a:fld>
                    <a:r>
                      <a:rPr lang="en-US" baseline="0"/>
                      <a:t>
</a:t>
                    </a:r>
                    <a:fld id="{51396EB1-78B0-4BF4-AACB-5A76BA34AF3B}" type="PERCENTAGE">
                      <a:rPr lang="en-US" sz="1050" b="1"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39040205921183846"/>
                      <c:h val="0.19959115346802117"/>
                    </c:manualLayout>
                  </c15:layout>
                  <c15:dlblFieldTable/>
                  <c15:showDataLabelsRange val="0"/>
                </c:ext>
                <c:ext xmlns:c16="http://schemas.microsoft.com/office/drawing/2014/chart" uri="{C3380CC4-5D6E-409C-BE32-E72D297353CC}">
                  <c16:uniqueId val="{00000007-7516-4807-A8CD-DD95E878AF5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Grafiki!$A$87:$A$90</c:f>
              <c:strCache>
                <c:ptCount val="4"/>
                <c:pt idx="0">
                  <c:v>Darbinieki var brīvi izvēlēties savu darba vietu un dala galdu ar citiem</c:v>
                </c:pt>
                <c:pt idx="1">
                  <c:v>Iespēja birojā izvēlēties starp dažādām zonām, pamatojoties uz aktivitātēm</c:v>
                </c:pt>
                <c:pt idx="2">
                  <c:v>Visi minētie</c:v>
                </c:pt>
                <c:pt idx="3">
                  <c:v>Katram darbiniekam ir savs darba galds</c:v>
                </c:pt>
              </c:strCache>
            </c:strRef>
          </c:cat>
          <c:val>
            <c:numRef>
              <c:f>Grafiki!$B$87:$B$90</c:f>
              <c:numCache>
                <c:formatCode>0</c:formatCode>
                <c:ptCount val="4"/>
                <c:pt idx="0">
                  <c:v>11</c:v>
                </c:pt>
                <c:pt idx="1">
                  <c:v>31</c:v>
                </c:pt>
                <c:pt idx="2">
                  <c:v>87</c:v>
                </c:pt>
                <c:pt idx="3">
                  <c:v>430</c:v>
                </c:pt>
              </c:numCache>
            </c:numRef>
          </c:val>
          <c:extLst>
            <c:ext xmlns:c16="http://schemas.microsoft.com/office/drawing/2014/chart" uri="{C3380CC4-5D6E-409C-BE32-E72D297353CC}">
              <c16:uniqueId val="{00000008-7516-4807-A8CD-DD95E878AF5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lgn="jus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86210518532282"/>
          <c:y val="3.5284674327760022E-2"/>
          <c:w val="0.85009242915187011"/>
          <c:h val="0.73538547870961324"/>
        </c:manualLayout>
      </c:layout>
      <c:barChart>
        <c:barDir val="col"/>
        <c:grouping val="clustered"/>
        <c:varyColors val="0"/>
        <c:ser>
          <c:idx val="0"/>
          <c:order val="0"/>
          <c:tx>
            <c:strRef>
              <c:f>Grafiki!$B$62</c:f>
              <c:strCache>
                <c:ptCount val="1"/>
                <c:pt idx="0">
                  <c:v>Izdevumi uz vienu m2</c:v>
                </c:pt>
              </c:strCache>
            </c:strRef>
          </c:tx>
          <c:spPr>
            <a:solidFill>
              <a:srgbClr val="2E8A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Grafiki!$A$63:$A$66</c:f>
              <c:strCache>
                <c:ptCount val="4"/>
                <c:pt idx="0">
                  <c:v>Bezatlīdzības lietošana</c:v>
                </c:pt>
                <c:pt idx="1">
                  <c:v>Pašpatēriņš</c:v>
                </c:pt>
                <c:pt idx="2">
                  <c:v>Cits</c:v>
                </c:pt>
                <c:pt idx="3">
                  <c:v>Nomas līgums</c:v>
                </c:pt>
              </c:strCache>
            </c:strRef>
          </c:cat>
          <c:val>
            <c:numRef>
              <c:f>Grafiki!$B$63:$B$66</c:f>
              <c:numCache>
                <c:formatCode>_-* #\ ##0.0_-;\-* #\ ##0.0_-;_-* "-"??_-;_-@_-</c:formatCode>
                <c:ptCount val="4"/>
                <c:pt idx="0">
                  <c:v>42.04</c:v>
                </c:pt>
                <c:pt idx="1">
                  <c:v>42.47</c:v>
                </c:pt>
                <c:pt idx="2">
                  <c:v>58.09</c:v>
                </c:pt>
                <c:pt idx="3">
                  <c:v>103.12</c:v>
                </c:pt>
              </c:numCache>
            </c:numRef>
          </c:val>
          <c:extLst>
            <c:ext xmlns:c16="http://schemas.microsoft.com/office/drawing/2014/chart" uri="{C3380CC4-5D6E-409C-BE32-E72D297353CC}">
              <c16:uniqueId val="{00000000-F988-457E-A939-6D488A0A60DA}"/>
            </c:ext>
          </c:extLst>
        </c:ser>
        <c:dLbls>
          <c:showLegendKey val="0"/>
          <c:showVal val="0"/>
          <c:showCatName val="0"/>
          <c:showSerName val="0"/>
          <c:showPercent val="0"/>
          <c:showBubbleSize val="0"/>
        </c:dLbls>
        <c:gapWidth val="100"/>
        <c:overlap val="-27"/>
        <c:axId val="987274176"/>
        <c:axId val="987268896"/>
      </c:barChart>
      <c:catAx>
        <c:axId val="9872741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Lietošanas tiesiskais pamats</a:t>
                </a:r>
              </a:p>
            </c:rich>
          </c:tx>
          <c:layout>
            <c:manualLayout>
              <c:xMode val="edge"/>
              <c:yMode val="edge"/>
              <c:x val="0.40014199771965669"/>
              <c:y val="0.91659986067983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87268896"/>
        <c:crosses val="autoZero"/>
        <c:auto val="1"/>
        <c:lblAlgn val="ctr"/>
        <c:lblOffset val="100"/>
        <c:noMultiLvlLbl val="0"/>
      </c:catAx>
      <c:valAx>
        <c:axId val="98726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i="1"/>
                  <a:t>euro</a:t>
                </a:r>
                <a:r>
                  <a:rPr lang="lv-LV" sz="900"/>
                  <a:t> </a:t>
                </a:r>
              </a:p>
            </c:rich>
          </c:tx>
          <c:layout>
            <c:manualLayout>
              <c:xMode val="edge"/>
              <c:yMode val="edge"/>
              <c:x val="1.1857095999287111E-2"/>
              <c:y val="0.3819352249439726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8727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5"/>
          <c:dPt>
            <c:idx val="0"/>
            <c:bubble3D val="0"/>
            <c:spPr>
              <a:solidFill>
                <a:srgbClr val="85C2E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177-482A-89F5-1A5B9944B37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177-482A-89F5-1A5B9944B37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177-482A-89F5-1A5B9944B37A}"/>
              </c:ext>
            </c:extLst>
          </c:dPt>
          <c:dLbls>
            <c:dLbl>
              <c:idx val="0"/>
              <c:layout>
                <c:manualLayout>
                  <c:x val="-5.4544974724748937E-2"/>
                  <c:y val="0.2585800449799710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177-482A-89F5-1A5B9944B37A}"/>
                </c:ext>
              </c:extLst>
            </c:dLbl>
            <c:dLbl>
              <c:idx val="1"/>
              <c:layout>
                <c:manualLayout>
                  <c:x val="0.13563575183019438"/>
                  <c:y val="-0.181570650361575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77-482A-89F5-1A5B9944B37A}"/>
                </c:ext>
              </c:extLst>
            </c:dLbl>
            <c:numFmt formatCode="0.0%" sourceLinked="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ysClr val="windowText" lastClr="000000"/>
                  </a:solidFill>
                  <a:round/>
                </a:ln>
                <a:effectLst/>
              </c:spPr>
            </c:leaderLines>
            <c:extLst>
              <c:ext xmlns:c15="http://schemas.microsoft.com/office/drawing/2012/chart" uri="{CE6537A1-D6FC-4f65-9D91-7224C49458BB}"/>
            </c:extLst>
          </c:dLbls>
          <c:cat>
            <c:strRef>
              <c:f>Sheet1!$A$3:$A$5</c:f>
              <c:strCache>
                <c:ptCount val="3"/>
                <c:pt idx="0">
                  <c:v>Izpildīts</c:v>
                </c:pt>
                <c:pt idx="1">
                  <c:v>Uzsākts</c:v>
                </c:pt>
                <c:pt idx="2">
                  <c:v>Aktualitāti zaudējis</c:v>
                </c:pt>
              </c:strCache>
            </c:strRef>
          </c:cat>
          <c:val>
            <c:numRef>
              <c:f>Sheet1!$B$3:$B$5</c:f>
              <c:numCache>
                <c:formatCode>General</c:formatCode>
                <c:ptCount val="3"/>
                <c:pt idx="0">
                  <c:v>149</c:v>
                </c:pt>
                <c:pt idx="1">
                  <c:v>13</c:v>
                </c:pt>
                <c:pt idx="2">
                  <c:v>1</c:v>
                </c:pt>
              </c:numCache>
            </c:numRef>
          </c:val>
          <c:extLst>
            <c:ext xmlns:c16="http://schemas.microsoft.com/office/drawing/2014/chart" uri="{C3380CC4-5D6E-409C-BE32-E72D297353CC}">
              <c16:uniqueId val="{00000008-9177-482A-89F5-1A5B9944B37A}"/>
            </c:ext>
          </c:extLst>
        </c:ser>
        <c:dLbls>
          <c:showLegendKey val="0"/>
          <c:showVal val="1"/>
          <c:showCatName val="0"/>
          <c:showSerName val="0"/>
          <c:showPercent val="0"/>
          <c:showBubbleSize val="0"/>
          <c:showLeaderLines val="1"/>
        </c:dLbls>
        <c:firstSliceAng val="23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Sheet1!$C$109</c:f>
              <c:strCache>
                <c:ptCount val="1"/>
                <c:pt idx="0">
                  <c:v>2018./2019.m.g.</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Sheet1!$D$108:$H$108</c:f>
              <c:strCache>
                <c:ptCount val="5"/>
                <c:pt idx="0">
                  <c:v>Vispārējās izglītības iestādes</c:v>
                </c:pt>
                <c:pt idx="1">
                  <c:v>Interešu izglītības iestādes</c:v>
                </c:pt>
                <c:pt idx="2">
                  <c:v>Profesionālās ievirzes izglības iestādes</c:v>
                </c:pt>
                <c:pt idx="3">
                  <c:v>Profesionālās izglītības iestādes</c:v>
                </c:pt>
                <c:pt idx="4">
                  <c:v>Pirmsskolas izglītības iestādes</c:v>
                </c:pt>
              </c:strCache>
            </c:strRef>
          </c:cat>
          <c:val>
            <c:numRef>
              <c:f>Sheet1!$D$109:$H$109</c:f>
              <c:numCache>
                <c:formatCode>General</c:formatCode>
                <c:ptCount val="5"/>
                <c:pt idx="0">
                  <c:v>97928</c:v>
                </c:pt>
                <c:pt idx="1">
                  <c:v>29683</c:v>
                </c:pt>
                <c:pt idx="2">
                  <c:v>3533</c:v>
                </c:pt>
                <c:pt idx="3">
                  <c:v>805</c:v>
                </c:pt>
                <c:pt idx="4">
                  <c:v>3886</c:v>
                </c:pt>
              </c:numCache>
            </c:numRef>
          </c:val>
          <c:extLst>
            <c:ext xmlns:c16="http://schemas.microsoft.com/office/drawing/2014/chart" uri="{C3380CC4-5D6E-409C-BE32-E72D297353CC}">
              <c16:uniqueId val="{00000000-4EAE-42E2-836B-CDECEAF91704}"/>
            </c:ext>
          </c:extLst>
        </c:ser>
        <c:ser>
          <c:idx val="1"/>
          <c:order val="1"/>
          <c:tx>
            <c:strRef>
              <c:f>Sheet1!$C$110</c:f>
              <c:strCache>
                <c:ptCount val="1"/>
                <c:pt idx="0">
                  <c:v>2019./2020.m.g.</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Sheet1!$D$108:$H$108</c:f>
              <c:strCache>
                <c:ptCount val="5"/>
                <c:pt idx="0">
                  <c:v>Vispārējās izglītības iestādes</c:v>
                </c:pt>
                <c:pt idx="1">
                  <c:v>Interešu izglītības iestādes</c:v>
                </c:pt>
                <c:pt idx="2">
                  <c:v>Profesionālās ievirzes izglības iestādes</c:v>
                </c:pt>
                <c:pt idx="3">
                  <c:v>Profesionālās izglītības iestādes</c:v>
                </c:pt>
                <c:pt idx="4">
                  <c:v>Pirmsskolas izglītības iestādes</c:v>
                </c:pt>
              </c:strCache>
            </c:strRef>
          </c:cat>
          <c:val>
            <c:numRef>
              <c:f>Sheet1!$D$110:$H$110</c:f>
              <c:numCache>
                <c:formatCode>General</c:formatCode>
                <c:ptCount val="5"/>
                <c:pt idx="0">
                  <c:v>94966</c:v>
                </c:pt>
                <c:pt idx="1">
                  <c:v>29797</c:v>
                </c:pt>
                <c:pt idx="2">
                  <c:v>4005</c:v>
                </c:pt>
                <c:pt idx="3">
                  <c:v>1456</c:v>
                </c:pt>
                <c:pt idx="4">
                  <c:v>3549</c:v>
                </c:pt>
              </c:numCache>
            </c:numRef>
          </c:val>
          <c:extLst>
            <c:ext xmlns:c16="http://schemas.microsoft.com/office/drawing/2014/chart" uri="{C3380CC4-5D6E-409C-BE32-E72D297353CC}">
              <c16:uniqueId val="{00000001-4EAE-42E2-836B-CDECEAF91704}"/>
            </c:ext>
          </c:extLst>
        </c:ser>
        <c:ser>
          <c:idx val="2"/>
          <c:order val="2"/>
          <c:tx>
            <c:strRef>
              <c:f>Sheet1!$C$111</c:f>
              <c:strCache>
                <c:ptCount val="1"/>
                <c:pt idx="0">
                  <c:v>2020./2021.m.g.</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Sheet1!$D$108:$H$108</c:f>
              <c:strCache>
                <c:ptCount val="5"/>
                <c:pt idx="0">
                  <c:v>Vispārējās izglītības iestādes</c:v>
                </c:pt>
                <c:pt idx="1">
                  <c:v>Interešu izglītības iestādes</c:v>
                </c:pt>
                <c:pt idx="2">
                  <c:v>Profesionālās ievirzes izglības iestādes</c:v>
                </c:pt>
                <c:pt idx="3">
                  <c:v>Profesionālās izglītības iestādes</c:v>
                </c:pt>
                <c:pt idx="4">
                  <c:v>Pirmsskolas izglītības iestādes</c:v>
                </c:pt>
              </c:strCache>
            </c:strRef>
          </c:cat>
          <c:val>
            <c:numRef>
              <c:f>Sheet1!$D$111:$H$111</c:f>
              <c:numCache>
                <c:formatCode>General</c:formatCode>
                <c:ptCount val="5"/>
                <c:pt idx="0">
                  <c:v>87161</c:v>
                </c:pt>
                <c:pt idx="1">
                  <c:v>28324</c:v>
                </c:pt>
                <c:pt idx="2">
                  <c:v>4339</c:v>
                </c:pt>
                <c:pt idx="3">
                  <c:v>1469</c:v>
                </c:pt>
                <c:pt idx="4">
                  <c:v>3854</c:v>
                </c:pt>
              </c:numCache>
            </c:numRef>
          </c:val>
          <c:extLst>
            <c:ext xmlns:c16="http://schemas.microsoft.com/office/drawing/2014/chart" uri="{C3380CC4-5D6E-409C-BE32-E72D297353CC}">
              <c16:uniqueId val="{00000002-4EAE-42E2-836B-CDECEAF91704}"/>
            </c:ext>
          </c:extLst>
        </c:ser>
        <c:ser>
          <c:idx val="3"/>
          <c:order val="3"/>
          <c:tx>
            <c:strRef>
              <c:f>Sheet1!$C$112</c:f>
              <c:strCache>
                <c:ptCount val="1"/>
                <c:pt idx="0">
                  <c:v>2021./2022.m.g.</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Sheet1!$D$108:$H$108</c:f>
              <c:strCache>
                <c:ptCount val="5"/>
                <c:pt idx="0">
                  <c:v>Vispārējās izglītības iestādes</c:v>
                </c:pt>
                <c:pt idx="1">
                  <c:v>Interešu izglītības iestādes</c:v>
                </c:pt>
                <c:pt idx="2">
                  <c:v>Profesionālās ievirzes izglības iestādes</c:v>
                </c:pt>
                <c:pt idx="3">
                  <c:v>Profesionālās izglītības iestādes</c:v>
                </c:pt>
                <c:pt idx="4">
                  <c:v>Pirmsskolas izglītības iestādes</c:v>
                </c:pt>
              </c:strCache>
            </c:strRef>
          </c:cat>
          <c:val>
            <c:numRef>
              <c:f>Sheet1!$D$112:$H$112</c:f>
              <c:numCache>
                <c:formatCode>General</c:formatCode>
                <c:ptCount val="5"/>
                <c:pt idx="0">
                  <c:v>74861</c:v>
                </c:pt>
                <c:pt idx="1">
                  <c:v>26986</c:v>
                </c:pt>
                <c:pt idx="2">
                  <c:v>4140</c:v>
                </c:pt>
                <c:pt idx="3">
                  <c:v>1286</c:v>
                </c:pt>
                <c:pt idx="4">
                  <c:v>3020</c:v>
                </c:pt>
              </c:numCache>
            </c:numRef>
          </c:val>
          <c:extLst>
            <c:ext xmlns:c16="http://schemas.microsoft.com/office/drawing/2014/chart" uri="{C3380CC4-5D6E-409C-BE32-E72D297353CC}">
              <c16:uniqueId val="{00000003-4EAE-42E2-836B-CDECEAF91704}"/>
            </c:ext>
          </c:extLst>
        </c:ser>
        <c:ser>
          <c:idx val="4"/>
          <c:order val="4"/>
          <c:tx>
            <c:strRef>
              <c:f>Sheet1!$C$113</c:f>
              <c:strCache>
                <c:ptCount val="1"/>
                <c:pt idx="0">
                  <c:v>2022./2023.m.g.</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Sheet1!$D$108:$H$108</c:f>
              <c:strCache>
                <c:ptCount val="5"/>
                <c:pt idx="0">
                  <c:v>Vispārējās izglītības iestādes</c:v>
                </c:pt>
                <c:pt idx="1">
                  <c:v>Interešu izglītības iestādes</c:v>
                </c:pt>
                <c:pt idx="2">
                  <c:v>Profesionālās ievirzes izglības iestādes</c:v>
                </c:pt>
                <c:pt idx="3">
                  <c:v>Profesionālās izglītības iestādes</c:v>
                </c:pt>
                <c:pt idx="4">
                  <c:v>Pirmsskolas izglītības iestādes</c:v>
                </c:pt>
              </c:strCache>
            </c:strRef>
          </c:cat>
          <c:val>
            <c:numRef>
              <c:f>Sheet1!$D$113:$H$113</c:f>
              <c:numCache>
                <c:formatCode>General</c:formatCode>
                <c:ptCount val="5"/>
                <c:pt idx="0">
                  <c:v>79523</c:v>
                </c:pt>
                <c:pt idx="1">
                  <c:v>32076</c:v>
                </c:pt>
                <c:pt idx="2">
                  <c:v>5155</c:v>
                </c:pt>
                <c:pt idx="3">
                  <c:v>1166</c:v>
                </c:pt>
                <c:pt idx="4">
                  <c:v>3056</c:v>
                </c:pt>
              </c:numCache>
            </c:numRef>
          </c:val>
          <c:extLst>
            <c:ext xmlns:c16="http://schemas.microsoft.com/office/drawing/2014/chart" uri="{C3380CC4-5D6E-409C-BE32-E72D297353CC}">
              <c16:uniqueId val="{00000004-4EAE-42E2-836B-CDECEAF91704}"/>
            </c:ext>
          </c:extLst>
        </c:ser>
        <c:dLbls>
          <c:showLegendKey val="0"/>
          <c:showVal val="0"/>
          <c:showCatName val="0"/>
          <c:showSerName val="0"/>
          <c:showPercent val="0"/>
          <c:showBubbleSize val="0"/>
        </c:dLbls>
        <c:gapWidth val="150"/>
        <c:shape val="box"/>
        <c:axId val="247462536"/>
        <c:axId val="247464496"/>
        <c:axId val="0"/>
      </c:bar3DChart>
      <c:catAx>
        <c:axId val="247462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247464496"/>
        <c:crosses val="autoZero"/>
        <c:auto val="1"/>
        <c:lblAlgn val="ctr"/>
        <c:lblOffset val="100"/>
        <c:noMultiLvlLbl val="0"/>
      </c:catAx>
      <c:valAx>
        <c:axId val="24746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247462536"/>
        <c:crosses val="autoZero"/>
        <c:crossBetween val="between"/>
      </c:valAx>
      <c:spPr>
        <a:noFill/>
        <a:ln>
          <a:noFill/>
        </a:ln>
        <a:effectLst/>
      </c:spPr>
    </c:plotArea>
    <c:legend>
      <c:legendPos val="b"/>
      <c:layout>
        <c:manualLayout>
          <c:xMode val="edge"/>
          <c:yMode val="edge"/>
          <c:x val="2.763003878246563E-2"/>
          <c:y val="0.85853145357202509"/>
          <c:w val="0.92733074783562508"/>
          <c:h val="0.1191388106631814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5609649364311"/>
          <c:y val="6.3343145548712093E-2"/>
          <c:w val="0.85582822404116476"/>
          <c:h val="0.74864376300010804"/>
        </c:manualLayout>
      </c:layout>
      <c:barChart>
        <c:barDir val="col"/>
        <c:grouping val="clustered"/>
        <c:varyColors val="0"/>
        <c:ser>
          <c:idx val="1"/>
          <c:order val="1"/>
          <c:tx>
            <c:strRef>
              <c:f>'03.MK'!$A$5</c:f>
              <c:strCache>
                <c:ptCount val="1"/>
                <c:pt idx="0">
                  <c:v>Plāns</c:v>
                </c:pt>
              </c:strCache>
            </c:strRef>
          </c:tx>
          <c:spPr>
            <a:solidFill>
              <a:srgbClr val="85C2E0"/>
            </a:solidFill>
            <a:ln w="6350" cap="flat" cmpd="sng" algn="ctr">
              <a:solidFill>
                <a:srgbClr val="85C2E0"/>
              </a:solidFill>
              <a:prstDash val="solid"/>
              <a:miter lim="800000"/>
            </a:ln>
            <a:effectLst/>
          </c:spPr>
          <c:invertIfNegative val="0"/>
          <c:dLbls>
            <c:dLbl>
              <c:idx val="2"/>
              <c:layout>
                <c:manualLayout>
                  <c:x val="-8.1281851241626203E-17"/>
                  <c:y val="4.9333991119881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D4-46B8-A416-3117CA6A54F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2020. gads
</c:v>
                </c:pt>
                <c:pt idx="1">
                  <c:v>2021. gads
</c:v>
                </c:pt>
                <c:pt idx="2">
                  <c:v>2022. gads un turpmāk
</c:v>
                </c:pt>
              </c:strCache>
            </c:strRef>
          </c:cat>
          <c:val>
            <c:numRef>
              <c:f>'03.MK'!$B$5:$D$5</c:f>
              <c:numCache>
                <c:formatCode>#,##0</c:formatCode>
                <c:ptCount val="3"/>
                <c:pt idx="0">
                  <c:v>398885</c:v>
                </c:pt>
                <c:pt idx="1">
                  <c:v>659189</c:v>
                </c:pt>
                <c:pt idx="2">
                  <c:v>1121315</c:v>
                </c:pt>
              </c:numCache>
            </c:numRef>
          </c:val>
          <c:extLst>
            <c:ext xmlns:c16="http://schemas.microsoft.com/office/drawing/2014/chart" uri="{C3380CC4-5D6E-409C-BE32-E72D297353CC}">
              <c16:uniqueId val="{00000001-B3D4-46B8-A416-3117CA6A54F8}"/>
            </c:ext>
          </c:extLst>
        </c:ser>
        <c:ser>
          <c:idx val="2"/>
          <c:order val="2"/>
          <c:tx>
            <c:strRef>
              <c:f>'03.MK'!$A$6</c:f>
              <c:strCache>
                <c:ptCount val="1"/>
                <c:pt idx="0">
                  <c:v>Izpilde</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2"/>
              <c:layout>
                <c:manualLayout>
                  <c:x val="1.1084016847705609E-2"/>
                  <c:y val="-1.130557569533102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D4-46B8-A416-3117CA6A54F8}"/>
                </c:ext>
              </c:extLst>
            </c:dLbl>
            <c:dLbl>
              <c:idx val="3"/>
              <c:layout>
                <c:manualLayout>
                  <c:x val="0"/>
                  <c:y val="-2.2163120567375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D4-46B8-A416-3117CA6A54F8}"/>
                </c:ext>
              </c:extLst>
            </c:dLbl>
            <c:dLbl>
              <c:idx val="4"/>
              <c:layout>
                <c:manualLayout>
                  <c:x val="-1.610287355955098E-16"/>
                  <c:y val="-2.2163120567375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D4-46B8-A416-3117CA6A54F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'03.MK'!$B$3:$D$3</c:f>
              <c:strCache>
                <c:ptCount val="3"/>
                <c:pt idx="0">
                  <c:v>2020. gads
</c:v>
                </c:pt>
                <c:pt idx="1">
                  <c:v>2021. gads
</c:v>
                </c:pt>
                <c:pt idx="2">
                  <c:v>2022. gads un turpmāk
</c:v>
                </c:pt>
              </c:strCache>
            </c:strRef>
          </c:cat>
          <c:val>
            <c:numRef>
              <c:f>'03.MK'!$B$6:$D$6</c:f>
              <c:numCache>
                <c:formatCode>#,##0</c:formatCode>
                <c:ptCount val="3"/>
                <c:pt idx="0">
                  <c:v>80532</c:v>
                </c:pt>
                <c:pt idx="1">
                  <c:v>307588</c:v>
                </c:pt>
                <c:pt idx="2">
                  <c:v>1037263</c:v>
                </c:pt>
              </c:numCache>
            </c:numRef>
          </c:val>
          <c:extLst xmlns:c15="http://schemas.microsoft.com/office/drawing/2012/chart">
            <c:ext xmlns:c16="http://schemas.microsoft.com/office/drawing/2014/chart" uri="{C3380CC4-5D6E-409C-BE32-E72D297353CC}">
              <c16:uniqueId val="{00000005-B3D4-46B8-A416-3117CA6A54F8}"/>
            </c:ext>
          </c:extLst>
        </c:ser>
        <c:ser>
          <c:idx val="0"/>
          <c:order val="0"/>
          <c:tx>
            <c:strRef>
              <c:f>'03.MK'!$A$4</c:f>
              <c:strCache>
                <c:ptCount val="1"/>
              </c:strCache>
            </c:strRef>
          </c:tx>
          <c:spPr>
            <a:solidFill>
              <a:schemeClr val="accent1"/>
            </a:solidFill>
            <a:ln>
              <a:noFill/>
            </a:ln>
            <a:effectLst/>
          </c:spPr>
          <c:invertIfNegative val="0"/>
          <c:dLbls>
            <c:dLbl>
              <c:idx val="3"/>
              <c:layout>
                <c:manualLayout>
                  <c:x val="-6.2582345191040847E-2"/>
                  <c:y val="-9.640957446808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D4-46B8-A416-3117CA6A54F8}"/>
                </c:ext>
              </c:extLst>
            </c:dLbl>
            <c:dLbl>
              <c:idx val="4"/>
              <c:layout>
                <c:manualLayout>
                  <c:x val="-5.9232343980717826E-2"/>
                  <c:y val="-9.1976950354609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D4-46B8-A416-3117CA6A54F8}"/>
                </c:ext>
              </c:extLst>
            </c:dLbl>
            <c:spPr>
              <a:solidFill>
                <a:sysClr val="window" lastClr="FFFFFF"/>
              </a:solidFill>
              <a:ln>
                <a:solidFill>
                  <a:schemeClr val="tx1"/>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'03.MK'!$B$3:$D$3</c:f>
              <c:strCache>
                <c:ptCount val="3"/>
                <c:pt idx="0">
                  <c:v>2020. gads
</c:v>
                </c:pt>
                <c:pt idx="1">
                  <c:v>2021. gads
</c:v>
                </c:pt>
                <c:pt idx="2">
                  <c:v>2022. gads un turpmāk
</c:v>
                </c:pt>
              </c:strCache>
            </c:strRef>
          </c:cat>
          <c:val>
            <c:numRef>
              <c:f>'03.MK'!$B$4:$D$4</c:f>
              <c:numCache>
                <c:formatCode>General</c:formatCode>
                <c:ptCount val="3"/>
              </c:numCache>
            </c:numRef>
          </c:val>
          <c:extLst xmlns:c15="http://schemas.microsoft.com/office/drawing/2012/chart">
            <c:ext xmlns:c16="http://schemas.microsoft.com/office/drawing/2014/chart" uri="{C3380CC4-5D6E-409C-BE32-E72D297353CC}">
              <c16:uniqueId val="{00000008-B3D4-46B8-A416-3117CA6A54F8}"/>
            </c:ext>
          </c:extLst>
        </c:ser>
        <c:dLbls>
          <c:showLegendKey val="0"/>
          <c:showVal val="0"/>
          <c:showCatName val="0"/>
          <c:showSerName val="0"/>
          <c:showPercent val="0"/>
          <c:showBubbleSize val="0"/>
        </c:dLbls>
        <c:gapWidth val="67"/>
        <c:axId val="546922488"/>
        <c:axId val="546922880"/>
      </c:barChart>
      <c:catAx>
        <c:axId val="54692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880"/>
        <c:crosses val="autoZero"/>
        <c:auto val="1"/>
        <c:lblAlgn val="ctr"/>
        <c:lblOffset val="100"/>
        <c:noMultiLvlLbl val="0"/>
      </c:catAx>
      <c:valAx>
        <c:axId val="5469228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6922488"/>
        <c:crosses val="autoZero"/>
        <c:crossBetween val="between"/>
      </c:valAx>
      <c:spPr>
        <a:noFill/>
        <a:ln>
          <a:noFill/>
        </a:ln>
        <a:effectLst/>
      </c:spPr>
    </c:plotArea>
    <c:legend>
      <c:legendPos val="b"/>
      <c:legendEntry>
        <c:idx val="2"/>
        <c:delete val="1"/>
      </c:legendEntry>
      <c:layout>
        <c:manualLayout>
          <c:xMode val="edge"/>
          <c:yMode val="edge"/>
          <c:x val="0.42453128572849913"/>
          <c:y val="0.92359030382982232"/>
          <c:w val="0.16515624335404774"/>
          <c:h val="6.56891803176798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Sheet1!$A$8</c:f>
              <c:strCache>
                <c:ptCount val="1"/>
                <c:pt idx="0">
                  <c:v>Izdevumi (euro)</c:v>
                </c:pt>
              </c:strCache>
            </c:strRef>
          </c:tx>
          <c:spPr>
            <a:solidFill>
              <a:srgbClr val="92D050"/>
            </a:solidFill>
            <a:ln>
              <a:noFill/>
            </a:ln>
            <a:effectLst>
              <a:outerShdw blurRad="50800" dist="19050" dir="5400000" algn="ctr" rotWithShape="0">
                <a:srgbClr val="000000">
                  <a:alpha val="63000"/>
                </a:srgbClr>
              </a:outerShdw>
            </a:effectLst>
          </c:spPr>
          <c:invertIfNegative val="0"/>
          <c:dPt>
            <c:idx val="0"/>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1-18F4-456A-B894-8E4EFB7C4AE0}"/>
              </c:ext>
            </c:extLst>
          </c:dPt>
          <c:dPt>
            <c:idx val="1"/>
            <c:invertIfNegative val="0"/>
            <c:bubble3D val="0"/>
            <c:spPr>
              <a:gradFill>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0800" dist="19050" dir="5400000" algn="ctr" rotWithShape="0">
                  <a:srgbClr val="000000">
                    <a:alpha val="63000"/>
                  </a:srgbClr>
                </a:outerShdw>
              </a:effectLst>
            </c:spPr>
            <c:extLst>
              <c:ext xmlns:c16="http://schemas.microsoft.com/office/drawing/2014/chart" uri="{C3380CC4-5D6E-409C-BE32-E72D297353CC}">
                <c16:uniqueId val="{00000003-18F4-456A-B894-8E4EFB7C4AE0}"/>
              </c:ext>
            </c:extLst>
          </c:dPt>
          <c:dPt>
            <c:idx val="2"/>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5-18F4-456A-B894-8E4EFB7C4AE0}"/>
              </c:ext>
            </c:extLst>
          </c:dPt>
          <c:dPt>
            <c:idx val="3"/>
            <c:invertIfNegative val="0"/>
            <c:bubble3D val="0"/>
            <c:spPr>
              <a:gradFill>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0800" dist="19050" dir="5400000" algn="ctr" rotWithShape="0">
                  <a:srgbClr val="000000">
                    <a:alpha val="63000"/>
                  </a:srgbClr>
                </a:outerShdw>
              </a:effectLst>
            </c:spPr>
            <c:extLst>
              <c:ext xmlns:c16="http://schemas.microsoft.com/office/drawing/2014/chart" uri="{C3380CC4-5D6E-409C-BE32-E72D297353CC}">
                <c16:uniqueId val="{00000007-18F4-456A-B894-8E4EFB7C4AE0}"/>
              </c:ext>
            </c:extLst>
          </c:dPt>
          <c:dPt>
            <c:idx val="4"/>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9-18F4-456A-B894-8E4EFB7C4AE0}"/>
              </c:ext>
            </c:extLst>
          </c:dPt>
          <c:dPt>
            <c:idx val="5"/>
            <c:invertIfNegative val="0"/>
            <c:bubble3D val="0"/>
            <c:spPr>
              <a:gradFill>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0800" dist="19050" dir="5400000" algn="ctr" rotWithShape="0">
                  <a:srgbClr val="000000">
                    <a:alpha val="63000"/>
                  </a:srgbClr>
                </a:outerShdw>
              </a:effectLst>
            </c:spPr>
            <c:extLst>
              <c:ext xmlns:c16="http://schemas.microsoft.com/office/drawing/2014/chart" uri="{C3380CC4-5D6E-409C-BE32-E72D297353CC}">
                <c16:uniqueId val="{0000000B-18F4-456A-B894-8E4EFB7C4AE0}"/>
              </c:ext>
            </c:extLst>
          </c:dPt>
          <c:dPt>
            <c:idx val="6"/>
            <c:invertIfNegative val="0"/>
            <c:bubble3D val="0"/>
            <c:spPr>
              <a:solidFill>
                <a:srgbClr val="85C2E0"/>
              </a:solidFill>
              <a:ln w="6350" cap="flat" cmpd="sng" algn="ctr">
                <a:solidFill>
                  <a:srgbClr val="85C2E0"/>
                </a:solidFill>
                <a:prstDash val="solid"/>
                <a:miter lim="800000"/>
              </a:ln>
              <a:effectLst/>
            </c:spPr>
            <c:extLst>
              <c:ext xmlns:c16="http://schemas.microsoft.com/office/drawing/2014/chart" uri="{C3380CC4-5D6E-409C-BE32-E72D297353CC}">
                <c16:uniqueId val="{0000000D-18F4-456A-B894-8E4EFB7C4AE0}"/>
              </c:ext>
            </c:extLst>
          </c:dPt>
          <c:dLbls>
            <c:dLbl>
              <c:idx val="0"/>
              <c:layout>
                <c:manualLayout>
                  <c:x val="0"/>
                  <c:y val="-0.367613191460608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F4-456A-B894-8E4EFB7C4AE0}"/>
                </c:ext>
              </c:extLst>
            </c:dLbl>
            <c:dLbl>
              <c:idx val="1"/>
              <c:layout>
                <c:manualLayout>
                  <c:x val="-2.4078211421729367E-3"/>
                  <c:y val="-0.372400799723356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F4-456A-B894-8E4EFB7C4AE0}"/>
                </c:ext>
              </c:extLst>
            </c:dLbl>
            <c:dLbl>
              <c:idx val="2"/>
              <c:layout>
                <c:manualLayout>
                  <c:x val="0"/>
                  <c:y val="-0.280357888126175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F4-456A-B894-8E4EFB7C4AE0}"/>
                </c:ext>
              </c:extLst>
            </c:dLbl>
            <c:dLbl>
              <c:idx val="3"/>
              <c:layout>
                <c:manualLayout>
                  <c:x val="-2.7777633786560895E-3"/>
                  <c:y val="-0.2862425324042975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F4-456A-B894-8E4EFB7C4AE0}"/>
                </c:ext>
              </c:extLst>
            </c:dLbl>
            <c:dLbl>
              <c:idx val="4"/>
              <c:layout>
                <c:manualLayout>
                  <c:x val="0"/>
                  <c:y val="-0.213481618684590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F4-456A-B894-8E4EFB7C4AE0}"/>
                </c:ext>
              </c:extLst>
            </c:dLbl>
            <c:dLbl>
              <c:idx val="5"/>
              <c:layout>
                <c:manualLayout>
                  <c:x val="0"/>
                  <c:y val="-0.151110382035578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F4-456A-B894-8E4EFB7C4AE0}"/>
                </c:ext>
              </c:extLst>
            </c:dLbl>
            <c:dLbl>
              <c:idx val="6"/>
              <c:layout>
                <c:manualLayout>
                  <c:x val="9.8267977825874852E-17"/>
                  <c:y val="-0.190235823329058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8F4-456A-B894-8E4EFB7C4AE0}"/>
                </c:ext>
              </c:extLst>
            </c:dLbl>
            <c:numFmt formatCode="#,##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Sheet1!$B$6:$H$7</c:f>
              <c:multiLvlStrCache>
                <c:ptCount val="7"/>
                <c:lvl>
                  <c:pt idx="0">
                    <c:v>Plāns </c:v>
                  </c:pt>
                  <c:pt idx="1">
                    <c:v>Izpilde</c:v>
                  </c:pt>
                  <c:pt idx="2">
                    <c:v>Plāns </c:v>
                  </c:pt>
                  <c:pt idx="3">
                    <c:v>Izpilde</c:v>
                  </c:pt>
                  <c:pt idx="4">
                    <c:v>Plāns</c:v>
                  </c:pt>
                  <c:pt idx="5">
                    <c:v>Izpilde</c:v>
                  </c:pt>
                  <c:pt idx="6">
                    <c:v>Plāns</c:v>
                  </c:pt>
                </c:lvl>
                <c:lvl>
                  <c:pt idx="0">
                    <c:v>2020. gads </c:v>
                  </c:pt>
                  <c:pt idx="2">
                    <c:v>2021. gads</c:v>
                  </c:pt>
                  <c:pt idx="4">
                    <c:v>2022. gads</c:v>
                  </c:pt>
                  <c:pt idx="6">
                    <c:v>2023. gads un turpmāk</c:v>
                  </c:pt>
                </c:lvl>
              </c:multiLvlStrCache>
            </c:multiLvlStrRef>
          </c:cat>
          <c:val>
            <c:numRef>
              <c:f>Sheet1!$B$8:$H$8</c:f>
              <c:numCache>
                <c:formatCode>General</c:formatCode>
                <c:ptCount val="7"/>
                <c:pt idx="0">
                  <c:v>110768</c:v>
                </c:pt>
                <c:pt idx="1">
                  <c:v>110768</c:v>
                </c:pt>
                <c:pt idx="2">
                  <c:v>80768</c:v>
                </c:pt>
                <c:pt idx="3">
                  <c:v>80768</c:v>
                </c:pt>
                <c:pt idx="4">
                  <c:v>60000</c:v>
                </c:pt>
                <c:pt idx="5">
                  <c:v>35825</c:v>
                </c:pt>
                <c:pt idx="6">
                  <c:v>55000</c:v>
                </c:pt>
              </c:numCache>
            </c:numRef>
          </c:val>
          <c:extLst>
            <c:ext xmlns:c16="http://schemas.microsoft.com/office/drawing/2014/chart" uri="{C3380CC4-5D6E-409C-BE32-E72D297353CC}">
              <c16:uniqueId val="{0000000E-18F4-456A-B894-8E4EFB7C4AE0}"/>
            </c:ext>
          </c:extLst>
        </c:ser>
        <c:dLbls>
          <c:showLegendKey val="0"/>
          <c:showVal val="0"/>
          <c:showCatName val="0"/>
          <c:showSerName val="0"/>
          <c:showPercent val="0"/>
          <c:showBubbleSize val="0"/>
        </c:dLbls>
        <c:gapWidth val="67"/>
        <c:axId val="460840079"/>
        <c:axId val="460841327"/>
      </c:barChart>
      <c:catAx>
        <c:axId val="460840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0841327"/>
        <c:crosses val="autoZero"/>
        <c:auto val="1"/>
        <c:lblAlgn val="ctr"/>
        <c:lblOffset val="100"/>
        <c:noMultiLvlLbl val="0"/>
      </c:catAx>
      <c:valAx>
        <c:axId val="460841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0840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Analīze!$V$95:$V$100</cx:f>
        <cx:lvl ptCount="6">
          <cx:pt idx="0">Hugo.lv</cx:pt>
          <cx:pt idx="1">Google tulkotājs</cx:pt>
          <cx:pt idx="2">Tilde</cx:pt>
          <cx:pt idx="3">DeepL Translator</cx:pt>
          <cx:pt idx="4">Digital Europe eTranslation</cx:pt>
          <cx:pt idx="5">Citi tulkotāji</cx:pt>
        </cx:lvl>
      </cx:strDim>
      <cx:numDim type="val">
        <cx:f>Analīze!$W$95:$W$100</cx:f>
        <cx:lvl ptCount="6" formatCode="0%">
          <cx:pt idx="0">0.33000000000000002</cx:pt>
          <cx:pt idx="1">0.28999999999999998</cx:pt>
          <cx:pt idx="2">0.14999999999999999</cx:pt>
          <cx:pt idx="3">0.089999999999999997</cx:pt>
          <cx:pt idx="4">0.070000000000000007</cx:pt>
          <cx:pt idx="5">0.070000000000000007</cx:pt>
        </cx:lvl>
      </cx:numDim>
    </cx:data>
  </cx:chartData>
  <cx:chart>
    <cx:plotArea>
      <cx:plotAreaRegion>
        <cx:series layoutId="funnel" uniqueId="{B8C988C5-3720-4650-8463-25E3AEB513E2}">
          <cx:spPr>
            <a:solidFill>
              <a:srgbClr val="85C2E0"/>
            </a:solidFill>
            <a:ln w="6350" cap="flat" cmpd="sng" algn="ctr">
              <a:solidFill>
                <a:srgbClr val="85C2E0"/>
              </a:solidFill>
              <a:prstDash val="solid"/>
              <a:miter lim="800000"/>
            </a:ln>
            <a:effectLst/>
          </cx:spPr>
          <cx:dataLabels>
            <cx:txPr>
              <a:bodyPr vertOverflow="overflow" horzOverflow="overflow" wrap="square" lIns="0" tIns="0" rIns="0" bIns="0"/>
              <a:lstStyle/>
              <a:p>
                <a:pPr algn="ctr" rtl="0">
                  <a:defRPr sz="10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lv-LV" sz="1000">
                  <a:solidFill>
                    <a:sysClr val="windowText" lastClr="000000"/>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219999999"/>
        <cx:tickLabels/>
        <cx:txPr>
          <a:bodyPr vertOverflow="overflow" horzOverflow="overflow" wrap="square" lIns="0" tIns="0" rIns="0" bIns="0"/>
          <a:lstStyle/>
          <a:p>
            <a:pPr algn="ctr" rtl="0">
              <a:defRPr sz="9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lv-LV">
              <a:solidFill>
                <a:sysClr val="windowText" lastClr="000000"/>
              </a:solidFill>
              <a:latin typeface="Times New Roman" panose="02020603050405020304" pitchFamily="18" charset="0"/>
              <a:cs typeface="Times New Roman" panose="02020603050405020304" pitchFamily="18" charset="0"/>
            </a:endParaRPr>
          </a:p>
        </cx:txPr>
      </cx:axis>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withinLinear" id="18">
  <a:schemeClr val="accent5"/>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C50B70-0D0F-4335-B2BD-072EBE18FD6A}" type="doc">
      <dgm:prSet loTypeId="urn:microsoft.com/office/officeart/2005/8/layout/default" loCatId="list" qsTypeId="urn:microsoft.com/office/officeart/2005/8/quickstyle/simple1" qsCatId="simple" csTypeId="urn:microsoft.com/office/officeart/2005/8/colors/accent5_1" csCatId="accent5" phldr="1"/>
      <dgm:spPr/>
      <dgm:t>
        <a:bodyPr/>
        <a:lstStyle/>
        <a:p>
          <a:endParaRPr lang="lv-LV"/>
        </a:p>
      </dgm:t>
    </dgm:pt>
    <dgm:pt modelId="{165D6CF5-F895-4EB3-AD22-3D231759B660}">
      <dgm:prSet phldrT="[Text]" custT="1"/>
      <dgm:spPr>
        <a:xfrm>
          <a:off x="1474496"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b="0" i="1"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a:t>
          </a:r>
          <a:r>
            <a:rPr lang="lv-LV" sz="900" b="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nespēj nodrošināt kvalitatīvu tulkojumu</a:t>
          </a:r>
        </a:p>
      </dgm:t>
    </dgm:pt>
    <dgm:pt modelId="{603DE7CE-FEE9-4AF2-B106-8B11FF72DAB4}" type="parTrans" cxnId="{D28D8B35-358B-46A2-B7FE-35F6D697647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9DCEC2D3-8C2E-42D3-89BB-11854A9A5DD8}" type="sibTrans" cxnId="{D28D8B35-358B-46A2-B7FE-35F6D697647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D6D44F4A-354D-4EC0-B413-DF29C7F73763}">
      <dgm:prSet phldrT="[Text]" custT="1"/>
      <dgm:spPr>
        <a:xfrm>
          <a:off x="2947305"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b="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specifisku nozaru terminoloģiju</a:t>
          </a:r>
        </a:p>
      </dgm:t>
    </dgm:pt>
    <dgm:pt modelId="{8FB48B3A-D765-4688-8882-585CC322F8A8}" type="parTrans" cxnId="{5D9A679A-B391-4A21-BCFB-9B2019606136}">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62789D5C-691A-4C57-91AF-4BED49D86986}" type="sibTrans" cxnId="{5D9A679A-B391-4A21-BCFB-9B2019606136}">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742F52A1-71A7-492E-8E79-0141E2A0819F}">
      <dgm:prSet phldrT="[Text]" custT="1"/>
      <dgm:spPr>
        <a:xfrm>
          <a:off x="1687"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Nepieciešams tulka apliecinājums vai notariāls apstiprinājums</a:t>
          </a:r>
        </a:p>
      </dgm:t>
    </dgm:pt>
    <dgm:pt modelId="{6A1D7E23-84AB-4B81-AE62-0AFCE6E369E9}" type="parTrans" cxnId="{2F8F8CF0-D329-4109-826C-A0FAB6264737}">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879F6FC1-AD09-4614-81C1-8B4BDBB2127A}" type="sibTrans" cxnId="{2F8F8CF0-D329-4109-826C-A0FAB6264737}">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A1686B5B-C911-4A6E-8D31-EE62C7111D3A}">
      <dgm:prSet phldrT="[Text]" custT="1"/>
      <dgm:spPr>
        <a:xfrm>
          <a:off x="1474496"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mutisko tulkošanu un </a:t>
          </a:r>
          <a:r>
            <a:rPr lang="lv-LV" sz="900" i="1"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surdotulkošanu</a:t>
          </a:r>
          <a:endPar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00D2CD15-A023-4A08-93C2-932A71BCD9A5}" type="parTrans" cxnId="{DAC4ABE8-BE35-4B39-98D9-F138435DE752}">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93094522-7885-4105-BAB9-04BDB4DD6B63}" type="sibTrans" cxnId="{DAC4ABE8-BE35-4B39-98D9-F138435DE752}">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4F774A6B-CFCF-43AA-8B87-2384B2D96684}">
      <dgm:prSet phldrT="[Text]" custT="1"/>
      <dgm:spPr>
        <a:xfrm>
          <a:off x="2947305"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datu konfidencialitāti</a:t>
          </a:r>
        </a:p>
      </dgm:t>
    </dgm:pt>
    <dgm:pt modelId="{D1E96EEA-8FB0-4D37-B102-FC37785E0B11}" type="parTrans" cxnId="{A0D74269-80ED-41DE-AA42-B1D546F3298E}">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33EA4009-BE6A-4D64-9BED-F33E3F8398CF}" type="sibTrans" cxnId="{A0D74269-80ED-41DE-AA42-B1D546F3298E}">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4494B9A8-54D4-491D-B269-A2801C140587}">
      <dgm:prSet phldrT="[Text]" custT="1"/>
      <dgm:spPr>
        <a:xfrm>
          <a:off x="4420114"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Darbiniekiem jāiegulda laiks, lai rediģētu </a:t>
          </a:r>
          <a:r>
            <a:rPr lang="lv-LV" sz="900" i="1"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mašīntulkošanas</a:t>
          </a: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tulkojumus</a:t>
          </a:r>
        </a:p>
      </dgm:t>
    </dgm:pt>
    <dgm:pt modelId="{ACECB380-27B5-40E2-8222-A60734BEDA6B}" type="parTrans" cxnId="{634DA701-A031-4D19-A740-8E668FB133B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FD72C9C4-B897-4330-9CCB-5E75298CD1C9}" type="sibTrans" cxnId="{634DA701-A031-4D19-A740-8E668FB133B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D0742000-1287-445A-8405-0623E8FEEF72}">
      <dgm:prSet phldrT="[Text]" custT="1"/>
      <dgm:spPr>
        <a:xfrm>
          <a:off x="1474496" y="1965307"/>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Nav pietiekamas darbinieku kapacitātes </a:t>
          </a:r>
          <a:r>
            <a:rPr lang="lv-LV" sz="900" i="1"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mašīntulkošanas</a:t>
          </a: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izmantošanai</a:t>
          </a:r>
        </a:p>
      </dgm:t>
    </dgm:pt>
    <dgm:pt modelId="{8F56B26F-D50D-4569-958C-25589313D3F8}" type="parTrans" cxnId="{01B64571-43C5-4139-8983-8B8BA20499F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115FF5B8-F1D1-4A57-BDB0-4D37B1B26208}" type="sibTrans" cxnId="{01B64571-43C5-4139-8983-8B8BA20499F1}">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0C2DA865-0F48-49F2-89EF-F0ADC62A7901}">
      <dgm:prSet phldrT="[Text]" custT="1"/>
      <dgm:spPr>
        <a:xfrm>
          <a:off x="4420114"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Tulkojumi ir pārāk sarežģīti un apjomīgi </a:t>
          </a:r>
          <a:r>
            <a:rPr lang="lv-LV" sz="900" i="1"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mašīntulkošanai</a:t>
          </a:r>
          <a:endPar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A8918CD9-F461-4643-AF06-1CAE899711BA}" type="parTrans" cxnId="{29E92960-C515-4E78-A254-17D3D5F8571F}">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D0B6CD62-6122-48FA-B4D1-FDC6599363F7}" type="sibTrans" cxnId="{29E92960-C515-4E78-A254-17D3D5F8571F}">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90874EB7-4338-4671-A9F3-14F4A3F4B92F}">
      <dgm:prSet phldrT="[Text]" custT="1"/>
      <dgm:spPr>
        <a:xfrm>
          <a:off x="1687"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b="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Nav bijusi nepieciešamība izmantot</a:t>
          </a:r>
        </a:p>
      </dgm:t>
    </dgm:pt>
    <dgm:pt modelId="{77D4C032-F2C6-473E-AC2C-F9133E8C9A9F}" type="parTrans" cxnId="{7F36E8C2-3EDA-4616-8B9E-F9EC0DFA428B}">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D90AA891-FFBD-4123-A3E7-D9BCB896E465}" type="sibTrans" cxnId="{7F36E8C2-3EDA-4616-8B9E-F9EC0DFA428B}">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3FA56D7F-F255-42D0-AB1F-6189E747494C}">
      <dgm:prSet phldrT="[Text]" custT="1"/>
      <dgm:spPr>
        <a:xfrm>
          <a:off x="2947305" y="1965307"/>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lv-LV" sz="900" i="1"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Netulko ierobežotas pieejamības dokumentus</a:t>
          </a:r>
        </a:p>
      </dgm:t>
    </dgm:pt>
    <dgm:pt modelId="{7CCA8332-36D6-4671-9AB7-C7982455813B}" type="parTrans" cxnId="{D1B16078-91C7-4C2E-AB43-64B8892DD4A2}">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C4C884AA-A751-4DDD-866A-6A5A4350183E}" type="sibTrans" cxnId="{D1B16078-91C7-4C2E-AB43-64B8892DD4A2}">
      <dgm:prSet/>
      <dgm:spPr/>
      <dgm:t>
        <a:bodyPr/>
        <a:lstStyle/>
        <a:p>
          <a:endParaRPr lang="lv-LV" sz="900" i="1">
            <a:latin typeface="Times New Roman" panose="02020603050405020304" pitchFamily="18" charset="0"/>
            <a:ea typeface="Verdana" panose="020B0604030504040204" pitchFamily="34" charset="0"/>
            <a:cs typeface="Times New Roman" panose="02020603050405020304" pitchFamily="18" charset="0"/>
          </a:endParaRPr>
        </a:p>
      </dgm:t>
    </dgm:pt>
    <dgm:pt modelId="{67584F78-5877-491E-BD5E-EB7FA1FBF869}" type="pres">
      <dgm:prSet presAssocID="{B1C50B70-0D0F-4335-B2BD-072EBE18FD6A}" presName="diagram" presStyleCnt="0">
        <dgm:presLayoutVars>
          <dgm:dir/>
          <dgm:resizeHandles val="exact"/>
        </dgm:presLayoutVars>
      </dgm:prSet>
      <dgm:spPr/>
    </dgm:pt>
    <dgm:pt modelId="{A7FD4512-DD5A-4344-81C8-C685F9497BA8}" type="pres">
      <dgm:prSet presAssocID="{90874EB7-4338-4671-A9F3-14F4A3F4B92F}" presName="node" presStyleLbl="node1" presStyleIdx="0" presStyleCnt="10">
        <dgm:presLayoutVars>
          <dgm:bulletEnabled val="1"/>
        </dgm:presLayoutVars>
      </dgm:prSet>
      <dgm:spPr/>
    </dgm:pt>
    <dgm:pt modelId="{2D773298-67F4-438F-8690-4C28230222D8}" type="pres">
      <dgm:prSet presAssocID="{D90AA891-FFBD-4123-A3E7-D9BCB896E465}" presName="sibTrans" presStyleCnt="0"/>
      <dgm:spPr/>
    </dgm:pt>
    <dgm:pt modelId="{1CB672F6-F308-41BE-BED9-1FDE4D3285CB}" type="pres">
      <dgm:prSet presAssocID="{165D6CF5-F895-4EB3-AD22-3D231759B660}" presName="node" presStyleLbl="node1" presStyleIdx="1" presStyleCnt="10">
        <dgm:presLayoutVars>
          <dgm:bulletEnabled val="1"/>
        </dgm:presLayoutVars>
      </dgm:prSet>
      <dgm:spPr/>
    </dgm:pt>
    <dgm:pt modelId="{0B6BF2AA-2509-4B91-9415-3E88C8D0E6FE}" type="pres">
      <dgm:prSet presAssocID="{9DCEC2D3-8C2E-42D3-89BB-11854A9A5DD8}" presName="sibTrans" presStyleCnt="0"/>
      <dgm:spPr/>
    </dgm:pt>
    <dgm:pt modelId="{3DABDA76-6B18-4298-9B07-6D83678ED29B}" type="pres">
      <dgm:prSet presAssocID="{D6D44F4A-354D-4EC0-B413-DF29C7F73763}" presName="node" presStyleLbl="node1" presStyleIdx="2" presStyleCnt="10">
        <dgm:presLayoutVars>
          <dgm:bulletEnabled val="1"/>
        </dgm:presLayoutVars>
      </dgm:prSet>
      <dgm:spPr/>
    </dgm:pt>
    <dgm:pt modelId="{E500813B-C75F-4473-9C53-E707E56BD3B3}" type="pres">
      <dgm:prSet presAssocID="{62789D5C-691A-4C57-91AF-4BED49D86986}" presName="sibTrans" presStyleCnt="0"/>
      <dgm:spPr/>
    </dgm:pt>
    <dgm:pt modelId="{5766C6BF-C42B-40FE-B4B1-2054C846B48D}" type="pres">
      <dgm:prSet presAssocID="{0C2DA865-0F48-49F2-89EF-F0ADC62A7901}" presName="node" presStyleLbl="node1" presStyleIdx="3" presStyleCnt="10">
        <dgm:presLayoutVars>
          <dgm:bulletEnabled val="1"/>
        </dgm:presLayoutVars>
      </dgm:prSet>
      <dgm:spPr/>
    </dgm:pt>
    <dgm:pt modelId="{8A6289EE-F389-4FD7-9B86-65FBBA8DACCA}" type="pres">
      <dgm:prSet presAssocID="{D0B6CD62-6122-48FA-B4D1-FDC6599363F7}" presName="sibTrans" presStyleCnt="0"/>
      <dgm:spPr/>
    </dgm:pt>
    <dgm:pt modelId="{F0E50C73-DDF2-4EB9-A5BE-89D3F991DB4C}" type="pres">
      <dgm:prSet presAssocID="{742F52A1-71A7-492E-8E79-0141E2A0819F}" presName="node" presStyleLbl="node1" presStyleIdx="4" presStyleCnt="10">
        <dgm:presLayoutVars>
          <dgm:bulletEnabled val="1"/>
        </dgm:presLayoutVars>
      </dgm:prSet>
      <dgm:spPr/>
    </dgm:pt>
    <dgm:pt modelId="{C2BFE5A6-325A-4F5E-BE8A-84F34FF8C382}" type="pres">
      <dgm:prSet presAssocID="{879F6FC1-AD09-4614-81C1-8B4BDBB2127A}" presName="sibTrans" presStyleCnt="0"/>
      <dgm:spPr/>
    </dgm:pt>
    <dgm:pt modelId="{6A58F9F7-1466-40D3-846D-E38D08F8AFF0}" type="pres">
      <dgm:prSet presAssocID="{A1686B5B-C911-4A6E-8D31-EE62C7111D3A}" presName="node" presStyleLbl="node1" presStyleIdx="5" presStyleCnt="10">
        <dgm:presLayoutVars>
          <dgm:bulletEnabled val="1"/>
        </dgm:presLayoutVars>
      </dgm:prSet>
      <dgm:spPr/>
    </dgm:pt>
    <dgm:pt modelId="{068542C1-A525-4ABF-9029-6C60D7D91C9A}" type="pres">
      <dgm:prSet presAssocID="{93094522-7885-4105-BAB9-04BDB4DD6B63}" presName="sibTrans" presStyleCnt="0"/>
      <dgm:spPr/>
    </dgm:pt>
    <dgm:pt modelId="{D0A16238-7051-4986-9557-E89DC1497303}" type="pres">
      <dgm:prSet presAssocID="{4F774A6B-CFCF-43AA-8B87-2384B2D96684}" presName="node" presStyleLbl="node1" presStyleIdx="6" presStyleCnt="10">
        <dgm:presLayoutVars>
          <dgm:bulletEnabled val="1"/>
        </dgm:presLayoutVars>
      </dgm:prSet>
      <dgm:spPr/>
    </dgm:pt>
    <dgm:pt modelId="{104D061D-EAE6-40BA-AF87-0D747D2FE893}" type="pres">
      <dgm:prSet presAssocID="{33EA4009-BE6A-4D64-9BED-F33E3F8398CF}" presName="sibTrans" presStyleCnt="0"/>
      <dgm:spPr/>
    </dgm:pt>
    <dgm:pt modelId="{D77AACB8-ED02-47F5-B486-C294291D2CE7}" type="pres">
      <dgm:prSet presAssocID="{4494B9A8-54D4-491D-B269-A2801C140587}" presName="node" presStyleLbl="node1" presStyleIdx="7" presStyleCnt="10">
        <dgm:presLayoutVars>
          <dgm:bulletEnabled val="1"/>
        </dgm:presLayoutVars>
      </dgm:prSet>
      <dgm:spPr/>
    </dgm:pt>
    <dgm:pt modelId="{FE1A5100-6BA0-4C98-A4C3-4CF8685F57C5}" type="pres">
      <dgm:prSet presAssocID="{FD72C9C4-B897-4330-9CCB-5E75298CD1C9}" presName="sibTrans" presStyleCnt="0"/>
      <dgm:spPr/>
    </dgm:pt>
    <dgm:pt modelId="{A50BF7AC-0AA2-4248-B534-000DF8288842}" type="pres">
      <dgm:prSet presAssocID="{D0742000-1287-445A-8405-0623E8FEEF72}" presName="node" presStyleLbl="node1" presStyleIdx="8" presStyleCnt="10">
        <dgm:presLayoutVars>
          <dgm:bulletEnabled val="1"/>
        </dgm:presLayoutVars>
      </dgm:prSet>
      <dgm:spPr/>
    </dgm:pt>
    <dgm:pt modelId="{8964D26B-DCB2-4058-96DB-510206EF70C1}" type="pres">
      <dgm:prSet presAssocID="{115FF5B8-F1D1-4A57-BDB0-4D37B1B26208}" presName="sibTrans" presStyleCnt="0"/>
      <dgm:spPr/>
    </dgm:pt>
    <dgm:pt modelId="{2E29E1F3-13AB-42F6-988C-BCA5AF1A80D5}" type="pres">
      <dgm:prSet presAssocID="{3FA56D7F-F255-42D0-AB1F-6189E747494C}" presName="node" presStyleLbl="node1" presStyleIdx="9" presStyleCnt="10">
        <dgm:presLayoutVars>
          <dgm:bulletEnabled val="1"/>
        </dgm:presLayoutVars>
      </dgm:prSet>
      <dgm:spPr/>
    </dgm:pt>
  </dgm:ptLst>
  <dgm:cxnLst>
    <dgm:cxn modelId="{634DA701-A031-4D19-A740-8E668FB133B1}" srcId="{B1C50B70-0D0F-4335-B2BD-072EBE18FD6A}" destId="{4494B9A8-54D4-491D-B269-A2801C140587}" srcOrd="7" destOrd="0" parTransId="{ACECB380-27B5-40E2-8222-A60734BEDA6B}" sibTransId="{FD72C9C4-B897-4330-9CCB-5E75298CD1C9}"/>
    <dgm:cxn modelId="{FFE3A42E-2ADF-4728-AE2F-BB376870A8CB}" type="presOf" srcId="{A1686B5B-C911-4A6E-8D31-EE62C7111D3A}" destId="{6A58F9F7-1466-40D3-846D-E38D08F8AFF0}" srcOrd="0" destOrd="0" presId="urn:microsoft.com/office/officeart/2005/8/layout/default"/>
    <dgm:cxn modelId="{D28D8B35-358B-46A2-B7FE-35F6D6976471}" srcId="{B1C50B70-0D0F-4335-B2BD-072EBE18FD6A}" destId="{165D6CF5-F895-4EB3-AD22-3D231759B660}" srcOrd="1" destOrd="0" parTransId="{603DE7CE-FEE9-4AF2-B106-8B11FF72DAB4}" sibTransId="{9DCEC2D3-8C2E-42D3-89BB-11854A9A5DD8}"/>
    <dgm:cxn modelId="{29E92960-C515-4E78-A254-17D3D5F8571F}" srcId="{B1C50B70-0D0F-4335-B2BD-072EBE18FD6A}" destId="{0C2DA865-0F48-49F2-89EF-F0ADC62A7901}" srcOrd="3" destOrd="0" parTransId="{A8918CD9-F461-4643-AF06-1CAE899711BA}" sibTransId="{D0B6CD62-6122-48FA-B4D1-FDC6599363F7}"/>
    <dgm:cxn modelId="{A0D74269-80ED-41DE-AA42-B1D546F3298E}" srcId="{B1C50B70-0D0F-4335-B2BD-072EBE18FD6A}" destId="{4F774A6B-CFCF-43AA-8B87-2384B2D96684}" srcOrd="6" destOrd="0" parTransId="{D1E96EEA-8FB0-4D37-B102-FC37785E0B11}" sibTransId="{33EA4009-BE6A-4D64-9BED-F33E3F8398CF}"/>
    <dgm:cxn modelId="{84AAFB49-901D-4CD2-BE32-D9B98D25020C}" type="presOf" srcId="{4494B9A8-54D4-491D-B269-A2801C140587}" destId="{D77AACB8-ED02-47F5-B486-C294291D2CE7}" srcOrd="0" destOrd="0" presId="urn:microsoft.com/office/officeart/2005/8/layout/default"/>
    <dgm:cxn modelId="{3873676A-21D2-4955-B5E9-F4E67A06D508}" type="presOf" srcId="{0C2DA865-0F48-49F2-89EF-F0ADC62A7901}" destId="{5766C6BF-C42B-40FE-B4B1-2054C846B48D}" srcOrd="0" destOrd="0" presId="urn:microsoft.com/office/officeart/2005/8/layout/default"/>
    <dgm:cxn modelId="{E8CAD450-00C9-44F1-8E63-B3E289B48D77}" type="presOf" srcId="{B1C50B70-0D0F-4335-B2BD-072EBE18FD6A}" destId="{67584F78-5877-491E-BD5E-EB7FA1FBF869}" srcOrd="0" destOrd="0" presId="urn:microsoft.com/office/officeart/2005/8/layout/default"/>
    <dgm:cxn modelId="{01B64571-43C5-4139-8983-8B8BA20499F1}" srcId="{B1C50B70-0D0F-4335-B2BD-072EBE18FD6A}" destId="{D0742000-1287-445A-8405-0623E8FEEF72}" srcOrd="8" destOrd="0" parTransId="{8F56B26F-D50D-4569-958C-25589313D3F8}" sibTransId="{115FF5B8-F1D1-4A57-BDB0-4D37B1B26208}"/>
    <dgm:cxn modelId="{D1B16078-91C7-4C2E-AB43-64B8892DD4A2}" srcId="{B1C50B70-0D0F-4335-B2BD-072EBE18FD6A}" destId="{3FA56D7F-F255-42D0-AB1F-6189E747494C}" srcOrd="9" destOrd="0" parTransId="{7CCA8332-36D6-4671-9AB7-C7982455813B}" sibTransId="{C4C884AA-A751-4DDD-866A-6A5A4350183E}"/>
    <dgm:cxn modelId="{5D9A679A-B391-4A21-BCFB-9B2019606136}" srcId="{B1C50B70-0D0F-4335-B2BD-072EBE18FD6A}" destId="{D6D44F4A-354D-4EC0-B413-DF29C7F73763}" srcOrd="2" destOrd="0" parTransId="{8FB48B3A-D765-4688-8882-585CC322F8A8}" sibTransId="{62789D5C-691A-4C57-91AF-4BED49D86986}"/>
    <dgm:cxn modelId="{C962D1B5-35A8-49D5-8E5A-4D0B154C9995}" type="presOf" srcId="{165D6CF5-F895-4EB3-AD22-3D231759B660}" destId="{1CB672F6-F308-41BE-BED9-1FDE4D3285CB}" srcOrd="0" destOrd="0" presId="urn:microsoft.com/office/officeart/2005/8/layout/default"/>
    <dgm:cxn modelId="{581866B9-7624-4B35-A118-A05218499A94}" type="presOf" srcId="{D0742000-1287-445A-8405-0623E8FEEF72}" destId="{A50BF7AC-0AA2-4248-B534-000DF8288842}" srcOrd="0" destOrd="0" presId="urn:microsoft.com/office/officeart/2005/8/layout/default"/>
    <dgm:cxn modelId="{7712D6BA-34F5-48BF-8FFF-4BCA4F4FEF5C}" type="presOf" srcId="{D6D44F4A-354D-4EC0-B413-DF29C7F73763}" destId="{3DABDA76-6B18-4298-9B07-6D83678ED29B}" srcOrd="0" destOrd="0" presId="urn:microsoft.com/office/officeart/2005/8/layout/default"/>
    <dgm:cxn modelId="{955D21BC-C015-4546-9667-7C91D1EBE4F1}" type="presOf" srcId="{742F52A1-71A7-492E-8E79-0141E2A0819F}" destId="{F0E50C73-DDF2-4EB9-A5BE-89D3F991DB4C}" srcOrd="0" destOrd="0" presId="urn:microsoft.com/office/officeart/2005/8/layout/default"/>
    <dgm:cxn modelId="{7F36E8C2-3EDA-4616-8B9E-F9EC0DFA428B}" srcId="{B1C50B70-0D0F-4335-B2BD-072EBE18FD6A}" destId="{90874EB7-4338-4671-A9F3-14F4A3F4B92F}" srcOrd="0" destOrd="0" parTransId="{77D4C032-F2C6-473E-AC2C-F9133E8C9A9F}" sibTransId="{D90AA891-FFBD-4123-A3E7-D9BCB896E465}"/>
    <dgm:cxn modelId="{E18FC6DE-C5E3-495A-8816-D3CA6C84D2F9}" type="presOf" srcId="{4F774A6B-CFCF-43AA-8B87-2384B2D96684}" destId="{D0A16238-7051-4986-9557-E89DC1497303}" srcOrd="0" destOrd="0" presId="urn:microsoft.com/office/officeart/2005/8/layout/default"/>
    <dgm:cxn modelId="{948E7DE0-BCCA-4929-83AE-AB501D20ECFD}" type="presOf" srcId="{3FA56D7F-F255-42D0-AB1F-6189E747494C}" destId="{2E29E1F3-13AB-42F6-988C-BCA5AF1A80D5}" srcOrd="0" destOrd="0" presId="urn:microsoft.com/office/officeart/2005/8/layout/default"/>
    <dgm:cxn modelId="{DAC4ABE8-BE35-4B39-98D9-F138435DE752}" srcId="{B1C50B70-0D0F-4335-B2BD-072EBE18FD6A}" destId="{A1686B5B-C911-4A6E-8D31-EE62C7111D3A}" srcOrd="5" destOrd="0" parTransId="{00D2CD15-A023-4A08-93C2-932A71BCD9A5}" sibTransId="{93094522-7885-4105-BAB9-04BDB4DD6B63}"/>
    <dgm:cxn modelId="{2F8F8CF0-D329-4109-826C-A0FAB6264737}" srcId="{B1C50B70-0D0F-4335-B2BD-072EBE18FD6A}" destId="{742F52A1-71A7-492E-8E79-0141E2A0819F}" srcOrd="4" destOrd="0" parTransId="{6A1D7E23-84AB-4B81-AE62-0AFCE6E369E9}" sibTransId="{879F6FC1-AD09-4614-81C1-8B4BDBB2127A}"/>
    <dgm:cxn modelId="{25AB59FB-2F45-4D41-8C57-83A7729080F1}" type="presOf" srcId="{90874EB7-4338-4671-A9F3-14F4A3F4B92F}" destId="{A7FD4512-DD5A-4344-81C8-C685F9497BA8}" srcOrd="0" destOrd="0" presId="urn:microsoft.com/office/officeart/2005/8/layout/default"/>
    <dgm:cxn modelId="{E120785A-F170-47D0-8248-538E821947DE}" type="presParOf" srcId="{67584F78-5877-491E-BD5E-EB7FA1FBF869}" destId="{A7FD4512-DD5A-4344-81C8-C685F9497BA8}" srcOrd="0" destOrd="0" presId="urn:microsoft.com/office/officeart/2005/8/layout/default"/>
    <dgm:cxn modelId="{00E1053D-9D99-4A9C-8BAF-9CC89F880D8D}" type="presParOf" srcId="{67584F78-5877-491E-BD5E-EB7FA1FBF869}" destId="{2D773298-67F4-438F-8690-4C28230222D8}" srcOrd="1" destOrd="0" presId="urn:microsoft.com/office/officeart/2005/8/layout/default"/>
    <dgm:cxn modelId="{2CAB8C87-6B41-4D7C-B245-631B5D4BDDB5}" type="presParOf" srcId="{67584F78-5877-491E-BD5E-EB7FA1FBF869}" destId="{1CB672F6-F308-41BE-BED9-1FDE4D3285CB}" srcOrd="2" destOrd="0" presId="urn:microsoft.com/office/officeart/2005/8/layout/default"/>
    <dgm:cxn modelId="{CFBE4278-86E7-4FCC-B199-4B0DE6140D6B}" type="presParOf" srcId="{67584F78-5877-491E-BD5E-EB7FA1FBF869}" destId="{0B6BF2AA-2509-4B91-9415-3E88C8D0E6FE}" srcOrd="3" destOrd="0" presId="urn:microsoft.com/office/officeart/2005/8/layout/default"/>
    <dgm:cxn modelId="{D4CC1E45-4F86-4189-9732-B273F1BCE797}" type="presParOf" srcId="{67584F78-5877-491E-BD5E-EB7FA1FBF869}" destId="{3DABDA76-6B18-4298-9B07-6D83678ED29B}" srcOrd="4" destOrd="0" presId="urn:microsoft.com/office/officeart/2005/8/layout/default"/>
    <dgm:cxn modelId="{40DB967F-1896-4F13-A64B-0264CF4EED43}" type="presParOf" srcId="{67584F78-5877-491E-BD5E-EB7FA1FBF869}" destId="{E500813B-C75F-4473-9C53-E707E56BD3B3}" srcOrd="5" destOrd="0" presId="urn:microsoft.com/office/officeart/2005/8/layout/default"/>
    <dgm:cxn modelId="{303B6FCF-ABA7-47DF-BD8B-76F9F864FB62}" type="presParOf" srcId="{67584F78-5877-491E-BD5E-EB7FA1FBF869}" destId="{5766C6BF-C42B-40FE-B4B1-2054C846B48D}" srcOrd="6" destOrd="0" presId="urn:microsoft.com/office/officeart/2005/8/layout/default"/>
    <dgm:cxn modelId="{E228DCC6-7979-44C4-8457-FC6AC39B4730}" type="presParOf" srcId="{67584F78-5877-491E-BD5E-EB7FA1FBF869}" destId="{8A6289EE-F389-4FD7-9B86-65FBBA8DACCA}" srcOrd="7" destOrd="0" presId="urn:microsoft.com/office/officeart/2005/8/layout/default"/>
    <dgm:cxn modelId="{4B0F6550-5156-407A-B3F3-28CC6BCA1C67}" type="presParOf" srcId="{67584F78-5877-491E-BD5E-EB7FA1FBF869}" destId="{F0E50C73-DDF2-4EB9-A5BE-89D3F991DB4C}" srcOrd="8" destOrd="0" presId="urn:microsoft.com/office/officeart/2005/8/layout/default"/>
    <dgm:cxn modelId="{DD296CAA-397A-4136-9EF5-21C86347D8AF}" type="presParOf" srcId="{67584F78-5877-491E-BD5E-EB7FA1FBF869}" destId="{C2BFE5A6-325A-4F5E-BE8A-84F34FF8C382}" srcOrd="9" destOrd="0" presId="urn:microsoft.com/office/officeart/2005/8/layout/default"/>
    <dgm:cxn modelId="{0068F667-5B5C-4290-90FC-5D1E5AD97870}" type="presParOf" srcId="{67584F78-5877-491E-BD5E-EB7FA1FBF869}" destId="{6A58F9F7-1466-40D3-846D-E38D08F8AFF0}" srcOrd="10" destOrd="0" presId="urn:microsoft.com/office/officeart/2005/8/layout/default"/>
    <dgm:cxn modelId="{2BDCC5BD-7F88-4D3E-8CB0-B5BA4C24A2B4}" type="presParOf" srcId="{67584F78-5877-491E-BD5E-EB7FA1FBF869}" destId="{068542C1-A525-4ABF-9029-6C60D7D91C9A}" srcOrd="11" destOrd="0" presId="urn:microsoft.com/office/officeart/2005/8/layout/default"/>
    <dgm:cxn modelId="{1CD215D6-F101-433C-A607-48C7A78EB4BA}" type="presParOf" srcId="{67584F78-5877-491E-BD5E-EB7FA1FBF869}" destId="{D0A16238-7051-4986-9557-E89DC1497303}" srcOrd="12" destOrd="0" presId="urn:microsoft.com/office/officeart/2005/8/layout/default"/>
    <dgm:cxn modelId="{8098EBE8-EE7D-4130-AC97-ED0141E556AC}" type="presParOf" srcId="{67584F78-5877-491E-BD5E-EB7FA1FBF869}" destId="{104D061D-EAE6-40BA-AF87-0D747D2FE893}" srcOrd="13" destOrd="0" presId="urn:microsoft.com/office/officeart/2005/8/layout/default"/>
    <dgm:cxn modelId="{00D12409-586C-464F-A753-03A193F0E1F4}" type="presParOf" srcId="{67584F78-5877-491E-BD5E-EB7FA1FBF869}" destId="{D77AACB8-ED02-47F5-B486-C294291D2CE7}" srcOrd="14" destOrd="0" presId="urn:microsoft.com/office/officeart/2005/8/layout/default"/>
    <dgm:cxn modelId="{B9951820-E61D-43A9-AB27-5A44C77F7055}" type="presParOf" srcId="{67584F78-5877-491E-BD5E-EB7FA1FBF869}" destId="{FE1A5100-6BA0-4C98-A4C3-4CF8685F57C5}" srcOrd="15" destOrd="0" presId="urn:microsoft.com/office/officeart/2005/8/layout/default"/>
    <dgm:cxn modelId="{837ED315-9536-4111-8EA7-41F4342BD90A}" type="presParOf" srcId="{67584F78-5877-491E-BD5E-EB7FA1FBF869}" destId="{A50BF7AC-0AA2-4248-B534-000DF8288842}" srcOrd="16" destOrd="0" presId="urn:microsoft.com/office/officeart/2005/8/layout/default"/>
    <dgm:cxn modelId="{F7970A96-0F5D-47B5-A687-D80F33825550}" type="presParOf" srcId="{67584F78-5877-491E-BD5E-EB7FA1FBF869}" destId="{8964D26B-DCB2-4058-96DB-510206EF70C1}" srcOrd="17" destOrd="0" presId="urn:microsoft.com/office/officeart/2005/8/layout/default"/>
    <dgm:cxn modelId="{D4AC15EB-A497-49DC-A628-9EA765E86946}" type="presParOf" srcId="{67584F78-5877-491E-BD5E-EB7FA1FBF869}" destId="{2E29E1F3-13AB-42F6-988C-BCA5AF1A80D5}" srcOrd="18" destOrd="0" presId="urn:microsoft.com/office/officeart/2005/8/layout/default"/>
  </dgm:cxnLst>
  <dgm:bg>
    <a:solidFill>
      <a:schemeClr val="accent5">
        <a:lumMod val="20000"/>
        <a:lumOff val="80000"/>
      </a:schemeClr>
    </a:solidFill>
    <a:effect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D4512-DD5A-4344-81C8-C685F9497BA8}">
      <dsp:nvSpPr>
        <dsp:cNvPr id="0" name=""/>
        <dsp:cNvSpPr/>
      </dsp:nvSpPr>
      <dsp:spPr>
        <a:xfrm>
          <a:off x="1687"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Nav bijusi nepieciešamība izmantot</a:t>
          </a:r>
        </a:p>
      </dsp:txBody>
      <dsp:txXfrm>
        <a:off x="1687" y="90823"/>
        <a:ext cx="1338917" cy="803350"/>
      </dsp:txXfrm>
    </dsp:sp>
    <dsp:sp modelId="{1CB672F6-F308-41BE-BED9-1FDE4D3285CB}">
      <dsp:nvSpPr>
        <dsp:cNvPr id="0" name=""/>
        <dsp:cNvSpPr/>
      </dsp:nvSpPr>
      <dsp:spPr>
        <a:xfrm>
          <a:off x="1474496"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0" i="1" kern="1200"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a:t>
          </a:r>
          <a:r>
            <a:rPr lang="lv-LV" sz="900" b="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nespēj nodrošināt kvalitatīvu tulkojumu</a:t>
          </a:r>
        </a:p>
      </dsp:txBody>
      <dsp:txXfrm>
        <a:off x="1474496" y="90823"/>
        <a:ext cx="1338917" cy="803350"/>
      </dsp:txXfrm>
    </dsp:sp>
    <dsp:sp modelId="{3DABDA76-6B18-4298-9B07-6D83678ED29B}">
      <dsp:nvSpPr>
        <dsp:cNvPr id="0" name=""/>
        <dsp:cNvSpPr/>
      </dsp:nvSpPr>
      <dsp:spPr>
        <a:xfrm>
          <a:off x="2947305"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specifisku nozaru terminoloģiju</a:t>
          </a:r>
        </a:p>
      </dsp:txBody>
      <dsp:txXfrm>
        <a:off x="2947305" y="90823"/>
        <a:ext cx="1338917" cy="803350"/>
      </dsp:txXfrm>
    </dsp:sp>
    <dsp:sp modelId="{5766C6BF-C42B-40FE-B4B1-2054C846B48D}">
      <dsp:nvSpPr>
        <dsp:cNvPr id="0" name=""/>
        <dsp:cNvSpPr/>
      </dsp:nvSpPr>
      <dsp:spPr>
        <a:xfrm>
          <a:off x="4420114" y="90823"/>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Tulkojumi ir pārāk sarežģīti un apjomīgi </a:t>
          </a:r>
          <a:r>
            <a:rPr lang="lv-LV" sz="900" i="1" kern="1200"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mašīntulkošanai</a:t>
          </a:r>
          <a:endPar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4420114" y="90823"/>
        <a:ext cx="1338917" cy="803350"/>
      </dsp:txXfrm>
    </dsp:sp>
    <dsp:sp modelId="{F0E50C73-DDF2-4EB9-A5BE-89D3F991DB4C}">
      <dsp:nvSpPr>
        <dsp:cNvPr id="0" name=""/>
        <dsp:cNvSpPr/>
      </dsp:nvSpPr>
      <dsp:spPr>
        <a:xfrm>
          <a:off x="1687"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Nepieciešams tulka apliecinājums vai notariāls apstiprinājums</a:t>
          </a:r>
        </a:p>
      </dsp:txBody>
      <dsp:txXfrm>
        <a:off x="1687" y="1028065"/>
        <a:ext cx="1338917" cy="803350"/>
      </dsp:txXfrm>
    </dsp:sp>
    <dsp:sp modelId="{6A58F9F7-1466-40D3-846D-E38D08F8AFF0}">
      <dsp:nvSpPr>
        <dsp:cNvPr id="0" name=""/>
        <dsp:cNvSpPr/>
      </dsp:nvSpPr>
      <dsp:spPr>
        <a:xfrm>
          <a:off x="1474496"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mutisko tulkošanu un </a:t>
          </a:r>
          <a:r>
            <a:rPr lang="lv-LV" sz="900" i="1" kern="1200"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surdotulkošanu</a:t>
          </a:r>
          <a:endPar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474496" y="1028065"/>
        <a:ext cx="1338917" cy="803350"/>
      </dsp:txXfrm>
    </dsp:sp>
    <dsp:sp modelId="{D0A16238-7051-4986-9557-E89DC1497303}">
      <dsp:nvSpPr>
        <dsp:cNvPr id="0" name=""/>
        <dsp:cNvSpPr/>
      </dsp:nvSpPr>
      <dsp:spPr>
        <a:xfrm>
          <a:off x="2947305"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Nenodrošina datu konfidencialitāti</a:t>
          </a:r>
        </a:p>
      </dsp:txBody>
      <dsp:txXfrm>
        <a:off x="2947305" y="1028065"/>
        <a:ext cx="1338917" cy="803350"/>
      </dsp:txXfrm>
    </dsp:sp>
    <dsp:sp modelId="{D77AACB8-ED02-47F5-B486-C294291D2CE7}">
      <dsp:nvSpPr>
        <dsp:cNvPr id="0" name=""/>
        <dsp:cNvSpPr/>
      </dsp:nvSpPr>
      <dsp:spPr>
        <a:xfrm>
          <a:off x="4420114" y="1028065"/>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Darbiniekiem jāiegulda laiks, lai rediģētu </a:t>
          </a:r>
          <a:r>
            <a:rPr lang="lv-LV" sz="900" i="1" kern="1200"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mašīntulkošanas</a:t>
          </a: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tulkojumus</a:t>
          </a:r>
        </a:p>
      </dsp:txBody>
      <dsp:txXfrm>
        <a:off x="4420114" y="1028065"/>
        <a:ext cx="1338917" cy="803350"/>
      </dsp:txXfrm>
    </dsp:sp>
    <dsp:sp modelId="{A50BF7AC-0AA2-4248-B534-000DF8288842}">
      <dsp:nvSpPr>
        <dsp:cNvPr id="0" name=""/>
        <dsp:cNvSpPr/>
      </dsp:nvSpPr>
      <dsp:spPr>
        <a:xfrm>
          <a:off x="1474496" y="1965307"/>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Nav pietiekamas darbinieku kapacitātes </a:t>
          </a:r>
          <a:r>
            <a:rPr lang="lv-LV" sz="900" i="1" kern="1200" dirty="0" err="1">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mašīntulkošanas</a:t>
          </a: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 izmantošanai</a:t>
          </a:r>
        </a:p>
      </dsp:txBody>
      <dsp:txXfrm>
        <a:off x="1474496" y="1965307"/>
        <a:ext cx="1338917" cy="803350"/>
      </dsp:txXfrm>
    </dsp:sp>
    <dsp:sp modelId="{2E29E1F3-13AB-42F6-988C-BCA5AF1A80D5}">
      <dsp:nvSpPr>
        <dsp:cNvPr id="0" name=""/>
        <dsp:cNvSpPr/>
      </dsp:nvSpPr>
      <dsp:spPr>
        <a:xfrm>
          <a:off x="2947305" y="1965307"/>
          <a:ext cx="1338917" cy="80335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i="1" kern="1200" dirty="0">
              <a:solidFill>
                <a:sysClr val="windowText" lastClr="000000">
                  <a:hueOff val="0"/>
                  <a:satOff val="0"/>
                  <a:lumOff val="0"/>
                  <a:alphaOff val="0"/>
                </a:sysClr>
              </a:solidFill>
              <a:latin typeface="Times New Roman" panose="02020603050405020304" pitchFamily="18" charset="0"/>
              <a:ea typeface="Verdana" panose="020B0604030504040204" pitchFamily="34" charset="0"/>
              <a:cs typeface="Times New Roman" panose="02020603050405020304" pitchFamily="18" charset="0"/>
            </a:rPr>
            <a:t>Netulko ierobežotas pieejamības dokumentus</a:t>
          </a:r>
        </a:p>
      </dsp:txBody>
      <dsp:txXfrm>
        <a:off x="2947305" y="1965307"/>
        <a:ext cx="1338917" cy="80335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0.08695</cdr:x>
      <cdr:y>0.0198</cdr:y>
    </cdr:from>
    <cdr:to>
      <cdr:x>0.34897</cdr:x>
      <cdr:y>0.242</cdr:y>
    </cdr:to>
    <cdr:sp macro="" textlink="">
      <cdr:nvSpPr>
        <cdr:cNvPr id="5" name="Rectangle 4">
          <a:extLst xmlns:a="http://schemas.openxmlformats.org/drawingml/2006/main">
            <a:ext uri="{FF2B5EF4-FFF2-40B4-BE49-F238E27FC236}">
              <a16:creationId xmlns:a16="http://schemas.microsoft.com/office/drawing/2014/main" id="{0C948ABA-F0FA-8CFE-7A9A-62A9FCC75AF0}"/>
            </a:ext>
          </a:extLst>
        </cdr:cNvPr>
        <cdr:cNvSpPr/>
      </cdr:nvSpPr>
      <cdr:spPr>
        <a:xfrm xmlns:a="http://schemas.openxmlformats.org/drawingml/2006/main">
          <a:off x="468374" y="47539"/>
          <a:ext cx="1411424" cy="533486"/>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+630,5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0.38237</cdr:x>
      <cdr:y>0.01921</cdr:y>
    </cdr:from>
    <cdr:to>
      <cdr:x>0.64439</cdr:x>
      <cdr:y>0.22061</cdr:y>
    </cdr:to>
    <cdr:sp macro="" textlink="">
      <cdr:nvSpPr>
        <cdr:cNvPr id="6" name="Rectangle 5">
          <a:extLst xmlns:a="http://schemas.openxmlformats.org/drawingml/2006/main">
            <a:ext uri="{FF2B5EF4-FFF2-40B4-BE49-F238E27FC236}">
              <a16:creationId xmlns:a16="http://schemas.microsoft.com/office/drawing/2014/main" id="{7A6FC9CC-49DF-543E-1A13-04B82E36B9CD}"/>
            </a:ext>
          </a:extLst>
        </cdr:cNvPr>
        <cdr:cNvSpPr/>
      </cdr:nvSpPr>
      <cdr:spPr>
        <a:xfrm xmlns:a="http://schemas.openxmlformats.org/drawingml/2006/main">
          <a:off x="2059709" y="59459"/>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+666,7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0.68136</cdr:x>
      <cdr:y>0.01921</cdr:y>
    </cdr:from>
    <cdr:to>
      <cdr:x>0.96546</cdr:x>
      <cdr:y>0.22061</cdr:y>
    </cdr:to>
    <cdr:sp macro="" textlink="">
      <cdr:nvSpPr>
        <cdr:cNvPr id="7" name="Rectangle 6">
          <a:extLst xmlns:a="http://schemas.openxmlformats.org/drawingml/2006/main">
            <a:ext uri="{FF2B5EF4-FFF2-40B4-BE49-F238E27FC236}">
              <a16:creationId xmlns:a16="http://schemas.microsoft.com/office/drawing/2014/main" id="{2BA829BD-1CC9-FE78-A0B1-6FE695AA000A}"/>
            </a:ext>
          </a:extLst>
        </cdr:cNvPr>
        <cdr:cNvSpPr/>
      </cdr:nvSpPr>
      <cdr:spPr>
        <a:xfrm xmlns:a="http://schemas.openxmlformats.org/drawingml/2006/main">
          <a:off x="3670285" y="59467"/>
          <a:ext cx="1530366" cy="623459"/>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5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5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a:t>
          </a:r>
        </a:p>
        <a:p xmlns:a="http://schemas.openxmlformats.org/drawingml/2006/main">
          <a:pPr algn="ctr"/>
          <a:r>
            <a:rPr lang="lv-LV" sz="950" baseline="0">
              <a:solidFill>
                <a:sysClr val="windowText" lastClr="000000"/>
              </a:solidFill>
              <a:effectLst/>
              <a:latin typeface="Times New Roman" panose="02020603050405020304" pitchFamily="18" charset="0"/>
              <a:ea typeface="+mn-ea"/>
              <a:cs typeface="Times New Roman" panose="02020603050405020304" pitchFamily="18" charset="0"/>
            </a:rPr>
            <a:t>­-19,4 milj. </a:t>
          </a:r>
          <a:r>
            <a:rPr lang="lv-LV" sz="95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5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0.16038</cdr:x>
      <cdr:y>0.02846</cdr:y>
    </cdr:from>
    <cdr:to>
      <cdr:x>0.88537</cdr:x>
      <cdr:y>0.7352</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96704" y="52792"/>
          <a:ext cx="4053571" cy="1310878"/>
          <a:chOff x="733185" y="58848"/>
          <a:chExt cx="3314365" cy="146173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33185" y="196804"/>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64</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,0%</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51277" y="58848"/>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69</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,0%</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910186" y="616147"/>
            <a:ext cx="878868" cy="256119"/>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55225" y="629730"/>
            <a:ext cx="533656" cy="260220"/>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+40,0</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01542" y="1308409"/>
            <a:ext cx="903231" cy="194495"/>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97704" y="1243577"/>
            <a:ext cx="483255" cy="277008"/>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-7,3</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1.xml><?xml version="1.0" encoding="utf-8"?>
<c:userShapes xmlns:c="http://schemas.openxmlformats.org/drawingml/2006/chart">
  <cdr:relSizeAnchor xmlns:cdr="http://schemas.openxmlformats.org/drawingml/2006/chartDrawing">
    <cdr:from>
      <cdr:x>0.15222</cdr:x>
      <cdr:y>0.03551</cdr:y>
    </cdr:from>
    <cdr:to>
      <cdr:x>0.88348</cdr:x>
      <cdr:y>0.78368</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51070" y="73934"/>
          <a:ext cx="4088634" cy="1557811"/>
          <a:chOff x="695872" y="82423"/>
          <a:chExt cx="3343034" cy="173709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695872" y="360100"/>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37</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,6%</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2633" y="82423"/>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41</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,1%</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910186" y="787077"/>
            <a:ext cx="933842" cy="373993"/>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72503" y="796756"/>
            <a:ext cx="533656"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+26,3</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1923150" y="1526489"/>
            <a:ext cx="903232" cy="21217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19313" y="1510640"/>
            <a:ext cx="483255"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+13,8</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2.xml><?xml version="1.0" encoding="utf-8"?>
<c:userShapes xmlns:c="http://schemas.openxmlformats.org/drawingml/2006/chart">
  <cdr:relSizeAnchor xmlns:cdr="http://schemas.openxmlformats.org/drawingml/2006/chartDrawing">
    <cdr:from>
      <cdr:x>0.15884</cdr:x>
      <cdr:y>0.02767</cdr:y>
    </cdr:from>
    <cdr:to>
      <cdr:x>0.88443</cdr:x>
      <cdr:y>0.73548</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88088" y="53955"/>
          <a:ext cx="4056902" cy="1380287"/>
          <a:chOff x="726157" y="60167"/>
          <a:chExt cx="3317112" cy="153912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26157" y="360107"/>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40</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,9%</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6996" y="60167"/>
            <a:ext cx="1296273" cy="2465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42</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,6%</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931819" y="854602"/>
            <a:ext cx="889868" cy="72144"/>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126296" y="695745"/>
            <a:ext cx="414885"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-4,8</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1924821" y="1287642"/>
            <a:ext cx="914539" cy="30042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19347" y="1290413"/>
            <a:ext cx="483255" cy="3088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+35,3</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3.xml><?xml version="1.0" encoding="utf-8"?>
<c:userShapes xmlns:c="http://schemas.openxmlformats.org/drawingml/2006/chart">
  <cdr:relSizeAnchor xmlns:cdr="http://schemas.openxmlformats.org/drawingml/2006/chartDrawing">
    <cdr:from>
      <cdr:x>0.15738</cdr:x>
      <cdr:y>0</cdr:y>
    </cdr:from>
    <cdr:to>
      <cdr:x>0.88443</cdr:x>
      <cdr:y>0.73757</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79924" y="0"/>
          <a:ext cx="4065066" cy="1465489"/>
          <a:chOff x="719482" y="-7"/>
          <a:chExt cx="3323766" cy="163413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19482" y="87985"/>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47</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,1%</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6975" y="-7"/>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48,5</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918514" y="585631"/>
            <a:ext cx="894511" cy="245806"/>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72520" y="564912"/>
            <a:ext cx="533656"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+11,4</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6652" y="1449925"/>
            <a:ext cx="914538" cy="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89078" y="1325248"/>
            <a:ext cx="483255" cy="308878"/>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0,0</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4.xml><?xml version="1.0" encoding="utf-8"?>
<c:userShapes xmlns:c="http://schemas.openxmlformats.org/drawingml/2006/chart">
  <cdr:relSizeAnchor xmlns:cdr="http://schemas.openxmlformats.org/drawingml/2006/chartDrawing">
    <cdr:from>
      <cdr:x>0.15738</cdr:x>
      <cdr:y>0.04062</cdr:y>
    </cdr:from>
    <cdr:to>
      <cdr:x>0.87657</cdr:x>
      <cdr:y>0.74923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79924" y="86723"/>
          <a:ext cx="4021139" cy="1512780"/>
          <a:chOff x="719482" y="96694"/>
          <a:chExt cx="3287840" cy="168686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19482" y="96694"/>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57</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,4%</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70213" y="816149"/>
            <a:ext cx="1237109"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28</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,9%</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886401" y="796297"/>
            <a:ext cx="915241" cy="557798"/>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72520" y="955586"/>
            <a:ext cx="516183"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-16,7</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2331" y="1464922"/>
            <a:ext cx="915241" cy="318635"/>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80435" y="1473593"/>
            <a:ext cx="483255"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-80,0</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5.xml><?xml version="1.0" encoding="utf-8"?>
<c:userShapes xmlns:c="http://schemas.openxmlformats.org/drawingml/2006/chart">
  <cdr:relSizeAnchor xmlns:cdr="http://schemas.openxmlformats.org/drawingml/2006/chartDrawing">
    <cdr:from>
      <cdr:x>0.15918</cdr:x>
      <cdr:y>0.06077</cdr:y>
    </cdr:from>
    <cdr:to>
      <cdr:x>0.87349</cdr:x>
      <cdr:y>0.68783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90025" y="127187"/>
          <a:ext cx="3993824" cy="1312409"/>
          <a:chOff x="727740" y="141794"/>
          <a:chExt cx="3265517" cy="1463469"/>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27740" y="141794"/>
            <a:ext cx="1204073"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53</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,0%</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74541" y="259901"/>
            <a:ext cx="1218716"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52</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,3%</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904778" y="639729"/>
            <a:ext cx="904337" cy="244328"/>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98451" y="629728"/>
            <a:ext cx="477293"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-30,0</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20482" y="1268421"/>
            <a:ext cx="914538" cy="336842"/>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06365" y="1284041"/>
            <a:ext cx="483255"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-2,0</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6.xml><?xml version="1.0" encoding="utf-8"?>
<c:userShapes xmlns:c="http://schemas.openxmlformats.org/drawingml/2006/chart">
  <cdr:relSizeAnchor xmlns:cdr="http://schemas.openxmlformats.org/drawingml/2006/chartDrawing">
    <cdr:from>
      <cdr:x>0.15316</cdr:x>
      <cdr:y>0.03506</cdr:y>
    </cdr:from>
    <cdr:to>
      <cdr:x>0.88443</cdr:x>
      <cdr:y>0.81724</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56355" y="73934"/>
          <a:ext cx="4088635" cy="1649499"/>
          <a:chOff x="700193" y="82423"/>
          <a:chExt cx="3343035" cy="183934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00193" y="257555"/>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34</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,5%</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6955" y="82423"/>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38</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,8%</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895055" y="877695"/>
            <a:ext cx="914516" cy="436983"/>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72502" y="967679"/>
            <a:ext cx="485935"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+18,9</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4507" y="1774035"/>
            <a:ext cx="911875" cy="2947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93400" y="1612887"/>
            <a:ext cx="483255"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-16,7</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7.xml><?xml version="1.0" encoding="utf-8"?>
<c:userShapes xmlns:c="http://schemas.openxmlformats.org/drawingml/2006/chart">
  <cdr:relSizeAnchor xmlns:cdr="http://schemas.openxmlformats.org/drawingml/2006/chartDrawing">
    <cdr:from>
      <cdr:x>0.15111</cdr:x>
      <cdr:y>0.0449</cdr:y>
    </cdr:from>
    <cdr:to>
      <cdr:x>0.88443</cdr:x>
      <cdr:y>0.78109</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44860" y="92776"/>
          <a:ext cx="4100131" cy="1521173"/>
          <a:chOff x="690811" y="103432"/>
          <a:chExt cx="3352459" cy="169624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690811" y="103432"/>
            <a:ext cx="1239055" cy="26340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36</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,7%</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6997" y="394207"/>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28</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,0%</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944848" y="1003365"/>
            <a:ext cx="881161" cy="0"/>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158014" y="837139"/>
            <a:ext cx="413419" cy="308877"/>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0,0</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0211" y="1497020"/>
            <a:ext cx="929169" cy="277012"/>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53920" y="1490800"/>
            <a:ext cx="430477"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-47,1</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8.xml><?xml version="1.0" encoding="utf-8"?>
<c:userShapes xmlns:c="http://schemas.openxmlformats.org/drawingml/2006/chart">
  <cdr:relSizeAnchor xmlns:cdr="http://schemas.openxmlformats.org/drawingml/2006/chartDrawing">
    <cdr:from>
      <cdr:x>0.15738</cdr:x>
      <cdr:y>0.01383</cdr:y>
    </cdr:from>
    <cdr:to>
      <cdr:x>0.88348</cdr:x>
      <cdr:y>0.73228</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79924" y="28582"/>
          <a:ext cx="4059781" cy="1484513"/>
          <a:chOff x="719482" y="31862"/>
          <a:chExt cx="3319445" cy="1655361"/>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19482" y="31862"/>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38</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,4%</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42654" y="390850"/>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29</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,2%</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896134" y="787077"/>
            <a:ext cx="917301" cy="220762"/>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81163" y="765289"/>
            <a:ext cx="533656"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-8,3</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6160" y="1433451"/>
            <a:ext cx="901598" cy="234498"/>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02042" y="1378344"/>
            <a:ext cx="483255" cy="308879"/>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-37,5</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9.xml><?xml version="1.0" encoding="utf-8"?>
<c:userShapes xmlns:c="http://schemas.openxmlformats.org/drawingml/2006/chart">
  <cdr:relSizeAnchor xmlns:cdr="http://schemas.openxmlformats.org/drawingml/2006/chartDrawing">
    <cdr:from>
      <cdr:x>0.49038</cdr:x>
      <cdr:y>0.41531</cdr:y>
    </cdr:from>
    <cdr:to>
      <cdr:x>0.7018</cdr:x>
      <cdr:y>0.60637</cdr:y>
    </cdr:to>
    <cdr:sp macro="" textlink="">
      <cdr:nvSpPr>
        <cdr:cNvPr id="3" name="TextBox 2">
          <a:extLst xmlns:a="http://schemas.openxmlformats.org/drawingml/2006/main">
            <a:ext uri="{FF2B5EF4-FFF2-40B4-BE49-F238E27FC236}">
              <a16:creationId xmlns:a16="http://schemas.microsoft.com/office/drawing/2014/main" id="{94514548-30FD-E154-0967-CDFE1F943769}"/>
            </a:ext>
          </a:extLst>
        </cdr:cNvPr>
        <cdr:cNvSpPr txBox="1"/>
      </cdr:nvSpPr>
      <cdr:spPr>
        <a:xfrm xmlns:a="http://schemas.openxmlformats.org/drawingml/2006/main">
          <a:off x="4933952" y="1946277"/>
          <a:ext cx="2127250" cy="895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drawings/drawing2.xml><?xml version="1.0" encoding="utf-8"?>
<c:userShapes xmlns:c="http://schemas.openxmlformats.org/drawingml/2006/chart">
  <cdr:relSizeAnchor xmlns:cdr="http://schemas.openxmlformats.org/drawingml/2006/chartDrawing">
    <cdr:from>
      <cdr:x>0.08988</cdr:x>
      <cdr:y>0.01641</cdr:y>
    </cdr:from>
    <cdr:to>
      <cdr:x>0.3521</cdr:x>
      <cdr:y>0.21781</cdr:y>
    </cdr:to>
    <cdr:sp macro="" textlink="">
      <cdr:nvSpPr>
        <cdr:cNvPr id="5" name="Rectangle 4">
          <a:extLst xmlns:a="http://schemas.openxmlformats.org/drawingml/2006/main">
            <a:ext uri="{FF2B5EF4-FFF2-40B4-BE49-F238E27FC236}">
              <a16:creationId xmlns:a16="http://schemas.microsoft.com/office/drawing/2014/main" id="{CE20363A-EE1C-9F69-1F59-8A157DF4B58F}"/>
            </a:ext>
          </a:extLst>
        </cdr:cNvPr>
        <cdr:cNvSpPr/>
      </cdr:nvSpPr>
      <cdr:spPr>
        <a:xfrm xmlns:a="http://schemas.openxmlformats.org/drawingml/2006/main">
          <a:off x="483755" y="50800"/>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+166,0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0.39071</cdr:x>
      <cdr:y>0.01641</cdr:y>
    </cdr:from>
    <cdr:to>
      <cdr:x>0.65294</cdr:x>
      <cdr:y>0.21781</cdr:y>
    </cdr:to>
    <cdr:sp macro="" textlink="">
      <cdr:nvSpPr>
        <cdr:cNvPr id="6" name="Rectangle 5">
          <a:extLst xmlns:a="http://schemas.openxmlformats.org/drawingml/2006/main">
            <a:ext uri="{FF2B5EF4-FFF2-40B4-BE49-F238E27FC236}">
              <a16:creationId xmlns:a16="http://schemas.microsoft.com/office/drawing/2014/main" id="{ADFB48EE-3771-D8F9-22AF-252BEC0A1C4E}"/>
            </a:ext>
          </a:extLst>
        </cdr:cNvPr>
        <cdr:cNvSpPr/>
      </cdr:nvSpPr>
      <cdr:spPr>
        <a:xfrm xmlns:a="http://schemas.openxmlformats.org/drawingml/2006/main">
          <a:off x="2103005" y="50800"/>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+135,5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0.68672</cdr:x>
      <cdr:y>0.01921</cdr:y>
    </cdr:from>
    <cdr:to>
      <cdr:x>0.94895</cdr:x>
      <cdr:y>0.22061</cdr:y>
    </cdr:to>
    <cdr:sp macro="" textlink="">
      <cdr:nvSpPr>
        <cdr:cNvPr id="7" name="Rectangle 6">
          <a:extLst xmlns:a="http://schemas.openxmlformats.org/drawingml/2006/main">
            <a:ext uri="{FF2B5EF4-FFF2-40B4-BE49-F238E27FC236}">
              <a16:creationId xmlns:a16="http://schemas.microsoft.com/office/drawing/2014/main" id="{D83E94F1-9FA0-F900-1298-270925C02EF7}"/>
            </a:ext>
          </a:extLst>
        </cdr:cNvPr>
        <cdr:cNvSpPr/>
      </cdr:nvSpPr>
      <cdr:spPr>
        <a:xfrm xmlns:a="http://schemas.openxmlformats.org/drawingml/2006/main">
          <a:off x="3696277" y="59459"/>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a:t>
          </a:r>
        </a:p>
        <a:p xmlns:a="http://schemas.openxmlformats.org/drawingml/2006/main">
          <a:pPr algn="ct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-145,2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0.08517</cdr:x>
      <cdr:y>0.01399</cdr:y>
    </cdr:from>
    <cdr:to>
      <cdr:x>0.34777</cdr:x>
      <cdr:y>0.21538</cdr:y>
    </cdr:to>
    <cdr:sp macro="" textlink="">
      <cdr:nvSpPr>
        <cdr:cNvPr id="5" name="Rectangle 4">
          <a:extLst xmlns:a="http://schemas.openxmlformats.org/drawingml/2006/main">
            <a:ext uri="{FF2B5EF4-FFF2-40B4-BE49-F238E27FC236}">
              <a16:creationId xmlns:a16="http://schemas.microsoft.com/office/drawing/2014/main" id="{F30AF7FE-7F79-DB4B-E2CC-C6E964FB1A9A}"/>
            </a:ext>
          </a:extLst>
        </cdr:cNvPr>
        <cdr:cNvSpPr/>
      </cdr:nvSpPr>
      <cdr:spPr>
        <a:xfrm xmlns:a="http://schemas.openxmlformats.org/drawingml/2006/main">
          <a:off x="457777" y="43295"/>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+464,5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0.38322</cdr:x>
      <cdr:y>0.01361</cdr:y>
    </cdr:from>
    <cdr:to>
      <cdr:x>0.64582</cdr:x>
      <cdr:y>0.21501</cdr:y>
    </cdr:to>
    <cdr:sp macro="" textlink="">
      <cdr:nvSpPr>
        <cdr:cNvPr id="6" name="Rectangle 5">
          <a:extLst xmlns:a="http://schemas.openxmlformats.org/drawingml/2006/main">
            <a:ext uri="{FF2B5EF4-FFF2-40B4-BE49-F238E27FC236}">
              <a16:creationId xmlns:a16="http://schemas.microsoft.com/office/drawing/2014/main" id="{3CE80803-A267-63A2-0CAA-88A2CCF9A008}"/>
            </a:ext>
          </a:extLst>
        </cdr:cNvPr>
        <cdr:cNvSpPr/>
      </cdr:nvSpPr>
      <cdr:spPr>
        <a:xfrm xmlns:a="http://schemas.openxmlformats.org/drawingml/2006/main">
          <a:off x="2059709" y="42141"/>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+531,2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0.68126</cdr:x>
      <cdr:y>0.01361</cdr:y>
    </cdr:from>
    <cdr:to>
      <cdr:x>0.94386</cdr:x>
      <cdr:y>0.21501</cdr:y>
    </cdr:to>
    <cdr:sp macro="" textlink="">
      <cdr:nvSpPr>
        <cdr:cNvPr id="7" name="Rectangle 6">
          <a:extLst xmlns:a="http://schemas.openxmlformats.org/drawingml/2006/main">
            <a:ext uri="{FF2B5EF4-FFF2-40B4-BE49-F238E27FC236}">
              <a16:creationId xmlns:a16="http://schemas.microsoft.com/office/drawing/2014/main" id="{01AC923A-1E40-C1A2-96D8-78AEEF74000C}"/>
            </a:ext>
          </a:extLst>
        </cdr:cNvPr>
        <cdr:cNvSpPr/>
      </cdr:nvSpPr>
      <cdr:spPr>
        <a:xfrm xmlns:a="http://schemas.openxmlformats.org/drawingml/2006/main">
          <a:off x="3661640" y="42141"/>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+125,8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0.12071</cdr:x>
      <cdr:y>0.0276</cdr:y>
    </cdr:from>
    <cdr:to>
      <cdr:x>0.35531</cdr:x>
      <cdr:y>0.229</cdr:y>
    </cdr:to>
    <cdr:sp macro="" textlink="">
      <cdr:nvSpPr>
        <cdr:cNvPr id="5" name="Rectangle 4">
          <a:extLst xmlns:a="http://schemas.openxmlformats.org/drawingml/2006/main">
            <a:ext uri="{FF2B5EF4-FFF2-40B4-BE49-F238E27FC236}">
              <a16:creationId xmlns:a16="http://schemas.microsoft.com/office/drawing/2014/main" id="{A350D10A-D1E9-A0A4-6350-7AA7467E6068}"/>
            </a:ext>
          </a:extLst>
        </cdr:cNvPr>
        <cdr:cNvSpPr/>
      </cdr:nvSpPr>
      <cdr:spPr>
        <a:xfrm xmlns:a="http://schemas.openxmlformats.org/drawingml/2006/main">
          <a:off x="726209" y="85437"/>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+46,0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0.41864</cdr:x>
      <cdr:y>0.0276</cdr:y>
    </cdr:from>
    <cdr:to>
      <cdr:x>0.65324</cdr:x>
      <cdr:y>0.229</cdr:y>
    </cdr:to>
    <cdr:sp macro="" textlink="">
      <cdr:nvSpPr>
        <cdr:cNvPr id="6" name="Rectangle 5">
          <a:extLst xmlns:a="http://schemas.openxmlformats.org/drawingml/2006/main">
            <a:ext uri="{FF2B5EF4-FFF2-40B4-BE49-F238E27FC236}">
              <a16:creationId xmlns:a16="http://schemas.microsoft.com/office/drawing/2014/main" id="{CFD12F9A-C76A-7F00-E4C1-569A840F6F61}"/>
            </a:ext>
          </a:extLst>
        </cdr:cNvPr>
        <cdr:cNvSpPr/>
      </cdr:nvSpPr>
      <cdr:spPr>
        <a:xfrm xmlns:a="http://schemas.openxmlformats.org/drawingml/2006/main">
          <a:off x="2518640" y="85436"/>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+118,5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0.71225</cdr:x>
      <cdr:y>0.0248</cdr:y>
    </cdr:from>
    <cdr:to>
      <cdr:x>0.94686</cdr:x>
      <cdr:y>0.2262</cdr:y>
    </cdr:to>
    <cdr:sp macro="" textlink="">
      <cdr:nvSpPr>
        <cdr:cNvPr id="7" name="Rectangle 6">
          <a:extLst xmlns:a="http://schemas.openxmlformats.org/drawingml/2006/main">
            <a:ext uri="{FF2B5EF4-FFF2-40B4-BE49-F238E27FC236}">
              <a16:creationId xmlns:a16="http://schemas.microsoft.com/office/drawing/2014/main" id="{CFD12F9A-C76A-7F00-E4C1-569A840F6F61}"/>
            </a:ext>
          </a:extLst>
        </cdr:cNvPr>
        <cdr:cNvSpPr/>
      </cdr:nvSpPr>
      <cdr:spPr>
        <a:xfrm xmlns:a="http://schemas.openxmlformats.org/drawingml/2006/main">
          <a:off x="4285096" y="76777"/>
          <a:ext cx="1411431" cy="623455"/>
        </a:xfrm>
        <a:prstGeom xmlns:a="http://schemas.openxmlformats.org/drawingml/2006/main" prst="rect">
          <a:avLst/>
        </a:prstGeom>
        <a:noFill xmlns:a="http://schemas.openxmlformats.org/drawingml/2006/main"/>
        <a:ln xmlns:a="http://schemas.openxmlformats.org/drawingml/2006/main">
          <a:solidFill>
            <a:schemeClr val="bg1">
              <a:lumMod val="75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10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+496,2 milj. </a:t>
          </a:r>
          <a:r>
            <a:rPr lang="lv-LV" sz="10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10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0.15688</cdr:x>
      <cdr:y>0.01121</cdr:y>
    </cdr:from>
    <cdr:to>
      <cdr:x>0.28883</cdr:x>
      <cdr:y>0.07183</cdr:y>
    </cdr:to>
    <cdr:sp macro="" textlink="">
      <cdr:nvSpPr>
        <cdr:cNvPr id="2" name="TextBox 2">
          <a:extLst xmlns:a="http://schemas.openxmlformats.org/drawingml/2006/main">
            <a:ext uri="{FF2B5EF4-FFF2-40B4-BE49-F238E27FC236}">
              <a16:creationId xmlns:a16="http://schemas.microsoft.com/office/drawing/2014/main" id="{4081EBBD-8B43-2EAE-0E6F-01A8775F9568}"/>
            </a:ext>
          </a:extLst>
        </cdr:cNvPr>
        <cdr:cNvSpPr txBox="1"/>
      </cdr:nvSpPr>
      <cdr:spPr>
        <a:xfrm xmlns:a="http://schemas.openxmlformats.org/drawingml/2006/main">
          <a:off x="903658" y="31931"/>
          <a:ext cx="760043" cy="17264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100" b="1" i="0">
              <a:solidFill>
                <a:schemeClr val="dk1"/>
              </a:solidFill>
              <a:effectLst/>
              <a:latin typeface="Times New Roman" panose="02020603050405020304" pitchFamily="18" charset="0"/>
              <a:ea typeface="+mn-ea"/>
              <a:cs typeface="Times New Roman" panose="02020603050405020304" pitchFamily="18" charset="0"/>
            </a:rPr>
            <a:t>Σ</a:t>
          </a:r>
          <a:r>
            <a:rPr lang="lv-LV" sz="1100" b="1" i="0">
              <a:solidFill>
                <a:schemeClr val="dk1"/>
              </a:solidFill>
              <a:effectLst/>
              <a:latin typeface="Times New Roman" panose="02020603050405020304" pitchFamily="18" charset="0"/>
              <a:ea typeface="+mn-ea"/>
              <a:cs typeface="Times New Roman" panose="02020603050405020304" pitchFamily="18" charset="0"/>
            </a:rPr>
            <a:t> = 168,4</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0.3641</cdr:x>
      <cdr:y>0.0108</cdr:y>
    </cdr:from>
    <cdr:to>
      <cdr:x>0.49553</cdr:x>
      <cdr:y>0.07127</cdr:y>
    </cdr:to>
    <cdr:sp macro="" textlink="">
      <cdr:nvSpPr>
        <cdr:cNvPr id="3" name="TextBox 2">
          <a:extLst xmlns:a="http://schemas.openxmlformats.org/drawingml/2006/main">
            <a:ext uri="{FF2B5EF4-FFF2-40B4-BE49-F238E27FC236}">
              <a16:creationId xmlns:a16="http://schemas.microsoft.com/office/drawing/2014/main" id="{D0190E13-EA2C-5050-C6EF-DCCBDFF4328F}"/>
            </a:ext>
          </a:extLst>
        </cdr:cNvPr>
        <cdr:cNvSpPr txBox="1"/>
      </cdr:nvSpPr>
      <cdr:spPr>
        <a:xfrm xmlns:a="http://schemas.openxmlformats.org/drawingml/2006/main">
          <a:off x="2097258" y="30772"/>
          <a:ext cx="757048" cy="17221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100" b="1" i="0">
              <a:solidFill>
                <a:schemeClr val="dk1"/>
              </a:solidFill>
              <a:effectLst/>
              <a:latin typeface="Times New Roman" panose="02020603050405020304" pitchFamily="18" charset="0"/>
              <a:ea typeface="+mn-ea"/>
              <a:cs typeface="Times New Roman" panose="02020603050405020304" pitchFamily="18" charset="0"/>
            </a:rPr>
            <a:t>Σ</a:t>
          </a:r>
          <a:r>
            <a:rPr lang="lv-LV" sz="1100" b="1" i="0">
              <a:solidFill>
                <a:schemeClr val="dk1"/>
              </a:solidFill>
              <a:effectLst/>
              <a:latin typeface="Times New Roman" panose="02020603050405020304" pitchFamily="18" charset="0"/>
              <a:ea typeface="+mn-ea"/>
              <a:cs typeface="Times New Roman" panose="02020603050405020304" pitchFamily="18" charset="0"/>
            </a:rPr>
            <a:t> = 162,3</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0.58802</cdr:x>
      <cdr:y>0.29653</cdr:y>
    </cdr:from>
    <cdr:to>
      <cdr:x>0.73542</cdr:x>
      <cdr:y>0.3632</cdr:y>
    </cdr:to>
    <cdr:sp macro="" textlink="">
      <cdr:nvSpPr>
        <cdr:cNvPr id="4" name="TextBox 2">
          <a:extLst xmlns:a="http://schemas.openxmlformats.org/drawingml/2006/main">
            <a:ext uri="{FF2B5EF4-FFF2-40B4-BE49-F238E27FC236}">
              <a16:creationId xmlns:a16="http://schemas.microsoft.com/office/drawing/2014/main" id="{D0190E13-EA2C-5050-C6EF-DCCBDFF4328F}"/>
            </a:ext>
          </a:extLst>
        </cdr:cNvPr>
        <cdr:cNvSpPr txBox="1"/>
      </cdr:nvSpPr>
      <cdr:spPr>
        <a:xfrm xmlns:a="http://schemas.openxmlformats.org/drawingml/2006/main">
          <a:off x="3387019" y="844517"/>
          <a:ext cx="849037" cy="1898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100" b="1" i="0">
              <a:solidFill>
                <a:schemeClr val="dk1"/>
              </a:solidFill>
              <a:effectLst/>
              <a:latin typeface="Times New Roman" panose="02020603050405020304" pitchFamily="18" charset="0"/>
              <a:ea typeface="+mn-ea"/>
              <a:cs typeface="Times New Roman" panose="02020603050405020304" pitchFamily="18" charset="0"/>
            </a:rPr>
            <a:t>Σ</a:t>
          </a:r>
          <a:r>
            <a:rPr lang="lv-LV" sz="1100" b="1" i="0">
              <a:solidFill>
                <a:schemeClr val="dk1"/>
              </a:solidFill>
              <a:effectLst/>
              <a:latin typeface="Times New Roman" panose="02020603050405020304" pitchFamily="18" charset="0"/>
              <a:ea typeface="+mn-ea"/>
              <a:cs typeface="Times New Roman" panose="02020603050405020304" pitchFamily="18" charset="0"/>
            </a:rPr>
            <a:t> = 84,8</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0.79759</cdr:x>
      <cdr:y>0.29475</cdr:y>
    </cdr:from>
    <cdr:to>
      <cdr:x>0.92763</cdr:x>
      <cdr:y>0.35177</cdr:y>
    </cdr:to>
    <cdr:sp macro="" textlink="">
      <cdr:nvSpPr>
        <cdr:cNvPr id="5" name="TextBox 2">
          <a:extLst xmlns:a="http://schemas.openxmlformats.org/drawingml/2006/main">
            <a:ext uri="{FF2B5EF4-FFF2-40B4-BE49-F238E27FC236}">
              <a16:creationId xmlns:a16="http://schemas.microsoft.com/office/drawing/2014/main" id="{D0190E13-EA2C-5050-C6EF-DCCBDFF4328F}"/>
            </a:ext>
          </a:extLst>
        </cdr:cNvPr>
        <cdr:cNvSpPr txBox="1"/>
      </cdr:nvSpPr>
      <cdr:spPr>
        <a:xfrm xmlns:a="http://schemas.openxmlformats.org/drawingml/2006/main">
          <a:off x="4594213" y="839438"/>
          <a:ext cx="749041" cy="16239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100" b="1" i="0">
              <a:solidFill>
                <a:schemeClr val="dk1"/>
              </a:solidFill>
              <a:effectLst/>
              <a:latin typeface="Times New Roman" panose="02020603050405020304" pitchFamily="18" charset="0"/>
              <a:ea typeface="+mn-ea"/>
              <a:cs typeface="Times New Roman" panose="02020603050405020304" pitchFamily="18" charset="0"/>
            </a:rPr>
            <a:t>Σ</a:t>
          </a:r>
          <a:r>
            <a:rPr lang="lv-LV" sz="1100" b="1" i="0">
              <a:solidFill>
                <a:schemeClr val="dk1"/>
              </a:solidFill>
              <a:effectLst/>
              <a:latin typeface="Times New Roman" panose="02020603050405020304" pitchFamily="18" charset="0"/>
              <a:ea typeface="+mn-ea"/>
              <a:cs typeface="Times New Roman" panose="02020603050405020304" pitchFamily="18" charset="0"/>
            </a:rPr>
            <a:t> = 82,5</a:t>
          </a:r>
          <a:endParaRPr lang="lv-LV" sz="1100">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0.15419</cdr:x>
      <cdr:y>0.04173</cdr:y>
    </cdr:from>
    <cdr:to>
      <cdr:x>0.88254</cdr:x>
      <cdr:y>0.74306</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62112" y="85123"/>
          <a:ext cx="4072307" cy="1430438"/>
          <a:chOff x="704901" y="94903"/>
          <a:chExt cx="3329665" cy="1595078"/>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04901" y="94903"/>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42</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,9%</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38293" y="280497"/>
            <a:ext cx="1296273" cy="29193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33</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,3%</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914500" y="719039"/>
            <a:ext cx="907547" cy="129666"/>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121939" y="659218"/>
            <a:ext cx="466934" cy="295577"/>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+16,7</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914501" y="1255384"/>
            <a:ext cx="886802" cy="434597"/>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93381" y="1292566"/>
            <a:ext cx="483255" cy="281088"/>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-33,3</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7.xml><?xml version="1.0" encoding="utf-8"?>
<c:userShapes xmlns:c="http://schemas.openxmlformats.org/drawingml/2006/chart">
  <cdr:relSizeAnchor xmlns:cdr="http://schemas.openxmlformats.org/drawingml/2006/chartDrawing">
    <cdr:from>
      <cdr:x>0.1522</cdr:x>
      <cdr:y>0.05081</cdr:y>
    </cdr:from>
    <cdr:to>
      <cdr:x>0.88244</cdr:x>
      <cdr:y>0.72978</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50977" y="107156"/>
          <a:ext cx="4082899" cy="1431823"/>
          <a:chOff x="695872" y="125609"/>
          <a:chExt cx="3338713" cy="1678779"/>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695872" y="496659"/>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50</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,0%</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38312" y="125609"/>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66</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,7%</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929505" y="914523"/>
            <a:ext cx="907857" cy="118352"/>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72511" y="836011"/>
            <a:ext cx="507819" cy="297006"/>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-20,0</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1914717" y="1505886"/>
            <a:ext cx="903331" cy="291268"/>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73965" y="1495508"/>
            <a:ext cx="539395" cy="3088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+100,0</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0.15566</cdr:x>
      <cdr:y>0.08359</cdr:y>
    </cdr:from>
    <cdr:to>
      <cdr:x>0.88254</cdr:x>
      <cdr:y>0.78543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70306" y="187319"/>
          <a:ext cx="4064113" cy="1572771"/>
          <a:chOff x="711612" y="208858"/>
          <a:chExt cx="3322972" cy="1753778"/>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11612" y="208858"/>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49</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,6%</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38311" y="447933"/>
            <a:ext cx="1296273" cy="29193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39</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,5%</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901549" y="948892"/>
            <a:ext cx="942488" cy="389359"/>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81146" y="949997"/>
            <a:ext cx="533656" cy="281799"/>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-11,9</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897228" y="1762244"/>
            <a:ext cx="916193" cy="18270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084745" y="1677196"/>
            <a:ext cx="483255" cy="28544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-33,3</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9.xml><?xml version="1.0" encoding="utf-8"?>
<c:userShapes xmlns:c="http://schemas.openxmlformats.org/drawingml/2006/chart">
  <cdr:relSizeAnchor xmlns:cdr="http://schemas.openxmlformats.org/drawingml/2006/chartDrawing">
    <cdr:from>
      <cdr:x>0.15514</cdr:x>
      <cdr:y>0.07892</cdr:y>
    </cdr:from>
    <cdr:to>
      <cdr:x>0.88254</cdr:x>
      <cdr:y>0.81993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867398" y="164325"/>
          <a:ext cx="4067021" cy="1542907"/>
          <a:chOff x="709222" y="183220"/>
          <a:chExt cx="3325363" cy="1720474"/>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709222" y="625943"/>
            <a:ext cx="1239055" cy="26340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26</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,4%</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738312" y="183220"/>
            <a:ext cx="1296273" cy="291933"/>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Novirze</a:t>
            </a:r>
            <a:r>
              <a:rPr lang="lv-LV" sz="90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r>
              <a:rPr lang="lv-LV" sz="9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36</a:t>
            </a:r>
            <a:r>
              <a:rPr lang="lv-LV" sz="900" b="1"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,4%</a:t>
            </a:r>
            <a:r>
              <a:rPr lang="lv-LV" sz="900" dirty="0">
                <a:solidFill>
                  <a:schemeClr val="tx1"/>
                </a:solidFill>
                <a:effectLst/>
                <a:latin typeface="Times New Roman" panose="02020603050405020304" pitchFamily="18" charset="0"/>
                <a:ea typeface="Verdana" panose="020B0604030504040204" pitchFamily="34" charset="0"/>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1882771" y="966573"/>
            <a:ext cx="952254" cy="371686"/>
          </a:xfrm>
          <a:prstGeom xmlns:a="http://schemas.openxmlformats.org/drawingml/2006/main" prst="straightConnector1">
            <a:avLst/>
          </a:prstGeom>
          <a:ln xmlns:a="http://schemas.openxmlformats.org/drawingml/2006/main" w="31750">
            <a:solidFill>
              <a:schemeClr val="accent5"/>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089790" y="967679"/>
            <a:ext cx="511865" cy="287694"/>
          </a:xfrm>
          <a:prstGeom xmlns:a="http://schemas.openxmlformats.org/drawingml/2006/main" prst="rect">
            <a:avLst/>
          </a:prstGeom>
          <a:solidFill xmlns:a="http://schemas.openxmlformats.org/drawingml/2006/main">
            <a:schemeClr val="bg1"/>
          </a:solidFill>
          <a:ln xmlns:a="http://schemas.openxmlformats.org/drawingml/2006/mai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5"/>
                </a:solidFill>
                <a:latin typeface="Times New Roman" panose="02020603050405020304" pitchFamily="18" charset="0"/>
                <a:cs typeface="Times New Roman" panose="02020603050405020304" pitchFamily="18" charset="0"/>
              </a:rPr>
              <a:t>+30,0</a:t>
            </a:r>
            <a:r>
              <a:rPr lang="lv-LV" sz="1000" b="1" baseline="0" dirty="0">
                <a:solidFill>
                  <a:schemeClr val="accent5"/>
                </a:solidFill>
                <a:latin typeface="Times New Roman" panose="02020603050405020304" pitchFamily="18" charset="0"/>
                <a:cs typeface="Times New Roman" panose="02020603050405020304" pitchFamily="18" charset="0"/>
              </a:rPr>
              <a:t>%</a:t>
            </a:r>
            <a:endParaRPr lang="lv-LV" sz="1000" b="1" dirty="0">
              <a:solidFill>
                <a:schemeClr val="accent5"/>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1901541" y="1633742"/>
            <a:ext cx="895757" cy="240484"/>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110668" y="1634410"/>
            <a:ext cx="483255" cy="269284"/>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dirty="0">
                <a:solidFill>
                  <a:schemeClr val="accent2"/>
                </a:solidFill>
                <a:latin typeface="Times New Roman" panose="02020603050405020304" pitchFamily="18" charset="0"/>
                <a:cs typeface="Times New Roman" panose="02020603050405020304" pitchFamily="18" charset="0"/>
              </a:rPr>
              <a:t>+75,0</a:t>
            </a:r>
            <a:r>
              <a:rPr lang="lv-LV" sz="1000" b="1" baseline="0" dirty="0">
                <a:solidFill>
                  <a:schemeClr val="accent2"/>
                </a:solidFill>
                <a:latin typeface="Times New Roman" panose="02020603050405020304" pitchFamily="18" charset="0"/>
                <a:cs typeface="Times New Roman" panose="02020603050405020304" pitchFamily="18" charset="0"/>
              </a:rPr>
              <a:t>%</a:t>
            </a:r>
            <a:endParaRPr lang="lv-LV" sz="1000" b="1" dirty="0">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B76A4-4ECC-4AED-8EDE-16187EB9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188</Pages>
  <Words>311265</Words>
  <Characters>177422</Characters>
  <Application>Microsoft Office Word</Application>
  <DocSecurity>0</DocSecurity>
  <Lines>1478</Lines>
  <Paragraphs>975</Paragraphs>
  <ScaleCrop>false</ScaleCrop>
  <HeadingPairs>
    <vt:vector size="2" baseType="variant">
      <vt:variant>
        <vt:lpstr>Title</vt:lpstr>
      </vt:variant>
      <vt:variant>
        <vt:i4>1</vt:i4>
      </vt:variant>
    </vt:vector>
  </HeadingPairs>
  <TitlesOfParts>
    <vt:vector size="1" baseType="lpstr">
      <vt:lpstr>Informatīvais ziņojums Par valsts pamatbudžeta un valsts speciālā budžeta bāzi un izdevumu pārskatīšanas rezultātiem 2024., 2025. un 2026. gadam</vt:lpstr>
    </vt:vector>
  </TitlesOfParts>
  <Manager>Klinta Stafecka</Manager>
  <Company>Finanšu ministrija</Company>
  <LinksUpToDate>false</LinksUpToDate>
  <CharactersWithSpaces>487712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pamatbudžeta un valsts speciālā budžeta bāzi un izdevumu pārskatīšanas rezultātiem 2024., 2025. un 2026. gadam</dc:title>
  <dc:subject>Informatīvais ziņojums</dc:subject>
  <dc:creator>Māra Stepanova</dc:creator>
  <cp:keywords/>
  <dc:description/>
  <cp:lastModifiedBy>Sandra Vītola</cp:lastModifiedBy>
  <cp:revision>58</cp:revision>
  <cp:lastPrinted>2023-08-08T10:31:00Z</cp:lastPrinted>
  <dcterms:created xsi:type="dcterms:W3CDTF">2023-08-08T09:06:00Z</dcterms:created>
  <dcterms:modified xsi:type="dcterms:W3CDTF">2023-08-10T12:31:00Z</dcterms:modified>
</cp:coreProperties>
</file>