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FD838" w14:textId="77777777" w:rsidR="00523C72" w:rsidRPr="00523C72" w:rsidRDefault="00523C72" w:rsidP="00523C72">
      <w:pPr>
        <w:keepNext/>
        <w:suppressAutoHyphens/>
        <w:spacing w:after="0" w:line="240" w:lineRule="auto"/>
        <w:jc w:val="center"/>
        <w:outlineLvl w:val="0"/>
        <w:rPr>
          <w:rFonts w:ascii="Times New Roman" w:eastAsia="Times New Roman" w:hAnsi="Times New Roman" w:cs="Times New Roman"/>
          <w:b/>
          <w:kern w:val="0"/>
          <w:sz w:val="24"/>
          <w:szCs w:val="20"/>
          <w:lang w:eastAsia="ar-SA"/>
          <w14:ligatures w14:val="none"/>
        </w:rPr>
      </w:pPr>
      <w:r w:rsidRPr="00523C72">
        <w:rPr>
          <w:rFonts w:ascii="Times New Roman" w:eastAsia="Times New Roman" w:hAnsi="Times New Roman" w:cs="Times New Roman"/>
          <w:b/>
          <w:kern w:val="0"/>
          <w:sz w:val="24"/>
          <w:szCs w:val="20"/>
          <w:lang w:eastAsia="ar-SA"/>
          <w14:ligatures w14:val="none"/>
        </w:rPr>
        <w:t>Informatīvais ziņojums par bijušajiem</w:t>
      </w:r>
    </w:p>
    <w:p w14:paraId="28C6BAFB" w14:textId="77777777" w:rsidR="00523C72" w:rsidRPr="00523C72" w:rsidRDefault="00523C72" w:rsidP="00523C72">
      <w:pPr>
        <w:keepNext/>
        <w:suppressAutoHyphens/>
        <w:spacing w:after="0" w:line="240" w:lineRule="auto"/>
        <w:jc w:val="center"/>
        <w:outlineLvl w:val="0"/>
        <w:rPr>
          <w:rFonts w:ascii="Times New Roman" w:eastAsia="Times New Roman" w:hAnsi="Times New Roman" w:cs="Times New Roman"/>
          <w:b/>
          <w:kern w:val="0"/>
          <w:sz w:val="24"/>
          <w:szCs w:val="24"/>
          <w:lang w:eastAsia="ar-SA"/>
          <w14:ligatures w14:val="none"/>
        </w:rPr>
      </w:pPr>
      <w:r w:rsidRPr="00523C72">
        <w:rPr>
          <w:rFonts w:ascii="Times New Roman" w:eastAsia="Times New Roman" w:hAnsi="Times New Roman" w:cs="Times New Roman"/>
          <w:b/>
          <w:kern w:val="0"/>
          <w:sz w:val="24"/>
          <w:szCs w:val="24"/>
          <w:lang w:eastAsia="ar-SA"/>
          <w14:ligatures w14:val="none"/>
        </w:rPr>
        <w:t>VDK darbiniekiem un informatoriem likumos noteikto ierobežojumu nepieciešamību un pamatotību</w:t>
      </w:r>
    </w:p>
    <w:p w14:paraId="6AFFF278" w14:textId="77777777" w:rsidR="00523C72" w:rsidRPr="00523C72" w:rsidRDefault="00523C72" w:rsidP="00523C72">
      <w:pPr>
        <w:suppressAutoHyphens/>
        <w:spacing w:after="0" w:line="240" w:lineRule="auto"/>
        <w:rPr>
          <w:rFonts w:ascii="Times New Roman" w:eastAsia="Times New Roman" w:hAnsi="Times New Roman" w:cs="Times New Roman"/>
          <w:kern w:val="0"/>
          <w:sz w:val="24"/>
          <w:szCs w:val="24"/>
          <w:lang w:eastAsia="ar-SA"/>
          <w14:ligatures w14:val="none"/>
        </w:rPr>
      </w:pPr>
    </w:p>
    <w:p w14:paraId="7805C3C7" w14:textId="77777777" w:rsidR="00523C72" w:rsidRPr="00523C72" w:rsidRDefault="00523C72" w:rsidP="00523C72">
      <w:pPr>
        <w:suppressAutoHyphens/>
        <w:spacing w:after="0" w:line="240" w:lineRule="auto"/>
        <w:rPr>
          <w:rFonts w:ascii="Times New Roman" w:eastAsia="Times New Roman" w:hAnsi="Times New Roman" w:cs="Times New Roman"/>
          <w:kern w:val="0"/>
          <w:sz w:val="24"/>
          <w:szCs w:val="24"/>
          <w:lang w:eastAsia="ar-SA"/>
          <w14:ligatures w14:val="none"/>
        </w:rPr>
      </w:pPr>
    </w:p>
    <w:p w14:paraId="10348F93" w14:textId="77777777" w:rsidR="00523C72" w:rsidRPr="00523C72" w:rsidRDefault="00523C72" w:rsidP="00523C72">
      <w:pPr>
        <w:keepNext/>
        <w:numPr>
          <w:ilvl w:val="0"/>
          <w:numId w:val="1"/>
        </w:numPr>
        <w:suppressAutoHyphens/>
        <w:spacing w:after="0" w:line="240" w:lineRule="auto"/>
        <w:jc w:val="center"/>
        <w:outlineLvl w:val="0"/>
        <w:rPr>
          <w:rFonts w:ascii="Times New Roman" w:eastAsia="Times New Roman" w:hAnsi="Times New Roman" w:cs="Times New Roman"/>
          <w:b/>
          <w:kern w:val="0"/>
          <w:sz w:val="24"/>
          <w:szCs w:val="24"/>
          <w:lang w:eastAsia="ar-SA"/>
          <w14:ligatures w14:val="none"/>
        </w:rPr>
      </w:pPr>
      <w:r w:rsidRPr="00523C72">
        <w:rPr>
          <w:rFonts w:ascii="Times New Roman" w:eastAsia="Times New Roman" w:hAnsi="Times New Roman" w:cs="Times New Roman"/>
          <w:b/>
          <w:kern w:val="0"/>
          <w:sz w:val="24"/>
          <w:szCs w:val="24"/>
          <w:lang w:eastAsia="ar-SA"/>
          <w14:ligatures w14:val="none"/>
        </w:rPr>
        <w:t>Ievads</w:t>
      </w:r>
    </w:p>
    <w:p w14:paraId="4B74ABA1"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p>
    <w:p w14:paraId="55E9264A"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p>
    <w:p w14:paraId="6C6EC6D0"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 xml:space="preserve">Ar Ministru prezidenta uzdevumu Nr. 2014-UZD-1688 Tieslietu ministrijai uzdots līdz 2024. gada 23. maijam sagatavot likuma “Par bijušās Valsts drošības komitejas dokumentu saglabāšanu, izmantošanu un personu sadarbības fakta ar VDK konstatēšanu” 17. panta otrajā daļā paredzēto </w:t>
      </w:r>
      <w:proofErr w:type="spellStart"/>
      <w:r w:rsidRPr="00523C72">
        <w:rPr>
          <w:rFonts w:ascii="Times New Roman" w:eastAsia="Times New Roman" w:hAnsi="Times New Roman" w:cs="Times New Roman"/>
          <w:kern w:val="0"/>
          <w:sz w:val="24"/>
          <w:szCs w:val="20"/>
          <w:lang w:eastAsia="ar-SA"/>
          <w14:ligatures w14:val="none"/>
        </w:rPr>
        <w:t>izvērtējumu</w:t>
      </w:r>
      <w:proofErr w:type="spellEnd"/>
      <w:r w:rsidRPr="00523C72">
        <w:rPr>
          <w:rFonts w:ascii="Times New Roman" w:eastAsia="Times New Roman" w:hAnsi="Times New Roman" w:cs="Times New Roman"/>
          <w:kern w:val="0"/>
          <w:sz w:val="24"/>
          <w:szCs w:val="20"/>
          <w:lang w:eastAsia="ar-SA"/>
          <w14:ligatures w14:val="none"/>
        </w:rPr>
        <w:t>. Saskaņā ar likuma “Par bijušās Valsts drošības komitejas dokumentu saglabāšanu, izmantošanu un personu sadarbības fakta ar VDK konstatēšanu” 17. panta otro daļu Ministru kabinets ne retāk kā ik pēc pieciem gadiem izvērtē VDK darbiniekiem un informatoriem likumos noteikto ierobežojumu nepieciešamību un pamatotību.</w:t>
      </w:r>
    </w:p>
    <w:p w14:paraId="70CE02E9"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 xml:space="preserve">Šis informatīvais ziņojums ir kārtējais normatīvajos aktos paredzēto ierobežojumu VDK darbiniekiem un informatoriem </w:t>
      </w:r>
      <w:proofErr w:type="spellStart"/>
      <w:r w:rsidRPr="00523C72">
        <w:rPr>
          <w:rFonts w:ascii="Times New Roman" w:eastAsia="Times New Roman" w:hAnsi="Times New Roman" w:cs="Times New Roman"/>
          <w:kern w:val="0"/>
          <w:sz w:val="24"/>
          <w:szCs w:val="20"/>
          <w:lang w:eastAsia="ar-SA"/>
          <w14:ligatures w14:val="none"/>
        </w:rPr>
        <w:t>izvērtējums</w:t>
      </w:r>
      <w:proofErr w:type="spellEnd"/>
      <w:r w:rsidRPr="00523C72">
        <w:rPr>
          <w:rFonts w:ascii="Times New Roman" w:eastAsia="Times New Roman" w:hAnsi="Times New Roman" w:cs="Times New Roman"/>
          <w:kern w:val="0"/>
          <w:sz w:val="24"/>
          <w:szCs w:val="20"/>
          <w:lang w:eastAsia="ar-SA"/>
          <w14:ligatures w14:val="none"/>
        </w:rPr>
        <w:t>. Iepriekš tāds tika veikts 2019. gadā, kurā tika secināts, ka nav saskatāms pamatojums tiesību aktos noteikto ierobežojumu VDK darbiniekiem un informatoriem atcelšanai.</w:t>
      </w:r>
      <w:r w:rsidRPr="00523C72">
        <w:rPr>
          <w:rFonts w:ascii="Times New Roman" w:eastAsia="Times New Roman" w:hAnsi="Times New Roman" w:cs="Times New Roman"/>
          <w:kern w:val="0"/>
          <w:sz w:val="24"/>
          <w:szCs w:val="20"/>
          <w:vertAlign w:val="superscript"/>
          <w:lang w:eastAsia="ar-SA"/>
          <w14:ligatures w14:val="none"/>
        </w:rPr>
        <w:footnoteReference w:id="1"/>
      </w:r>
    </w:p>
    <w:p w14:paraId="2A528D79"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 xml:space="preserve">Saskaņā ar likuma “Par bijušās Valsts drošības komitejas dokumentu saglabāšanu, izmantošanu un personu sadarbības fakta ar VDK konstatēšanu” 3. panta pirmo, otro un trešo daļu VDK darbinieki šā likuma izpratnē ir visi bijušie VDK štata, kā arī ārštata darbinieki — personas, kuras devušas piekrišanu slepenai sadarbībai ar VDK, un kuras par atlīdzību vai bez atlīdzības sniegušas VDK savus ziņojumus vai izpildījušas citus VDK dotos uzdevumus. VDK informatori ir personas, kuras, nebūdamas VDK darbinieki, apzināti sadarbojušās ar VDK, lai slepeni sniegtu informāciju par citām personām vai izpildītu citus VDK uzdevumus. Par VDK informatoriem minētās normas izpratnē atzīstami VDK aģenti, rezidenti, konspiratīvo dzīvokļu turētāji un uzticības personas. </w:t>
      </w:r>
    </w:p>
    <w:p w14:paraId="3C0A12EE"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Normatīvajos aktos, kuros iekļauti ierobežojumi bijušajiem VDK darbiniekiem un informatoriem, nereti personu loka, uz kuru attiecināmi ierobežojumi, formulējums daļēji pārklājas vai ir šaurāks salīdzinājumā ar likuma “Par bijušās Valsts drošības komitejas dokumentu saglabāšanu, izmantošanu un personu sadarbības fakta ar VDK konstatēšanu” 3. pantā norādīto personu loku. Konsekvences nolūkā šajā informatīvajā ziņojumā jēdzieni VDK darbinieks un informators lietoti likuma “Par bijušās Valsts drošības komitejas dokumentu saglabāšanu, izmantošanu un personu sadarbības fakta ar VDK konstatēšanu” 3. panta izpratnē, ja vien nav atrunas par atšķirībām šo jēdzienu izpratnē konkrētajā tiesību aktā.</w:t>
      </w:r>
    </w:p>
    <w:p w14:paraId="6985023C"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Izvērtējot tiesību aktos paredzēto ierobežojumu nepieciešamību un pamatotību, ministrijas, valsts drošības iestādes un citas institūcijas, kuru kompetencē esošās jomas regulējošajos normatīvajos aktos noteikti ierobežojumi bijušajiem VDK darbiniekiem un informatoriem, tika lūgtas sniegt viedokļus, kas pievienoti pielikumā.</w:t>
      </w:r>
    </w:p>
    <w:p w14:paraId="2EB3A678"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p>
    <w:p w14:paraId="3D0607EF"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p>
    <w:p w14:paraId="2B6B3A76"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p>
    <w:p w14:paraId="4BAE8427"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p>
    <w:p w14:paraId="0110AA5B"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p>
    <w:p w14:paraId="776424E5"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p>
    <w:p w14:paraId="57E85C1A"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p>
    <w:p w14:paraId="0646F6D5" w14:textId="77777777" w:rsidR="00523C72" w:rsidRPr="00523C72" w:rsidRDefault="00523C72" w:rsidP="00523C72">
      <w:pPr>
        <w:suppressAutoHyphens/>
        <w:spacing w:after="0" w:line="240" w:lineRule="auto"/>
        <w:jc w:val="both"/>
        <w:rPr>
          <w:rFonts w:ascii="Times New Roman" w:eastAsia="Times New Roman" w:hAnsi="Times New Roman" w:cs="Times New Roman"/>
          <w:kern w:val="0"/>
          <w:sz w:val="24"/>
          <w:szCs w:val="20"/>
          <w:lang w:eastAsia="ar-SA"/>
          <w14:ligatures w14:val="none"/>
        </w:rPr>
      </w:pPr>
    </w:p>
    <w:p w14:paraId="6B77FD4D"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p>
    <w:p w14:paraId="753D6E74" w14:textId="77777777" w:rsidR="00523C72" w:rsidRPr="00523C72" w:rsidRDefault="00523C72" w:rsidP="00523C72">
      <w:pPr>
        <w:numPr>
          <w:ilvl w:val="0"/>
          <w:numId w:val="2"/>
        </w:numPr>
        <w:suppressAutoHyphens/>
        <w:spacing w:after="0" w:line="240" w:lineRule="auto"/>
        <w:jc w:val="center"/>
        <w:rPr>
          <w:rFonts w:ascii="Times New Roman" w:eastAsia="Times New Roman" w:hAnsi="Times New Roman" w:cs="Times New Roman"/>
          <w:b/>
          <w:bCs/>
          <w:kern w:val="0"/>
          <w:sz w:val="24"/>
          <w:szCs w:val="20"/>
          <w:lang w:eastAsia="ar-SA"/>
          <w14:ligatures w14:val="none"/>
        </w:rPr>
      </w:pPr>
      <w:r w:rsidRPr="00523C72">
        <w:rPr>
          <w:rFonts w:ascii="Times New Roman" w:eastAsia="Times New Roman" w:hAnsi="Times New Roman" w:cs="Times New Roman"/>
          <w:b/>
          <w:bCs/>
          <w:kern w:val="0"/>
          <w:sz w:val="24"/>
          <w:szCs w:val="20"/>
          <w:lang w:eastAsia="ar-SA"/>
          <w14:ligatures w14:val="none"/>
        </w:rPr>
        <w:t>Bijušajiem VDK darbiniekiem un informatoriem normatīvajos aktos noteikto ierobežojumu mērķis un būtība</w:t>
      </w:r>
    </w:p>
    <w:p w14:paraId="50C33F2B" w14:textId="77777777" w:rsidR="00523C72" w:rsidRPr="00523C72" w:rsidRDefault="00523C72" w:rsidP="00523C72">
      <w:pPr>
        <w:suppressAutoHyphens/>
        <w:spacing w:after="0" w:line="240" w:lineRule="auto"/>
        <w:ind w:left="927"/>
        <w:rPr>
          <w:rFonts w:ascii="Times New Roman" w:eastAsia="Times New Roman" w:hAnsi="Times New Roman" w:cs="Times New Roman"/>
          <w:kern w:val="0"/>
          <w:sz w:val="24"/>
          <w:szCs w:val="20"/>
          <w:lang w:eastAsia="ar-SA"/>
          <w14:ligatures w14:val="none"/>
        </w:rPr>
      </w:pPr>
    </w:p>
    <w:p w14:paraId="6D5B252B"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Likumus, kuros ir ietverti ierobežojumi VDK darbiniekiem un informatoriem, var iedalīt vairākās grupās:</w:t>
      </w:r>
    </w:p>
    <w:p w14:paraId="5CADC693"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1) attiecībā uz tiesiskā statusa iegūšanu – Pilsonības likums, Repatriācijas likums, likums “Par Otrā pasaules kara dalībnieka statusu”;</w:t>
      </w:r>
    </w:p>
    <w:p w14:paraId="11A7DB3C"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2) attiecībā uz pasīvajām vēlēšanu tiesībām – Saeimas vēlēšanu likums, Pašvaldības domes vēlēšanu likums, Eiropas Parlamenta vēlēšanu likums;</w:t>
      </w:r>
    </w:p>
    <w:p w14:paraId="6F923A80"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3) attiecībā uz pieeju valsts noslēpumam – likums “Par valsts noslēpumu”;</w:t>
      </w:r>
    </w:p>
    <w:p w14:paraId="57DB390F"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 xml:space="preserve">4) attiecībā uz tiesībām ieņemt noteiktus amatus, tajā skaitā amatus iestādēs un institūcijās, kur paredzēta pieeja valsts noslēpumam saskaņā ar likumu “Par valsts noslēpumu”, kā arī – Valsts prezidenta ievēlēšanas likums, likums “Par tiesu varu”, Prokuratūras likums, Valsts drošības iestāžu likums, Valsts kontroles likums, Valsts civildienesta likums, Militārā dienesta likums, Zemessardzes likums, Diplomātiskā un konsulārā dienesta likums, likums “Par Valsts ieņēmumu dienestu”, Korupcijas novēršanas un apkarošanas biroja likums, Sporta likums; </w:t>
      </w:r>
    </w:p>
    <w:p w14:paraId="1028D855"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5) cita veida ierobežojumi – likums “Par valsts pensijām”, likums “Par privatizācijas sertifikātiem” (šajā likumā paredzētais ierobežojums vairs netiek piemērots).</w:t>
      </w:r>
    </w:p>
    <w:p w14:paraId="09FFED3B"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4"/>
          <w:lang w:eastAsia="ar-SA"/>
          <w14:ligatures w14:val="none"/>
        </w:rPr>
      </w:pPr>
      <w:r w:rsidRPr="00523C72">
        <w:rPr>
          <w:rFonts w:ascii="Times New Roman" w:eastAsia="Times New Roman" w:hAnsi="Times New Roman" w:cs="Times New Roman"/>
          <w:kern w:val="0"/>
          <w:sz w:val="24"/>
          <w:szCs w:val="20"/>
          <w:lang w:eastAsia="ar-SA"/>
          <w14:ligatures w14:val="none"/>
        </w:rPr>
        <w:t xml:space="preserve">Pirmajās četrās grupās minētie ierobežojumi VDK darbiniekiem un informatoriem ir vērsti uz demokrātiskas valsts iekārtas un sabiedrības aizsardzību. </w:t>
      </w:r>
      <w:r w:rsidRPr="00523C72">
        <w:rPr>
          <w:rFonts w:ascii="Times New Roman" w:eastAsia="Times New Roman" w:hAnsi="Times New Roman" w:cs="Times New Roman"/>
          <w:kern w:val="0"/>
          <w:sz w:val="24"/>
          <w:szCs w:val="24"/>
          <w:lang w:eastAsia="ar-SA"/>
          <w14:ligatures w14:val="none"/>
        </w:rPr>
        <w:t>Latvijas Republikas Satversmes tiesas (turpmāk – Satversmes tiesa) judikatūrā vairākkārt atzīts VDK darbiniekiem uzlikto ierobežojumu samērīgums un atbilstība Latvijas Republikas Satversmei</w:t>
      </w:r>
      <w:r w:rsidRPr="00523C72">
        <w:rPr>
          <w:rFonts w:ascii="Times New Roman" w:eastAsia="Times New Roman" w:hAnsi="Times New Roman" w:cs="Times New Roman"/>
          <w:kern w:val="0"/>
          <w:sz w:val="24"/>
          <w:szCs w:val="24"/>
          <w:vertAlign w:val="superscript"/>
          <w:lang w:eastAsia="ar-SA"/>
          <w14:ligatures w14:val="none"/>
        </w:rPr>
        <w:footnoteReference w:id="2"/>
      </w:r>
      <w:r w:rsidRPr="00523C72">
        <w:rPr>
          <w:rFonts w:ascii="Times New Roman" w:eastAsia="Times New Roman" w:hAnsi="Times New Roman" w:cs="Times New Roman"/>
          <w:kern w:val="0"/>
          <w:sz w:val="24"/>
          <w:szCs w:val="24"/>
          <w:lang w:eastAsia="ar-SA"/>
          <w14:ligatures w14:val="none"/>
        </w:rPr>
        <w:t>, atzīstot, ka valsts ir jāaizsargā no tiem, kuri ar savu darbību pierādījuši, ka nav bijuši lojāli pret demokrātisko valsts iekārtu, tas ir, no personām, kuras strādājušas okupācijas varas īstenotās tiešās apspiešanas un tiešo represiju aparātā.</w:t>
      </w:r>
      <w:r w:rsidRPr="00523C72">
        <w:rPr>
          <w:rFonts w:ascii="Times New Roman" w:eastAsia="Times New Roman" w:hAnsi="Times New Roman" w:cs="Times New Roman"/>
          <w:kern w:val="0"/>
          <w:sz w:val="24"/>
          <w:szCs w:val="24"/>
          <w:vertAlign w:val="superscript"/>
          <w:lang w:eastAsia="ar-SA"/>
          <w14:ligatures w14:val="none"/>
        </w:rPr>
        <w:footnoteReference w:id="3"/>
      </w:r>
      <w:r w:rsidRPr="00523C72">
        <w:rPr>
          <w:rFonts w:ascii="Times New Roman" w:eastAsia="Times New Roman" w:hAnsi="Times New Roman" w:cs="Times New Roman"/>
          <w:kern w:val="0"/>
          <w:sz w:val="24"/>
          <w:szCs w:val="24"/>
          <w:lang w:eastAsia="ar-SA"/>
          <w14:ligatures w14:val="none"/>
        </w:rPr>
        <w:t xml:space="preserve"> </w:t>
      </w:r>
    </w:p>
    <w:p w14:paraId="3A3C9453"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Satversmes tiesa arī atzinusi, ka, neskatoties uz normu atbilstības Latvijas Republikas Satversmei konstatēšanu, laikā gaitā VDK darbiniekiem uzliktie ierobežojumi būtu obligāti pārskatāmi, un, ja nav iespējams tos atcelt, būtu paredzama procedūra, saskaņā ar kuru varētu pieļaut izņēmumus personām, kas acīmredzami nevar apdraudēt demokrātiskās vērtības.</w:t>
      </w:r>
      <w:r w:rsidRPr="00523C72">
        <w:rPr>
          <w:rFonts w:ascii="Times New Roman" w:eastAsia="Times New Roman" w:hAnsi="Times New Roman" w:cs="Times New Roman"/>
          <w:kern w:val="0"/>
          <w:sz w:val="24"/>
          <w:szCs w:val="24"/>
          <w:vertAlign w:val="superscript"/>
          <w:lang w:eastAsia="lv-LV"/>
          <w14:ligatures w14:val="none"/>
        </w:rPr>
        <w:footnoteReference w:id="4"/>
      </w:r>
      <w:r w:rsidRPr="00523C72">
        <w:rPr>
          <w:rFonts w:ascii="Times New Roman" w:eastAsia="Times New Roman" w:hAnsi="Times New Roman" w:cs="Times New Roman"/>
          <w:kern w:val="0"/>
          <w:sz w:val="24"/>
          <w:szCs w:val="24"/>
          <w:lang w:eastAsia="lv-LV"/>
          <w14:ligatures w14:val="none"/>
        </w:rPr>
        <w:t xml:space="preserve"> Vienlaikus uzsverams Satversmes tiesas lietā Nr. 2017-25-01 norādītais fakts, ka būtiska daļa sabiedrības joprojām ir atvērta totalitārām idejām un pozitīvi vērtē PSRS okupācijas periodu.</w:t>
      </w:r>
      <w:r w:rsidRPr="00523C72">
        <w:rPr>
          <w:rFonts w:ascii="Times New Roman" w:eastAsia="Times New Roman" w:hAnsi="Times New Roman" w:cs="Times New Roman"/>
          <w:kern w:val="0"/>
          <w:sz w:val="24"/>
          <w:szCs w:val="24"/>
          <w:vertAlign w:val="superscript"/>
          <w:lang w:eastAsia="lv-LV"/>
          <w14:ligatures w14:val="none"/>
        </w:rPr>
        <w:footnoteReference w:id="5"/>
      </w:r>
      <w:r w:rsidRPr="00523C72">
        <w:rPr>
          <w:rFonts w:ascii="Times New Roman" w:eastAsia="Times New Roman" w:hAnsi="Times New Roman" w:cs="Times New Roman"/>
          <w:kern w:val="0"/>
          <w:sz w:val="24"/>
          <w:szCs w:val="24"/>
          <w:lang w:eastAsia="lv-LV"/>
          <w14:ligatures w14:val="none"/>
        </w:rPr>
        <w:t xml:space="preserve"> Minēto apstiprina arī valsts drošības iestāžu sniegtā informācija par šā brīža situāciju, kas izklāstīta šā ziņojuma nākamajā sadaļā. </w:t>
      </w:r>
    </w:p>
    <w:p w14:paraId="41130E37"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 xml:space="preserve">Normatīvajos aktos paredzētie ierobežojumi VDK darbiniekiem un informatoriem skar nacionālās drošības intereses un, vērtējot ierobežojumu nepieciešamību un samērīgumu, ir būtiski ņemt vērā aktuālo ģeopolitisko situāciju. Latvijas robežvalsts – Krievijas Federācijas –  uzsāktais militārais uzbrukums Ukrainai liek īpašu uzmanību veltīt valsts drošības aizsardzībai un domāt par jauniem valsts drošības aizsardzības pasākumiem. Šāda situācija no valsts prasa piemērot </w:t>
      </w:r>
      <w:proofErr w:type="spellStart"/>
      <w:r w:rsidRPr="00523C72">
        <w:rPr>
          <w:rFonts w:ascii="Times New Roman" w:eastAsia="Times New Roman" w:hAnsi="Times New Roman" w:cs="Times New Roman"/>
          <w:kern w:val="0"/>
          <w:sz w:val="24"/>
          <w:szCs w:val="24"/>
          <w:lang w:eastAsia="lv-LV"/>
          <w14:ligatures w14:val="none"/>
        </w:rPr>
        <w:t>pašaizsargājošās</w:t>
      </w:r>
      <w:proofErr w:type="spellEnd"/>
      <w:r w:rsidRPr="00523C72">
        <w:rPr>
          <w:rFonts w:ascii="Times New Roman" w:eastAsia="Times New Roman" w:hAnsi="Times New Roman" w:cs="Times New Roman"/>
          <w:kern w:val="0"/>
          <w:sz w:val="24"/>
          <w:szCs w:val="24"/>
          <w:lang w:eastAsia="lv-LV"/>
          <w14:ligatures w14:val="none"/>
        </w:rPr>
        <w:t xml:space="preserve"> demokrātijas instrumentus, ar kuru palīdzību demokrātiska tiesiska valsts aizsargā tās konstitucionālos orgānus un valsts drošības iestādes no personām, kuras ar savu rīcību apdraud Latvijas valsts neatkarību un demokrātiskas tiesiskas valsts principus.</w:t>
      </w:r>
    </w:p>
    <w:p w14:paraId="13153A8F"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 xml:space="preserve"> Ņemot vērā šā brīža ģeopolitiskos apstākļus, gan Saeima, gan Ministru kabinets ir pieņēmis vairākus normatīvos aktus</w:t>
      </w:r>
      <w:r w:rsidRPr="00523C72">
        <w:rPr>
          <w:rFonts w:ascii="Times New Roman" w:eastAsia="Times New Roman" w:hAnsi="Times New Roman" w:cs="Times New Roman"/>
          <w:kern w:val="0"/>
          <w:sz w:val="24"/>
          <w:szCs w:val="24"/>
          <w:vertAlign w:val="superscript"/>
          <w:lang w:eastAsia="lv-LV"/>
          <w14:ligatures w14:val="none"/>
        </w:rPr>
        <w:footnoteReference w:id="6"/>
      </w:r>
      <w:r w:rsidRPr="00523C72">
        <w:rPr>
          <w:rFonts w:ascii="Times New Roman" w:eastAsia="Times New Roman" w:hAnsi="Times New Roman" w:cs="Times New Roman"/>
          <w:kern w:val="0"/>
          <w:sz w:val="24"/>
          <w:szCs w:val="24"/>
          <w:lang w:eastAsia="lv-LV"/>
          <w14:ligatures w14:val="none"/>
        </w:rPr>
        <w:t xml:space="preserve">, lai stiprinātu valsts drošību un pēc iespējas mazinātu </w:t>
      </w:r>
      <w:r w:rsidRPr="00523C72">
        <w:rPr>
          <w:rFonts w:ascii="Times New Roman" w:eastAsia="Times New Roman" w:hAnsi="Times New Roman" w:cs="Times New Roman"/>
          <w:kern w:val="0"/>
          <w:sz w:val="24"/>
          <w:szCs w:val="24"/>
          <w:lang w:eastAsia="lv-LV"/>
          <w14:ligatures w14:val="none"/>
        </w:rPr>
        <w:lastRenderedPageBreak/>
        <w:t>apdraudējumu, ko rada un var radīt Krievijas Federācija un tās īstenotā agresīvā politika. Jebkāda normatīvā regulējuma vājināšana ar nacionālo drošību saistītos jautājumos šobrīd būtu vērtējama ļoti piesardzīgi.</w:t>
      </w:r>
    </w:p>
    <w:p w14:paraId="30744CFA"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 xml:space="preserve">Kā 2024. gada 15. februāra spriedumā lietā Nr. 2023-04-0106  norādījusi Satversmes tiesa, vērtējot tiesību normā ietvertu personas </w:t>
      </w:r>
      <w:proofErr w:type="spellStart"/>
      <w:r w:rsidRPr="00523C72">
        <w:rPr>
          <w:rFonts w:ascii="Times New Roman" w:eastAsia="Times New Roman" w:hAnsi="Times New Roman" w:cs="Times New Roman"/>
          <w:kern w:val="0"/>
          <w:sz w:val="24"/>
          <w:szCs w:val="24"/>
          <w:lang w:eastAsia="lv-LV"/>
          <w14:ligatures w14:val="none"/>
        </w:rPr>
        <w:t>pamattiesību</w:t>
      </w:r>
      <w:proofErr w:type="spellEnd"/>
      <w:r w:rsidRPr="00523C72">
        <w:rPr>
          <w:rFonts w:ascii="Times New Roman" w:eastAsia="Times New Roman" w:hAnsi="Times New Roman" w:cs="Times New Roman"/>
          <w:kern w:val="0"/>
          <w:sz w:val="24"/>
          <w:szCs w:val="24"/>
          <w:lang w:eastAsia="lv-LV"/>
          <w14:ligatures w14:val="none"/>
        </w:rPr>
        <w:t xml:space="preserve"> ierobežojumu, ir jāņem vērā ģeopolitiskais konteksts. Ja tiesību normas, ņemot vērā ģeopolitisko kontekstu, ir pieņemtas nolūkā mazināt Latvijas valsts neatkarības un demokrātiskas valsts iekārtas apdraudējuma riskus, tad tām ir leģitīmi mērķi, jo tās vērstas gan uz demokrātiskas valsts iekārtas, gan sabiedrības drošības aizsardzību. Šādu Satversmes tiesas secinājumu var attiecināt arī uz jau esošu ierobežojumu, tostarp ierobežojumu bijušajiem VDK darbiniekiem un informatoriem, saglabāšanas leģitīmo mērķi.</w:t>
      </w:r>
    </w:p>
    <w:p w14:paraId="78B9E22B"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 xml:space="preserve">Lai arī kopš komunistiskā režīma sabrukuma ir pagājuši vairāk kā trīsdesmit gadi, un valsts ir publiskojusi VDK aģentu kartotēkas, kas nav pilnīgas, aizdomas un uzticība personām, kas darbojās komunistiskā režīma drošības dienestos vai bija VDK darbinieki un informatori, nav vairojusies (skatīt nākamo informatīvā ziņojuma sadaļu). </w:t>
      </w:r>
    </w:p>
    <w:p w14:paraId="0E26732D"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 xml:space="preserve">Uzsverams, ka valstij pieejamo VDK dokumentu klāsts ne vienmēr var nodrošināt iespēju izvērtēt katra sadarbības ar VDK fakta raksturojumu un līdz ar to personas lojalitātes riska pakāpi. Tādējādi likumos paredzētie ierobežojumi attiecināti uz noteiktām personu grupām, kuras strādājušas VDK vai sadarbojušās ar to, un to ar spriedumu konstatējusi tiesa saskaņā ar  likumu “Par bijušās Valsts drošības komitejas dokumentu saglabāšanu, izmantošanu un personu sadarbības fakta ar VDK konstatēšanu”. Vienlaikus personām likumos ir paredzēti tiesību aizsardzības līdzekļi, kas ļauj pārsūdzēt lēmumus, kuru rezultātā tām tiek liegts tiesisks statuss, amats, pieeja valsts noslēpumam vai tiek citādi skartas personas intereses vai tiesības. </w:t>
      </w:r>
    </w:p>
    <w:p w14:paraId="741D3A05"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4"/>
          <w:lang w:eastAsia="ar-SA"/>
          <w14:ligatures w14:val="none"/>
        </w:rPr>
      </w:pPr>
      <w:r w:rsidRPr="00523C72">
        <w:rPr>
          <w:rFonts w:ascii="Times New Roman" w:eastAsia="Times New Roman" w:hAnsi="Times New Roman" w:cs="Times New Roman"/>
          <w:kern w:val="0"/>
          <w:sz w:val="24"/>
          <w:szCs w:val="24"/>
          <w:lang w:eastAsia="ar-SA"/>
          <w14:ligatures w14:val="none"/>
        </w:rPr>
        <w:t xml:space="preserve">Visās iepriekš minētajās paredzēto ierobežojumu VDK </w:t>
      </w:r>
      <w:bookmarkStart w:id="0" w:name="_Hlk163478857"/>
      <w:r w:rsidRPr="00523C72">
        <w:rPr>
          <w:rFonts w:ascii="Times New Roman" w:eastAsia="Times New Roman" w:hAnsi="Times New Roman" w:cs="Times New Roman"/>
          <w:kern w:val="0"/>
          <w:sz w:val="24"/>
          <w:szCs w:val="24"/>
          <w:lang w:eastAsia="ar-SA"/>
          <w14:ligatures w14:val="none"/>
        </w:rPr>
        <w:t>darbiniekiem un informatorie</w:t>
      </w:r>
      <w:bookmarkEnd w:id="0"/>
      <w:r w:rsidRPr="00523C72">
        <w:rPr>
          <w:rFonts w:ascii="Times New Roman" w:eastAsia="Times New Roman" w:hAnsi="Times New Roman" w:cs="Times New Roman"/>
          <w:kern w:val="0"/>
          <w:sz w:val="24"/>
          <w:szCs w:val="24"/>
          <w:lang w:eastAsia="ar-SA"/>
          <w14:ligatures w14:val="none"/>
        </w:rPr>
        <w:t>m grupās leģitīmais mērķis izriet arī no Satversmes ievadā ietvertās konstitucionālās identitātes nesaderības ar komunistisko un nacistisko totalitāro režīmu un to noziegumiem. Satversmes ievadā norādīts, ka Latvijas tauta neatzina okupācijas režīmus, pretojās tiem un atguva brīvību, 1990. gada 4. maijā atjaunojot valstisko neatkarību uz valsts nepārtrauktības pamata. Tā godina savus brīvības cīnītājus, piemin svešo varu upurus, nosoda komunistisko un nacistisko totalitāro režīmu un to noziegumus.</w:t>
      </w:r>
    </w:p>
    <w:p w14:paraId="2047C642"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Eiropas Cilvēktiesību tiesa (turpmāk – ECT) savā praksē ir atzinusi, ka ierobežojumi bijušajiem VDK darbiniekiem ieņemt noteiktus amatus atzīstami par tādiem, kas nepieciešami, lai nodrošinātu valsts drošību, labklājību, kā arī citu cilvēku tiesību aizsardzību.</w:t>
      </w:r>
      <w:r w:rsidRPr="00523C72">
        <w:rPr>
          <w:rFonts w:ascii="Times New Roman" w:eastAsia="Times New Roman" w:hAnsi="Times New Roman" w:cs="Times New Roman"/>
          <w:kern w:val="0"/>
          <w:sz w:val="24"/>
          <w:szCs w:val="24"/>
          <w:vertAlign w:val="superscript"/>
          <w:lang w:eastAsia="lv-LV"/>
          <w14:ligatures w14:val="none"/>
        </w:rPr>
        <w:footnoteReference w:id="7"/>
      </w:r>
      <w:r w:rsidRPr="00523C72">
        <w:rPr>
          <w:rFonts w:ascii="Times New Roman" w:eastAsia="Times New Roman" w:hAnsi="Times New Roman" w:cs="Times New Roman"/>
          <w:kern w:val="0"/>
          <w:sz w:val="24"/>
          <w:szCs w:val="24"/>
          <w:lang w:eastAsia="lv-LV"/>
          <w14:ligatures w14:val="none"/>
        </w:rPr>
        <w:t xml:space="preserve"> Bijušo drošības dienestu darbinieku darbība valsts institūcijās var mazināt uzticēšanos demokrātiskām institūcijām. Jāņem vērā, ka valstij pieejamo VDK dokumentu klāsts ne vienmēr var nodrošināt iespēju izvērtēt katra sadarbības ar VDK fakta raksturojumu un līdz ar to personas lojalitātes riska pakāpi. ECT 2018. gada 11. janvāra spriedumā “</w:t>
      </w:r>
      <w:proofErr w:type="spellStart"/>
      <w:r w:rsidRPr="00523C72">
        <w:rPr>
          <w:rFonts w:ascii="Times New Roman" w:eastAsia="Times New Roman" w:hAnsi="Times New Roman" w:cs="Times New Roman"/>
          <w:kern w:val="0"/>
          <w:sz w:val="24"/>
          <w:szCs w:val="24"/>
          <w:lang w:eastAsia="lv-LV"/>
          <w14:ligatures w14:val="none"/>
        </w:rPr>
        <w:t>Anchev</w:t>
      </w:r>
      <w:proofErr w:type="spellEnd"/>
      <w:r w:rsidRPr="00523C72">
        <w:rPr>
          <w:rFonts w:ascii="Times New Roman" w:eastAsia="Times New Roman" w:hAnsi="Times New Roman" w:cs="Times New Roman"/>
          <w:kern w:val="0"/>
          <w:sz w:val="24"/>
          <w:szCs w:val="24"/>
          <w:lang w:eastAsia="lv-LV"/>
          <w14:ligatures w14:val="none"/>
        </w:rPr>
        <w:t xml:space="preserve"> v. </w:t>
      </w:r>
      <w:proofErr w:type="spellStart"/>
      <w:r w:rsidRPr="00523C72">
        <w:rPr>
          <w:rFonts w:ascii="Times New Roman" w:eastAsia="Times New Roman" w:hAnsi="Times New Roman" w:cs="Times New Roman"/>
          <w:kern w:val="0"/>
          <w:sz w:val="24"/>
          <w:szCs w:val="24"/>
          <w:lang w:eastAsia="lv-LV"/>
          <w14:ligatures w14:val="none"/>
        </w:rPr>
        <w:t>Bulgaria</w:t>
      </w:r>
      <w:proofErr w:type="spellEnd"/>
      <w:r w:rsidRPr="00523C72">
        <w:rPr>
          <w:rFonts w:ascii="Times New Roman" w:eastAsia="Times New Roman" w:hAnsi="Times New Roman" w:cs="Times New Roman"/>
          <w:kern w:val="0"/>
          <w:sz w:val="24"/>
          <w:szCs w:val="24"/>
          <w:lang w:eastAsia="lv-LV"/>
          <w14:ligatures w14:val="none"/>
        </w:rPr>
        <w:t>” atzina, ka valstis pašas izvēlas, kādā veidā vairot uzticību valsts varas institūcijām, tādējādi aizsargājot nacionālo drošību.</w:t>
      </w:r>
      <w:r w:rsidRPr="00523C72">
        <w:rPr>
          <w:rFonts w:ascii="Times New Roman" w:eastAsia="Times New Roman" w:hAnsi="Times New Roman" w:cs="Times New Roman"/>
          <w:kern w:val="0"/>
          <w:sz w:val="24"/>
          <w:szCs w:val="24"/>
          <w:vertAlign w:val="superscript"/>
          <w:lang w:eastAsia="lv-LV"/>
          <w14:ligatures w14:val="none"/>
        </w:rPr>
        <w:footnoteReference w:id="8"/>
      </w:r>
      <w:r w:rsidRPr="00523C72">
        <w:rPr>
          <w:rFonts w:ascii="Times New Roman" w:eastAsia="Times New Roman" w:hAnsi="Times New Roman" w:cs="Times New Roman"/>
          <w:kern w:val="0"/>
          <w:sz w:val="24"/>
          <w:szCs w:val="24"/>
          <w:lang w:eastAsia="lv-LV"/>
          <w14:ligatures w14:val="none"/>
        </w:rPr>
        <w:t xml:space="preserve"> ECT norādīja, ka valstīm, kas izveidojušās no nedemokrātiskiem režīmiem, ir plaša rīcības brīvība, izvēloties, kā rīkoties ar šo režīmu mantojumu, šo valstu varas iestādes, kurām ir tieša demokrātiska leģitimitāte un augstākās zināšanas par savas valsts vēsturisko un politisko pieredzi, ir labākas nekā ECT, lai izlemtu, kādi pasākumi ir nepieciešami sabiedrības interesēm.</w:t>
      </w:r>
      <w:r w:rsidRPr="00523C72">
        <w:rPr>
          <w:rFonts w:ascii="Times New Roman" w:eastAsia="Times New Roman" w:hAnsi="Times New Roman" w:cs="Times New Roman"/>
          <w:kern w:val="0"/>
          <w:sz w:val="24"/>
          <w:szCs w:val="24"/>
          <w:vertAlign w:val="superscript"/>
          <w:lang w:eastAsia="lv-LV"/>
          <w14:ligatures w14:val="none"/>
        </w:rPr>
        <w:footnoteReference w:id="9"/>
      </w:r>
      <w:r w:rsidRPr="00523C72">
        <w:rPr>
          <w:rFonts w:ascii="Times New Roman" w:eastAsia="Times New Roman" w:hAnsi="Times New Roman" w:cs="Times New Roman"/>
          <w:kern w:val="0"/>
          <w:sz w:val="24"/>
          <w:szCs w:val="24"/>
          <w:lang w:eastAsia="lv-LV"/>
          <w14:ligatures w14:val="none"/>
        </w:rPr>
        <w:t xml:space="preserve"> </w:t>
      </w:r>
    </w:p>
    <w:p w14:paraId="7C8D8FF0"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lastRenderedPageBreak/>
        <w:t>Eiropas Padomes Parlamentārās Asamblejas 1996. gada 27. jūnija rezolūcija Nr. 1096 (1996) “Par pasākumiem bijušo komunistisko totalitāro sistēmu mantojuma likvidēšanā” arī atzīst valsts tiesības noteikt ierobežojumus personām, kuras bijušā komunistiskā totalitārā režīma laikā ieņēma augstus amatus un atbalstīja šo režīmu.</w:t>
      </w:r>
      <w:r w:rsidRPr="00523C72">
        <w:rPr>
          <w:rFonts w:ascii="Times New Roman" w:eastAsia="Times New Roman" w:hAnsi="Times New Roman" w:cs="Times New Roman"/>
          <w:kern w:val="0"/>
          <w:sz w:val="24"/>
          <w:szCs w:val="24"/>
          <w:vertAlign w:val="superscript"/>
          <w:lang w:eastAsia="lv-LV"/>
          <w14:ligatures w14:val="none"/>
        </w:rPr>
        <w:footnoteReference w:id="10"/>
      </w:r>
    </w:p>
    <w:p w14:paraId="5DD7F2B5"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4086E1CC" w14:textId="77777777" w:rsidR="00523C72" w:rsidRPr="00523C72" w:rsidRDefault="00523C72" w:rsidP="00523C72">
      <w:pPr>
        <w:spacing w:after="0" w:line="240" w:lineRule="auto"/>
        <w:jc w:val="both"/>
        <w:rPr>
          <w:rFonts w:ascii="Times New Roman" w:eastAsia="Times New Roman" w:hAnsi="Times New Roman" w:cs="Times New Roman"/>
          <w:kern w:val="0"/>
          <w:sz w:val="24"/>
          <w:szCs w:val="24"/>
          <w:lang w:eastAsia="lv-LV"/>
          <w14:ligatures w14:val="none"/>
        </w:rPr>
      </w:pPr>
    </w:p>
    <w:p w14:paraId="119112FF" w14:textId="77777777" w:rsidR="00523C72" w:rsidRPr="00523C72" w:rsidRDefault="00523C72" w:rsidP="00523C72">
      <w:pPr>
        <w:numPr>
          <w:ilvl w:val="0"/>
          <w:numId w:val="2"/>
        </w:numPr>
        <w:suppressAutoHyphens/>
        <w:spacing w:after="0" w:line="240" w:lineRule="auto"/>
        <w:jc w:val="both"/>
        <w:rPr>
          <w:rFonts w:ascii="Times New Roman" w:eastAsia="Times New Roman" w:hAnsi="Times New Roman" w:cs="Times New Roman"/>
          <w:b/>
          <w:bCs/>
          <w:kern w:val="0"/>
          <w:sz w:val="24"/>
          <w:szCs w:val="24"/>
          <w:lang w:eastAsia="lv-LV"/>
          <w14:ligatures w14:val="none"/>
        </w:rPr>
      </w:pPr>
      <w:r w:rsidRPr="00523C72">
        <w:rPr>
          <w:rFonts w:ascii="Times New Roman" w:eastAsia="Times New Roman" w:hAnsi="Times New Roman" w:cs="Times New Roman"/>
          <w:b/>
          <w:bCs/>
          <w:kern w:val="0"/>
          <w:sz w:val="24"/>
          <w:szCs w:val="24"/>
          <w:lang w:eastAsia="lv-LV"/>
          <w14:ligatures w14:val="none"/>
        </w:rPr>
        <w:t>Valsts drošības iestāžu un citu institūciju viedokļi</w:t>
      </w:r>
    </w:p>
    <w:p w14:paraId="059289D8"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61BEE8B3"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 xml:space="preserve">Ir būtiski ar valsts drošību saistītos jautājumos ņemt vērā valsts drošības iestāžu viedokli, un šajā sadaļā ir norādīti galvenie secinājumi no valsts drošības iestāžu sniegtajiem viedokļiem par bijušajiem VDK darbiniekiem un informatoriem likumos paredzētajiem ierobežojumiem. Valsts drošības iestāžu viedokļi pievienoti informatīvā ziņojuma pielikumā. </w:t>
      </w:r>
    </w:p>
    <w:p w14:paraId="73F214EF"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Satversmes aizsardzības birojs (turpmāk – SAB) norāda, ka</w:t>
      </w:r>
      <w:r w:rsidRPr="00523C72">
        <w:rPr>
          <w:rFonts w:ascii="Courier New" w:eastAsia="Times New Roman" w:hAnsi="Courier New" w:cs="Times New Roman"/>
          <w:kern w:val="0"/>
          <w:sz w:val="20"/>
          <w:szCs w:val="20"/>
          <w:lang w:eastAsia="lv-LV"/>
          <w14:ligatures w14:val="none"/>
        </w:rPr>
        <w:t xml:space="preserve"> </w:t>
      </w:r>
      <w:r w:rsidRPr="00523C72">
        <w:rPr>
          <w:rFonts w:ascii="Times New Roman" w:eastAsia="Times New Roman" w:hAnsi="Times New Roman" w:cs="Times New Roman"/>
          <w:kern w:val="0"/>
          <w:sz w:val="24"/>
          <w:szCs w:val="24"/>
          <w:lang w:eastAsia="lv-LV"/>
          <w14:ligatures w14:val="none"/>
        </w:rPr>
        <w:t>bijušos VDK darbiniekus un informatorus ir pamats ietvert riska grupā, kas varētu apdraudēt Latvijas, NATO bloka un Eiropas Savienības dalībvalstu drošību. SAB, vērtējot likumā “Par valsts noslēpumu” un Valsts drošības iestāžu likumā paredzētos ierobežojumus bijušajiem VDK darbiniekiem un informatoriem, norāda, ka ierobežojumi ir saglabājami un to būtība ir skatāma kopsakarā ar valsts drošības interesēm. Ņemot vērā to, ka Latvija ir NATO dalībvalsts, tai ir stingri jāievēro NATO drošības politikas pamatprincipi un jānodrošina visaugstākais drošības līmenis NATO klasificētās informācijas aizsardzībai.</w:t>
      </w:r>
      <w:r w:rsidRPr="00523C72">
        <w:rPr>
          <w:rFonts w:ascii="Courier New" w:eastAsia="Times New Roman" w:hAnsi="Courier New" w:cs="Times New Roman"/>
          <w:kern w:val="0"/>
          <w:sz w:val="20"/>
          <w:szCs w:val="20"/>
          <w:lang w:eastAsia="lv-LV"/>
          <w14:ligatures w14:val="none"/>
        </w:rPr>
        <w:t xml:space="preserve"> </w:t>
      </w:r>
      <w:r w:rsidRPr="00523C72">
        <w:rPr>
          <w:rFonts w:ascii="Times New Roman" w:eastAsia="Times New Roman" w:hAnsi="Times New Roman" w:cs="Times New Roman"/>
          <w:kern w:val="0"/>
          <w:sz w:val="24"/>
          <w:szCs w:val="24"/>
          <w:lang w:eastAsia="lv-LV"/>
          <w14:ligatures w14:val="none"/>
        </w:rPr>
        <w:t>Latvijas iestāšanās sarunu laikā no NATO puses tika izvirzīts nosacījums, ka Latvijas valsts drošības iestādēs nedrīkst strādāt bijušie VDK darbinieki un informatori (NATO personāla drošības instrukcija AC/35-D200, pielikums, 9b. punkts). Valsts drošības iestāžu amatpersonām un darbiniekiem tiešie amata pienākumi ir saistīti ar pieeju valsts noslēpumam, NATO un Eiropas Savienības klasificētajai informācijai.</w:t>
      </w:r>
    </w:p>
    <w:p w14:paraId="291A02F8"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Militārās izlūkošanas un drošības dienests norāda, ka esošā prakse, tostarp atklātie Krievijas Federācijas izlūkošanas un drošības dienestu aģenti gan Baltijas valstīs, gan arī Ukrainā, liecina, ka Krievijas Federācijas izlūkošanas un drošības dienesti savu mērķu sasniegšanai izlūkošanas informācijas ieguvei un ietekmes operācijām izmantoja, izmanto un visticamāk arī nākotnē turpinās izmantot bijušās PSRS izlūkošanas un drošības dienestu, tostarp VDK, savervētos aģentus. Līdz ar to esot jāsaglabā likumos ietvertie ierobežojumi, tostarp ierobežojumi VDK darbinieku un informatoru piekļuvei informācijai, kritiskajai infrastruktūrai, valsts pārvaldes sistēmai, kā arī iespējai iegūt Latvijas Republikas pilsonību.</w:t>
      </w:r>
    </w:p>
    <w:p w14:paraId="65F0BE88"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Atbilstoši Valsts drošības dienesta norādītajiem secinājumiem bijušie VDK darbinieki un informatori joprojām rada nozīmīgus draudus Latvijas nacionālajai drošībai. Joprojām saglabājoties augsts risks un iespējamība, ka bijušie VDK darbinieki un informatori ir nelojāli Latvijai un demokrātiskai valsts iekārtai. Šādu personu loks joprojām Latvijā esot pietiekami plašs, lai sekmētu pret Latviju un Eiropas Savienību naidīgi noskaņotu valstu ietekmi un aktivitātes.</w:t>
      </w:r>
    </w:p>
    <w:p w14:paraId="5FCA4A76"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ab/>
        <w:t>Valsts drošības dienests uzsver, ka jau savā 2022. gada pārskatā</w:t>
      </w:r>
      <w:r w:rsidRPr="00523C72">
        <w:rPr>
          <w:rFonts w:ascii="Times New Roman" w:eastAsia="Times New Roman" w:hAnsi="Times New Roman" w:cs="Times New Roman"/>
          <w:kern w:val="0"/>
          <w:sz w:val="24"/>
          <w:szCs w:val="24"/>
          <w:vertAlign w:val="superscript"/>
          <w:lang w:eastAsia="lv-LV"/>
          <w14:ligatures w14:val="none"/>
        </w:rPr>
        <w:footnoteReference w:id="11"/>
      </w:r>
      <w:r w:rsidRPr="00523C72">
        <w:rPr>
          <w:rFonts w:ascii="Times New Roman" w:eastAsia="Times New Roman" w:hAnsi="Times New Roman" w:cs="Times New Roman"/>
          <w:kern w:val="0"/>
          <w:sz w:val="24"/>
          <w:szCs w:val="24"/>
          <w:lang w:eastAsia="lv-LV"/>
          <w14:ligatures w14:val="none"/>
        </w:rPr>
        <w:t xml:space="preserve"> (turpmāk – Gada pārskats) norādīja, ka pēc Krievijas Federācijas iebrukuma un kara uzsākšanas Ukrainas Republikā 2022. gadā pieauga saspīlējums starp Krievijas Federāciju un rietumiem, kā rezultātā Krievijas Federācija ir arī pastiprinājusi centienus iegūt </w:t>
      </w:r>
      <w:proofErr w:type="spellStart"/>
      <w:r w:rsidRPr="00523C72">
        <w:rPr>
          <w:rFonts w:ascii="Times New Roman" w:eastAsia="Times New Roman" w:hAnsi="Times New Roman" w:cs="Times New Roman"/>
          <w:kern w:val="0"/>
          <w:sz w:val="24"/>
          <w:szCs w:val="24"/>
          <w:lang w:eastAsia="lv-LV"/>
          <w14:ligatures w14:val="none"/>
        </w:rPr>
        <w:t>izlūkinformāciju</w:t>
      </w:r>
      <w:proofErr w:type="spellEnd"/>
      <w:r w:rsidRPr="00523C72">
        <w:rPr>
          <w:rFonts w:ascii="Times New Roman" w:eastAsia="Times New Roman" w:hAnsi="Times New Roman" w:cs="Times New Roman"/>
          <w:kern w:val="0"/>
          <w:sz w:val="24"/>
          <w:szCs w:val="24"/>
          <w:lang w:eastAsia="lv-LV"/>
          <w14:ligatures w14:val="none"/>
        </w:rPr>
        <w:t xml:space="preserve"> no NATO dalībvalstīm, tai skaitā Latvijas. Tā rezultātā Krievijas Federācijas specdienestu radītais apdraudējums Latvijas nacionālajām drošības interesēm ir pieaudzis. Gada pārskatā ir </w:t>
      </w:r>
      <w:r w:rsidRPr="00523C72">
        <w:rPr>
          <w:rFonts w:ascii="Times New Roman" w:eastAsia="Times New Roman" w:hAnsi="Times New Roman" w:cs="Times New Roman"/>
          <w:kern w:val="0"/>
          <w:sz w:val="24"/>
          <w:szCs w:val="24"/>
          <w:lang w:eastAsia="lv-LV"/>
          <w14:ligatures w14:val="none"/>
        </w:rPr>
        <w:lastRenderedPageBreak/>
        <w:t xml:space="preserve">uzskaitītas Krievijas Federācijas specdienestu interešu jomas – NATO sabiedroto spēku klātbūtne Latvijā, drošības situācija un infrastruktūra pierobežā, kritiskās infrastruktūras objekti, valsts drošības iestāžu un tiesībaizsardzības iestāžu personāls un materiāltehniskais nodrošinājums, Latvijas ārlietu un drošības politika, Latvijas iekšpolitika un sociālekonomiskā situācija, stratēģiski svarīgas nozares un uzņēmumi Latvijā, valsts pārvaldes institūcijas (sevišķi to ieviestās </w:t>
      </w:r>
      <w:proofErr w:type="spellStart"/>
      <w:r w:rsidRPr="00523C72">
        <w:rPr>
          <w:rFonts w:ascii="Times New Roman" w:eastAsia="Times New Roman" w:hAnsi="Times New Roman" w:cs="Times New Roman"/>
          <w:kern w:val="0"/>
          <w:sz w:val="24"/>
          <w:szCs w:val="24"/>
          <w:lang w:eastAsia="lv-LV"/>
          <w14:ligatures w14:val="none"/>
        </w:rPr>
        <w:t>rīcībpolitikas</w:t>
      </w:r>
      <w:proofErr w:type="spellEnd"/>
      <w:r w:rsidRPr="00523C72">
        <w:rPr>
          <w:rFonts w:ascii="Times New Roman" w:eastAsia="Times New Roman" w:hAnsi="Times New Roman" w:cs="Times New Roman"/>
          <w:kern w:val="0"/>
          <w:sz w:val="24"/>
          <w:szCs w:val="24"/>
          <w:lang w:eastAsia="lv-LV"/>
          <w14:ligatures w14:val="none"/>
        </w:rPr>
        <w:t xml:space="preserve"> efektivitāte, resursi un starptautiskā sadarbība), informācija par nepilnībām un “vājajiem punktiem” Latvijā, ko iespējams izmantot Latvijas nomelnošanas kampaņās, kompromitējoša informācija par valsts un pašvaldību iestāžu amatpersonām, ko var izmantot to ietekmēšanai vai vervēšanai.</w:t>
      </w:r>
    </w:p>
    <w:p w14:paraId="6E976FA6"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Valsts drošības dienests norāda, ka personas, kuras ir bijušas VDK darbinieki vai informatori, iekļaujas ārvalstu specdienestu potenciālo mērķu grupā sadarbības (vai personu izmantošanai sev labvēlīgu pasākumos un aktivitātēs) īstenošanai. Tāpat iepriekšēja personas darbība, kas nav savietojama ar Latvijas kā suverēnas, neatkarīgas, demokrātiskas valsts izpausmi un realizēšanos, ievērojami raksturo paaugstinātu šādu personu risku sadarbībai vai izmantošanai pakļauties vai to sekmēt.</w:t>
      </w:r>
      <w:r w:rsidRPr="00523C72">
        <w:rPr>
          <w:rFonts w:ascii="Courier New" w:eastAsia="Times New Roman" w:hAnsi="Courier New" w:cs="Times New Roman"/>
          <w:kern w:val="0"/>
          <w:sz w:val="20"/>
          <w:szCs w:val="20"/>
          <w:lang w:eastAsia="lv-LV"/>
          <w14:ligatures w14:val="none"/>
        </w:rPr>
        <w:t xml:space="preserve"> </w:t>
      </w:r>
      <w:r w:rsidRPr="00523C72">
        <w:rPr>
          <w:rFonts w:ascii="Times New Roman" w:eastAsia="Times New Roman" w:hAnsi="Times New Roman" w:cs="Times New Roman"/>
          <w:kern w:val="0"/>
          <w:sz w:val="24"/>
          <w:szCs w:val="24"/>
          <w:lang w:eastAsia="lv-LV"/>
          <w14:ligatures w14:val="none"/>
        </w:rPr>
        <w:t xml:space="preserve">Normatīvo aktu, kuros bijušajiem VDK darbiniekiem un informatoriem ir noteikti ierobežojumi, ietvars vispārīgi Valsts drošības dienesta vērtējumā atspoguļo nedraudzīgo ārvalsts specdienestu interešu loku. Likumos noteiktie ierobežojumi esot nepieciešami un attaisnojami demokrātiskā sabiedrībā, valstij pilnvērtīgi vēršoties pret potenciālo šādu personu radīto apdraudējumu, kad tās tiek ievēlētas pašvaldībā, Saeimā un Eiropas Parlamentā pārstāvēt Latvijas iedzīvotāju intereses visos iespējamos veidos, tiek nodarbinātas valsts civildienestā (tostarp valsts drošības iestādēs un militārajā dienestā), piekļūst valsts noslēpumam, iegūst Latvijas pilsonību u.c.. Proti, izslēdzot šāda veida ierobežojumus, personas, izmantojot </w:t>
      </w:r>
      <w:proofErr w:type="spellStart"/>
      <w:r w:rsidRPr="00523C72">
        <w:rPr>
          <w:rFonts w:ascii="Times New Roman" w:eastAsia="Times New Roman" w:hAnsi="Times New Roman" w:cs="Times New Roman"/>
          <w:kern w:val="0"/>
          <w:sz w:val="24"/>
          <w:szCs w:val="24"/>
          <w:lang w:eastAsia="lv-LV"/>
          <w14:ligatures w14:val="none"/>
        </w:rPr>
        <w:t>jauniegūtās</w:t>
      </w:r>
      <w:proofErr w:type="spellEnd"/>
      <w:r w:rsidRPr="00523C72">
        <w:rPr>
          <w:rFonts w:ascii="Times New Roman" w:eastAsia="Times New Roman" w:hAnsi="Times New Roman" w:cs="Times New Roman"/>
          <w:kern w:val="0"/>
          <w:sz w:val="24"/>
          <w:szCs w:val="24"/>
          <w:lang w:eastAsia="lv-LV"/>
          <w14:ligatures w14:val="none"/>
        </w:rPr>
        <w:t xml:space="preserve"> tiesības, baudītu valsts un sabiedrības uzticību, kas neesot savietojama ar riskiem, kas izriet no personas iepriekšējas sadarbības ar VDK.</w:t>
      </w:r>
    </w:p>
    <w:p w14:paraId="42A32AE4"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 xml:space="preserve">Arī pārējās institūcijas, kuru kompetencē esošās jomas regulējošajos normatīvajos aktos noteikti ierobežojumi bijušajiem VDK darbiniekiem un informatoriem, – Valsts kanceleja, Valsts kontrole, Latvijas Republikas </w:t>
      </w:r>
      <w:proofErr w:type="spellStart"/>
      <w:r w:rsidRPr="00523C72">
        <w:rPr>
          <w:rFonts w:ascii="Times New Roman" w:eastAsia="Times New Roman" w:hAnsi="Times New Roman" w:cs="Times New Roman"/>
          <w:kern w:val="0"/>
          <w:sz w:val="24"/>
          <w:szCs w:val="24"/>
          <w:lang w:eastAsia="lv-LV"/>
          <w14:ligatures w14:val="none"/>
        </w:rPr>
        <w:t>tiesībsargs</w:t>
      </w:r>
      <w:proofErr w:type="spellEnd"/>
      <w:r w:rsidRPr="00523C72">
        <w:rPr>
          <w:rFonts w:ascii="Times New Roman" w:eastAsia="Times New Roman" w:hAnsi="Times New Roman" w:cs="Times New Roman"/>
          <w:kern w:val="0"/>
          <w:sz w:val="24"/>
          <w:szCs w:val="24"/>
          <w:lang w:eastAsia="lv-LV"/>
          <w14:ligatures w14:val="none"/>
        </w:rPr>
        <w:t xml:space="preserve">, Valsts prezidenta kanceleja, prokuratūra, Centrālā vēlēšanu komisija, Latvijas Banka, </w:t>
      </w:r>
      <w:proofErr w:type="spellStart"/>
      <w:r w:rsidRPr="00523C72">
        <w:rPr>
          <w:rFonts w:ascii="Times New Roman" w:eastAsia="Times New Roman" w:hAnsi="Times New Roman" w:cs="Times New Roman"/>
          <w:kern w:val="0"/>
          <w:sz w:val="24"/>
          <w:szCs w:val="24"/>
          <w:lang w:eastAsia="lv-LV"/>
          <w14:ligatures w14:val="none"/>
        </w:rPr>
        <w:t>Iekšlietu</w:t>
      </w:r>
      <w:proofErr w:type="spellEnd"/>
      <w:r w:rsidRPr="00523C72">
        <w:rPr>
          <w:rFonts w:ascii="Times New Roman" w:eastAsia="Times New Roman" w:hAnsi="Times New Roman" w:cs="Times New Roman"/>
          <w:kern w:val="0"/>
          <w:sz w:val="24"/>
          <w:szCs w:val="24"/>
          <w:lang w:eastAsia="lv-LV"/>
          <w14:ligatures w14:val="none"/>
        </w:rPr>
        <w:t xml:space="preserve"> ministrija, Aizsardzības ministrija, Ārlietu ministrija, Finanšu ministrija, Labklājības ministrija, Ekonomikas ministrija, Izglītības un zinātnes ministrija, Kultūras ministrija – paudušas viedokli, ka ierobežojumi ir saglabājami. Institūciju sniegtie viedokļi ir izmantoti ierobežojumu samērīguma izvērtēšanā, un tie ir pievienoti informatīvā ziņojuma pielikumā.</w:t>
      </w:r>
    </w:p>
    <w:p w14:paraId="08B142C6" w14:textId="77777777" w:rsidR="00523C72" w:rsidRPr="00523C72" w:rsidRDefault="00523C72" w:rsidP="00523C72">
      <w:pPr>
        <w:spacing w:after="0" w:line="240" w:lineRule="auto"/>
        <w:jc w:val="both"/>
        <w:rPr>
          <w:rFonts w:ascii="Times New Roman" w:eastAsia="Times New Roman" w:hAnsi="Times New Roman" w:cs="Times New Roman"/>
          <w:kern w:val="0"/>
          <w:sz w:val="24"/>
          <w:szCs w:val="24"/>
          <w:lang w:eastAsia="lv-LV"/>
          <w14:ligatures w14:val="none"/>
        </w:rPr>
      </w:pPr>
    </w:p>
    <w:p w14:paraId="135B6685"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3478C5D2" w14:textId="77777777" w:rsidR="00523C72" w:rsidRPr="00523C72" w:rsidRDefault="00523C72" w:rsidP="00523C72">
      <w:pPr>
        <w:numPr>
          <w:ilvl w:val="0"/>
          <w:numId w:val="2"/>
        </w:numPr>
        <w:suppressAutoHyphens/>
        <w:spacing w:after="0" w:line="240" w:lineRule="auto"/>
        <w:jc w:val="both"/>
        <w:rPr>
          <w:rFonts w:ascii="Times New Roman" w:eastAsia="Times New Roman" w:hAnsi="Times New Roman" w:cs="Times New Roman"/>
          <w:b/>
          <w:bCs/>
          <w:kern w:val="0"/>
          <w:sz w:val="24"/>
          <w:szCs w:val="24"/>
          <w:lang w:eastAsia="lv-LV"/>
          <w14:ligatures w14:val="none"/>
        </w:rPr>
      </w:pPr>
      <w:r w:rsidRPr="00523C72">
        <w:rPr>
          <w:rFonts w:ascii="Times New Roman" w:eastAsia="Times New Roman" w:hAnsi="Times New Roman" w:cs="Times New Roman"/>
          <w:b/>
          <w:bCs/>
          <w:kern w:val="0"/>
          <w:sz w:val="24"/>
          <w:szCs w:val="24"/>
          <w:lang w:eastAsia="lv-LV"/>
          <w14:ligatures w14:val="none"/>
        </w:rPr>
        <w:t xml:space="preserve">Apsvērumi par bijušajiem VDK darbiniekiem un informatoriem normatīvajos aktos noteikto ierobežojumu samērīgumu </w:t>
      </w:r>
    </w:p>
    <w:p w14:paraId="1849EA66"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u w:val="single"/>
          <w:lang w:eastAsia="lv-LV"/>
          <w14:ligatures w14:val="none"/>
        </w:rPr>
      </w:pPr>
    </w:p>
    <w:p w14:paraId="66B20E1D"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u w:val="single"/>
          <w:lang w:eastAsia="lv-LV"/>
          <w14:ligatures w14:val="none"/>
        </w:rPr>
      </w:pPr>
      <w:r w:rsidRPr="00523C72">
        <w:rPr>
          <w:rFonts w:ascii="Times New Roman" w:eastAsia="Times New Roman" w:hAnsi="Times New Roman" w:cs="Times New Roman"/>
          <w:b/>
          <w:bCs/>
          <w:kern w:val="0"/>
          <w:sz w:val="24"/>
          <w:szCs w:val="24"/>
          <w:u w:val="single"/>
          <w:lang w:eastAsia="lv-LV"/>
          <w14:ligatures w14:val="none"/>
        </w:rPr>
        <w:t>3.1</w:t>
      </w:r>
      <w:r w:rsidRPr="00523C72">
        <w:rPr>
          <w:rFonts w:ascii="Times New Roman" w:eastAsia="Times New Roman" w:hAnsi="Times New Roman" w:cs="Times New Roman"/>
          <w:kern w:val="0"/>
          <w:sz w:val="24"/>
          <w:szCs w:val="24"/>
          <w:u w:val="single"/>
          <w:lang w:eastAsia="lv-LV"/>
          <w14:ligatures w14:val="none"/>
        </w:rPr>
        <w:t xml:space="preserve"> Tiesiskā statusa iegūšanas ierobežojumi</w:t>
      </w:r>
    </w:p>
    <w:p w14:paraId="57D45E2D"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Pilsonības likuma 11. panta pirmās daļas 4. punkts paredz, ka Latvijas pilsonībā neuzņem personu, kura ir bijusi PSRS vai Latvijas PSR valsts drošības dienesta, izlūkdienesta vai pretizlūkošanas dienesta štata darbinieks, izņemot personu, kura bijusi tikai PSRS vai Latvijas PSR Valsts drošības komitejas plānošanas un finanšu vai administratīvi saimnieciskās struktūrvienības darbinieks. Līdzīgs ierobežojums ir attiecināts arī uz repatrianta statusa piešķiršanu Repatriācijas likuma 10. panta pirmās daļas 5. punktā.</w:t>
      </w:r>
      <w:r w:rsidRPr="00523C72">
        <w:rPr>
          <w:rFonts w:ascii="Times New Roman" w:eastAsia="Times New Roman" w:hAnsi="Times New Roman" w:cs="Times New Roman"/>
          <w:kern w:val="0"/>
          <w:sz w:val="24"/>
          <w:szCs w:val="24"/>
          <w:vertAlign w:val="superscript"/>
          <w:lang w:eastAsia="lv-LV"/>
          <w14:ligatures w14:val="none"/>
        </w:rPr>
        <w:footnoteReference w:id="12"/>
      </w:r>
    </w:p>
    <w:p w14:paraId="092DD6EB"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lastRenderedPageBreak/>
        <w:t xml:space="preserve"> Pilsonība ir valstiskuma būtisks elements un līdz ar to no tās izriet vispārēju interešu apsvērumi, aizsargājot īpašās solidaritātes un lojalitātes attiecības ar saviem pilsoņiem un ņemot vērā pilsonības saiknes pamatā esošo tiesību un pienākumu savstarpējību. Pateicoties ierobežojumiem iegūt pilsoņa vai repatrianta statusu, kas vēlāk ļauj iegūt pilsonību, personas neiegūst ar pilsonību saistītās tiesības un līdz ar to arī iespējas ietekmēt demokrātisko valsts iekārtu, nacionālās intereses un teritoriālo integritāti. Personu agrākā darbība VDK dienestā joprojām rada šaubas par minēto personu lojalitāti Latvijas Republikai. Ierobežojumi saistīti ar demokrātiskā valstī nepieciešamo sabiedrības uzticību personām, kuras kļūst par pilsoņiem un iegūst no pilsoņa statusa izrietošās būtiskās tiesības un pienākumus un kurām jāapliecina zināms politiskās lojalitātes un arī demokrātiskās ētikas minimums. </w:t>
      </w:r>
    </w:p>
    <w:p w14:paraId="3E9A9E6F"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 xml:space="preserve">Būtiski, ka Pilsonības likums un Repatriācijas likums paredz individuālu personas </w:t>
      </w:r>
      <w:proofErr w:type="spellStart"/>
      <w:r w:rsidRPr="00523C72">
        <w:rPr>
          <w:rFonts w:ascii="Times New Roman" w:eastAsia="Times New Roman" w:hAnsi="Times New Roman" w:cs="Times New Roman"/>
          <w:kern w:val="0"/>
          <w:sz w:val="24"/>
          <w:szCs w:val="24"/>
          <w:lang w:eastAsia="lv-LV"/>
          <w14:ligatures w14:val="none"/>
        </w:rPr>
        <w:t>izvērtējumu</w:t>
      </w:r>
      <w:proofErr w:type="spellEnd"/>
      <w:r w:rsidRPr="00523C72">
        <w:rPr>
          <w:rFonts w:ascii="Times New Roman" w:eastAsia="Times New Roman" w:hAnsi="Times New Roman" w:cs="Times New Roman"/>
          <w:kern w:val="0"/>
          <w:sz w:val="24"/>
          <w:szCs w:val="24"/>
          <w:lang w:eastAsia="lv-LV"/>
          <w14:ligatures w14:val="none"/>
        </w:rPr>
        <w:t xml:space="preserve"> un tiesību aizsardzības mehānismu. Attiecībā uz pilsonības vai repatrianta institūtu cits līdzeklis ierobežojuma leģitīmā mērķa sasniegšanai nebūtu tikpat efektīvs.</w:t>
      </w:r>
    </w:p>
    <w:p w14:paraId="4CBCD07B"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Saskaņā ar likuma “Par Otrā pasaules kara dalībnieka statusu” 3. panta 3. punktu par Otrā pasaules kara dalībnieku nav atzīstama persona, ja tā ir bijusi VDK darbinieks vai VDK iznīcinātāju bataljonu kaujinieks, izņemot personu, kura bijusi tikai PSRS vai LPSR VDK plānošanas un finanšu, kā arī administratīvi saimniecisko struktūrvienību darbinieks. Paredzētā ierobežojuma  mērķis ir saistīts ar Satversmes ievadā pausto nosodījumu komunistiskajam un nacistiskajam totalitārajam režīmam un tā noziegumiem. Veicinot vienlīdzīgu attieksmi pret Otrā pasaules kara dalībniekiem, neatkarīgi no tā, kurā pusē persona piedalījās bruņotajā cīņā, likumdevējs skaidri paudis gribu nenoteikt attiecīgo statusu personai, kura ir bijusi dalībnieks jebkurā no kāda noziedzīgā režīma represīvajām (vai par noziedzīgu atzītajām) organizācijām vai vienībām. Nav saskatāmi alternatīvi līdzekļi, kas tādā pašā kvalitātē varētu sasniegt leģitīmo mērķi.</w:t>
      </w:r>
      <w:r w:rsidRPr="00523C72">
        <w:rPr>
          <w:rFonts w:ascii="Courier New" w:eastAsia="Times New Roman" w:hAnsi="Courier New" w:cs="Times New Roman"/>
          <w:kern w:val="0"/>
          <w:sz w:val="20"/>
          <w:szCs w:val="20"/>
          <w:lang w:eastAsia="lv-LV"/>
          <w14:ligatures w14:val="none"/>
        </w:rPr>
        <w:t xml:space="preserve"> </w:t>
      </w:r>
      <w:r w:rsidRPr="00523C72">
        <w:rPr>
          <w:rFonts w:ascii="Times New Roman" w:eastAsia="Times New Roman" w:hAnsi="Times New Roman" w:cs="Times New Roman"/>
          <w:kern w:val="0"/>
          <w:sz w:val="24"/>
          <w:szCs w:val="24"/>
          <w:lang w:eastAsia="lv-LV"/>
          <w14:ligatures w14:val="none"/>
        </w:rPr>
        <w:t xml:space="preserve">Arī šā ierobežojuma piemērošanā ir individualizēts personas </w:t>
      </w:r>
      <w:proofErr w:type="spellStart"/>
      <w:r w:rsidRPr="00523C72">
        <w:rPr>
          <w:rFonts w:ascii="Times New Roman" w:eastAsia="Times New Roman" w:hAnsi="Times New Roman" w:cs="Times New Roman"/>
          <w:kern w:val="0"/>
          <w:sz w:val="24"/>
          <w:szCs w:val="24"/>
          <w:lang w:eastAsia="lv-LV"/>
          <w14:ligatures w14:val="none"/>
        </w:rPr>
        <w:t>izvērtējums</w:t>
      </w:r>
      <w:proofErr w:type="spellEnd"/>
      <w:r w:rsidRPr="00523C72">
        <w:rPr>
          <w:rFonts w:ascii="Times New Roman" w:eastAsia="Times New Roman" w:hAnsi="Times New Roman" w:cs="Times New Roman"/>
          <w:kern w:val="0"/>
          <w:sz w:val="24"/>
          <w:szCs w:val="24"/>
          <w:lang w:eastAsia="lv-LV"/>
          <w14:ligatures w14:val="none"/>
        </w:rPr>
        <w:t xml:space="preserve"> un paredzēts tiesību aizsardzības mehānisms.</w:t>
      </w:r>
    </w:p>
    <w:p w14:paraId="0296D574"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Kopumā secināms, ka attiecībā uz tiesiskā statusa iegūšanas ierobežojumiem</w:t>
      </w:r>
      <w:r w:rsidRPr="00523C72">
        <w:rPr>
          <w:rFonts w:ascii="Courier New" w:eastAsia="Times New Roman" w:hAnsi="Courier New" w:cs="Times New Roman"/>
          <w:kern w:val="0"/>
          <w:sz w:val="20"/>
          <w:szCs w:val="20"/>
          <w:lang w:eastAsia="lv-LV"/>
          <w14:ligatures w14:val="none"/>
        </w:rPr>
        <w:t xml:space="preserve"> </w:t>
      </w:r>
      <w:r w:rsidRPr="00523C72">
        <w:rPr>
          <w:rFonts w:ascii="Times New Roman" w:eastAsia="Times New Roman" w:hAnsi="Times New Roman" w:cs="Times New Roman"/>
          <w:kern w:val="0"/>
          <w:sz w:val="24"/>
          <w:szCs w:val="24"/>
          <w:lang w:eastAsia="lv-LV"/>
          <w14:ligatures w14:val="none"/>
        </w:rPr>
        <w:t>bijušajiem VDK darbiniekiem un informatoriem statusa piešķiršanas procesā ir pieejami efektīvi aizskarto tiesību aizsardzības mehānismi un ierobežojumi ir samērīgi.</w:t>
      </w:r>
    </w:p>
    <w:p w14:paraId="6F8783A7"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3CD28692"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u w:val="single"/>
          <w:lang w:eastAsia="lv-LV"/>
          <w14:ligatures w14:val="none"/>
        </w:rPr>
      </w:pPr>
      <w:r w:rsidRPr="00523C72">
        <w:rPr>
          <w:rFonts w:ascii="Times New Roman" w:eastAsia="Times New Roman" w:hAnsi="Times New Roman" w:cs="Times New Roman"/>
          <w:b/>
          <w:bCs/>
          <w:kern w:val="0"/>
          <w:sz w:val="24"/>
          <w:szCs w:val="24"/>
          <w:u w:val="single"/>
          <w:lang w:eastAsia="lv-LV"/>
          <w14:ligatures w14:val="none"/>
        </w:rPr>
        <w:t>3.2.</w:t>
      </w:r>
      <w:r w:rsidRPr="00523C72">
        <w:rPr>
          <w:rFonts w:ascii="Times New Roman" w:eastAsia="Times New Roman" w:hAnsi="Times New Roman" w:cs="Times New Roman"/>
          <w:kern w:val="0"/>
          <w:sz w:val="24"/>
          <w:szCs w:val="24"/>
          <w:u w:val="single"/>
          <w:lang w:eastAsia="lv-LV"/>
          <w14:ligatures w14:val="none"/>
        </w:rPr>
        <w:t xml:space="preserve"> </w:t>
      </w:r>
      <w:bookmarkStart w:id="1" w:name="_Hlk163049519"/>
      <w:r w:rsidRPr="00523C72">
        <w:rPr>
          <w:rFonts w:ascii="Times New Roman" w:eastAsia="Times New Roman" w:hAnsi="Times New Roman" w:cs="Times New Roman"/>
          <w:kern w:val="0"/>
          <w:sz w:val="24"/>
          <w:szCs w:val="24"/>
          <w:u w:val="single"/>
          <w:lang w:eastAsia="lv-LV"/>
          <w14:ligatures w14:val="none"/>
        </w:rPr>
        <w:t>Ierobežojumi pasīvajām vēlēšanu tiesībām</w:t>
      </w:r>
      <w:bookmarkEnd w:id="1"/>
    </w:p>
    <w:p w14:paraId="738164FB"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Ierobežojums bijušajiem VDK štata darbiniekiem kandidēt vēlēšanās ir paredzēts visos vēlēšanu likumos – Saeimas vēlēšanu likumā, Pašvaldības domes vēlēšanu likumā un Eiropas Parlamenta vēlēšanu likumā.</w:t>
      </w:r>
      <w:r w:rsidRPr="00523C72">
        <w:rPr>
          <w:rFonts w:ascii="Times New Roman" w:eastAsia="Times New Roman" w:hAnsi="Times New Roman" w:cs="Times New Roman"/>
          <w:kern w:val="0"/>
          <w:sz w:val="24"/>
          <w:szCs w:val="24"/>
          <w:vertAlign w:val="superscript"/>
          <w:lang w:eastAsia="lv-LV"/>
          <w14:ligatures w14:val="none"/>
        </w:rPr>
        <w:footnoteReference w:id="13"/>
      </w:r>
    </w:p>
    <w:p w14:paraId="460BD823"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 xml:space="preserve">Valsts drošības iestāžu sniegtā informācija norāda, ka bijušo VDK darbinieku ievēlēšana Saeimā, pašvaldībās un Eiropas Parlamentā var apdraudēt demokrātiskas valsts iekārtu un mazināt uzticību minēto institūciju darbam. </w:t>
      </w:r>
    </w:p>
    <w:p w14:paraId="4F6F805E"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Būtiski ņemt vērā Latvijas vēsturisko kontekstu un citus faktorus, kas ietekmē sabiedrības uzticēšanos valsts varas pārstāvjiem, kuru agrākā darbība ir saistīta ar totalitārām varas struktūrām. Ierobežojumi ir noteikti, lai ne tikai novērstu reālus draudus valsts drošībai un demokrātiskajai valsts iekārtai, bet arī lai nodrošinātu to, ka pilsoņi nav spiesti atzīt par valsts varas pārstāvjiem tādas personas, kuras ir bijušas represīvā režīma drošības struktūru darbinieki.</w:t>
      </w:r>
    </w:p>
    <w:p w14:paraId="039C8532"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 xml:space="preserve">To, ka uzticība bijušajiem VDK darbiniekiem šā brīža ģeopolitiskā apdraudējuma situācijā tikai samazinās, apliecina arī fakts, ka aizliegumu kandidēt Eiropas Parlamenta </w:t>
      </w:r>
      <w:r w:rsidRPr="00523C72">
        <w:rPr>
          <w:rFonts w:ascii="Times New Roman" w:eastAsia="Times New Roman" w:hAnsi="Times New Roman" w:cs="Times New Roman"/>
          <w:kern w:val="0"/>
          <w:sz w:val="24"/>
          <w:szCs w:val="24"/>
          <w:lang w:eastAsia="lv-LV"/>
          <w14:ligatures w14:val="none"/>
        </w:rPr>
        <w:lastRenderedPageBreak/>
        <w:t xml:space="preserve">vēlēšanās šai peronu grupai Eiropas Parlamenta vēlēšanās likumdevējs paredzēja tikai ar 2022. gada 27. oktobra likumu “Grozījumi Eiropas Parlamenta vēlēšanu likumā”. </w:t>
      </w:r>
    </w:p>
    <w:p w14:paraId="26AE89FC"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Šobrīd nav saskatāmi citi indivīda tiesības mazāk ierobežojoši līdzekļi leģitīmā mērķa sasniegšanai. Šā brīža ģeopolitiskajos apstākļos, kad Krievijas Federācija ir uzsākusi karadarbību pret Ukrainas Republiku un ir izteikusi draudus ES un NATO dalībvalstīm, kā arī īsteno politiku ar mērķi atjaunot un paplašināt ietekmes sfēru kaimiņvalstīs, labums, ko Latvijas sabiedrība</w:t>
      </w:r>
      <w:r w:rsidRPr="00523C72">
        <w:rPr>
          <w:rFonts w:ascii="Courier New" w:eastAsia="Times New Roman" w:hAnsi="Courier New" w:cs="Times New Roman"/>
          <w:kern w:val="0"/>
          <w:sz w:val="20"/>
          <w:szCs w:val="20"/>
          <w:lang w:eastAsia="lv-LV"/>
          <w14:ligatures w14:val="none"/>
        </w:rPr>
        <w:t xml:space="preserve"> </w:t>
      </w:r>
      <w:r w:rsidRPr="00523C72">
        <w:rPr>
          <w:rFonts w:ascii="Times New Roman" w:eastAsia="Times New Roman" w:hAnsi="Times New Roman" w:cs="Times New Roman"/>
          <w:kern w:val="0"/>
          <w:sz w:val="24"/>
          <w:szCs w:val="24"/>
          <w:lang w:eastAsia="lv-LV"/>
          <w14:ligatures w14:val="none"/>
        </w:rPr>
        <w:t>iegūst no šādu ierobežojuma saglabāšanas, ir lielāks par indivīdu tiesībām nodarīto kaitējumu.</w:t>
      </w:r>
    </w:p>
    <w:p w14:paraId="10F05294" w14:textId="77777777" w:rsidR="00523C72" w:rsidRPr="00523C72" w:rsidRDefault="00523C72" w:rsidP="00523C72">
      <w:pPr>
        <w:spacing w:after="0" w:line="240" w:lineRule="auto"/>
        <w:jc w:val="both"/>
        <w:rPr>
          <w:rFonts w:ascii="Times New Roman" w:eastAsia="Times New Roman" w:hAnsi="Times New Roman" w:cs="Times New Roman"/>
          <w:kern w:val="0"/>
          <w:sz w:val="24"/>
          <w:szCs w:val="24"/>
          <w:lang w:eastAsia="lv-LV"/>
          <w14:ligatures w14:val="none"/>
        </w:rPr>
      </w:pPr>
    </w:p>
    <w:p w14:paraId="6E9CBCEC"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u w:val="single"/>
          <w:lang w:eastAsia="lv-LV"/>
          <w14:ligatures w14:val="none"/>
        </w:rPr>
      </w:pPr>
      <w:r w:rsidRPr="00523C72">
        <w:rPr>
          <w:rFonts w:ascii="Times New Roman" w:eastAsia="Times New Roman" w:hAnsi="Times New Roman" w:cs="Times New Roman"/>
          <w:b/>
          <w:bCs/>
          <w:kern w:val="0"/>
          <w:sz w:val="24"/>
          <w:szCs w:val="24"/>
          <w:lang w:eastAsia="lv-LV"/>
          <w14:ligatures w14:val="none"/>
        </w:rPr>
        <w:t>3.3.</w:t>
      </w:r>
      <w:r w:rsidRPr="00523C72">
        <w:rPr>
          <w:rFonts w:ascii="Times New Roman" w:eastAsia="Times New Roman" w:hAnsi="Times New Roman" w:cs="Times New Roman"/>
          <w:kern w:val="0"/>
          <w:sz w:val="24"/>
          <w:szCs w:val="24"/>
          <w:lang w:eastAsia="lv-LV"/>
          <w14:ligatures w14:val="none"/>
        </w:rPr>
        <w:t xml:space="preserve"> </w:t>
      </w:r>
      <w:r w:rsidRPr="00523C72">
        <w:rPr>
          <w:rFonts w:ascii="Times New Roman" w:eastAsia="Times New Roman" w:hAnsi="Times New Roman" w:cs="Times New Roman"/>
          <w:kern w:val="0"/>
          <w:sz w:val="24"/>
          <w:szCs w:val="24"/>
          <w:u w:val="single"/>
          <w:lang w:eastAsia="lv-LV"/>
          <w14:ligatures w14:val="none"/>
        </w:rPr>
        <w:t xml:space="preserve">Ierobežojumi pieejai valsts noslēpumam saskaņā ar likumu “Par valsts noslēpumu” un tiesībām ieņemt noteiktus amatus </w:t>
      </w:r>
    </w:p>
    <w:p w14:paraId="0E089CAE"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 xml:space="preserve">Likuma “Par valsts noslēpumu” 9. panta trešās daļas 4. punkts noteic, ka pieeja konfidenciāliem, slepeniem un sevišķi slepeniem valsts noslēpuma objektiem tiek liegta personai, kura ir VDK štata vai ārštata darbinieks, aģents, rezidents vai konspiratīvā dzīvokļa turētājs. Tā kā pieeja valsts noslēpumam ir likumos izvirzīta prasība vairākiem amatiem, likumā “Par valsts noslēpumu” paredzētais ierobežojums attiecas arī uz attiecīgajām amatpersonām (piemēram, uz Valsts prezidentu, Saeimas priekšsēdētāju, Ministru prezidentu u.c.). Tāpat bijušajiem VDK darbiniekiem un informatoriem ir paredzēti ierobežojumi ieņemt amatus virknē citu likumu (skatīt šā informatīvā ziņojuma 1.sadaļā norādīto ierobežojumu 4.grupu). </w:t>
      </w:r>
    </w:p>
    <w:p w14:paraId="7B6F64E6"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Ierobežojuma pieejai valsts noslēpumam būtība vistiešākajā mērā ir skatāma kopsakarā ar valsts drošības interesēm. Fakts, ka persona ir bijusi VDK darbinieks vai informators, ir viens no būtiskiem aspektiem, kas liecina par to, ka speciālās atļaujas izsniegšana pieejai valsts noslēpumam neatbilst nacionālās drošības interesēm. Turklāt, ņemot vērā to, ka Latvija ir NATO dalībvalsts, tai ir stingri jāievēro NATO drošības politikas pamatprincipi un jānodrošina visaugstākais drošības līmenis NATO klasificētās informācijas aizsardzībai.</w:t>
      </w:r>
    </w:p>
    <w:p w14:paraId="7B7EB367"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Tā kā kopš neatkarības atjaunošanas vēl nav pagājis pietiekami ilgs laika posms, nav iespējams pilnībā izslēgt vai uzskatīt par relatīvi maz iespējamu bijušo VDK darbinieku un informatoru pieteikšanos valsts civildienesta ierēdņa vai citam valsts pārvaldes amatpersonas amatam.</w:t>
      </w:r>
      <w:r w:rsidRPr="00523C72">
        <w:rPr>
          <w:rFonts w:ascii="Courier New" w:eastAsia="Times New Roman" w:hAnsi="Courier New" w:cs="Times New Roman"/>
          <w:kern w:val="0"/>
          <w:sz w:val="20"/>
          <w:szCs w:val="20"/>
          <w:lang w:eastAsia="lv-LV"/>
          <w14:ligatures w14:val="none"/>
        </w:rPr>
        <w:t xml:space="preserve"> </w:t>
      </w:r>
      <w:r w:rsidRPr="00523C72">
        <w:rPr>
          <w:rFonts w:ascii="Times New Roman" w:eastAsia="Times New Roman" w:hAnsi="Times New Roman" w:cs="Times New Roman"/>
          <w:kern w:val="0"/>
          <w:sz w:val="24"/>
          <w:szCs w:val="24"/>
          <w:lang w:eastAsia="lv-LV"/>
          <w14:ligatures w14:val="none"/>
        </w:rPr>
        <w:t>Ierobežojumu ieņemt noteiktus amatus kontekstā ir jāņem vērā arī tie paši apsvērumi, kas norādīti šā informatīvā ziņojuma 3.2. </w:t>
      </w:r>
      <w:proofErr w:type="spellStart"/>
      <w:r w:rsidRPr="00523C72">
        <w:rPr>
          <w:rFonts w:ascii="Times New Roman" w:eastAsia="Times New Roman" w:hAnsi="Times New Roman" w:cs="Times New Roman"/>
          <w:kern w:val="0"/>
          <w:sz w:val="24"/>
          <w:szCs w:val="24"/>
          <w:lang w:eastAsia="lv-LV"/>
          <w14:ligatures w14:val="none"/>
        </w:rPr>
        <w:t>apakšadaļā</w:t>
      </w:r>
      <w:proofErr w:type="spellEnd"/>
      <w:r w:rsidRPr="00523C72">
        <w:rPr>
          <w:rFonts w:ascii="Times New Roman" w:eastAsia="Times New Roman" w:hAnsi="Times New Roman" w:cs="Times New Roman"/>
          <w:kern w:val="0"/>
          <w:sz w:val="24"/>
          <w:szCs w:val="24"/>
          <w:lang w:eastAsia="lv-LV"/>
          <w14:ligatures w14:val="none"/>
        </w:rPr>
        <w:t xml:space="preserve"> par ierobežojumiem pasīvajām vēlēšanu tiesībām.</w:t>
      </w:r>
    </w:p>
    <w:p w14:paraId="46B56D54"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Norādāms, ka 2024. gada 18. janvārī stājās spēkā grozījumi Valsts pārvaldes iekārtas likumā, papildinot to ar jaunu pantu par lojalitātes pienākumu publiskas personas institūcijā nodarbinātajiem.</w:t>
      </w:r>
      <w:r w:rsidRPr="00523C72">
        <w:rPr>
          <w:rFonts w:ascii="Times New Roman" w:eastAsia="Times New Roman" w:hAnsi="Times New Roman" w:cs="Times New Roman"/>
          <w:kern w:val="0"/>
          <w:sz w:val="24"/>
          <w:szCs w:val="24"/>
          <w:vertAlign w:val="superscript"/>
          <w:lang w:eastAsia="lv-LV"/>
          <w14:ligatures w14:val="none"/>
        </w:rPr>
        <w:footnoteReference w:id="14"/>
      </w:r>
      <w:r w:rsidRPr="00523C72">
        <w:rPr>
          <w:rFonts w:ascii="Times New Roman" w:eastAsia="Times New Roman" w:hAnsi="Times New Roman" w:cs="Times New Roman"/>
          <w:kern w:val="0"/>
          <w:sz w:val="24"/>
          <w:szCs w:val="24"/>
          <w:lang w:eastAsia="lv-LV"/>
          <w14:ligatures w14:val="none"/>
        </w:rPr>
        <w:t xml:space="preserve"> Tādējādi būtiski tika paplašināta to nodarbināto grupu, kurai turpmāk ir pienākums būt lojālai Latvijas Republikai un tās Satversmei. Līdz ar to likumdevējs īpaši uzsvēris, ka šāds pienākums esošajos ģeopolitiskajos apstākļos ir būtisks un nepieciešams, lai novērstu iespējamos drošības riskus.</w:t>
      </w:r>
    </w:p>
    <w:p w14:paraId="3930138C" w14:textId="77777777" w:rsidR="00523C72" w:rsidRPr="00523C72" w:rsidRDefault="00523C72" w:rsidP="00523C72">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523C72">
        <w:rPr>
          <w:rFonts w:ascii="Times New Roman" w:eastAsia="Times New Roman" w:hAnsi="Times New Roman" w:cs="Times New Roman"/>
          <w:kern w:val="0"/>
          <w:sz w:val="24"/>
          <w:szCs w:val="24"/>
          <w:lang w:eastAsia="lv-LV"/>
          <w14:ligatures w14:val="none"/>
        </w:rPr>
        <w:t xml:space="preserve">Šā brīža ģeopolitiskajā situācijā ikvienas valsts pārvaldes iestādes, to amatpersonu un darbinieku pienākums ir saglabāt demokrātisku valsts iekārtu un stiprināt gan valsts iekšējo, </w:t>
      </w:r>
      <w:r w:rsidRPr="00523C72">
        <w:rPr>
          <w:rFonts w:ascii="Times New Roman" w:eastAsia="Times New Roman" w:hAnsi="Times New Roman" w:cs="Times New Roman"/>
          <w:kern w:val="0"/>
          <w:sz w:val="24"/>
          <w:szCs w:val="24"/>
          <w:lang w:eastAsia="lv-LV"/>
          <w14:ligatures w14:val="none"/>
        </w:rPr>
        <w:lastRenderedPageBreak/>
        <w:t xml:space="preserve">gan arī ārējo drošību, līdz ar ko minētie ierobežojumi VDK darbiniekiem un informatoriem ir atzīstami kā samērīgi un saglabājami gan attiecībā uz izpildvaras, gan tiesu varas amatpersonām, kā arī uz konstitucionālo orgānu un neatkarīgo iestāžu amatpersonām. </w:t>
      </w:r>
    </w:p>
    <w:p w14:paraId="046AA825" w14:textId="77777777" w:rsidR="00523C72" w:rsidRPr="00523C72" w:rsidRDefault="00523C72" w:rsidP="00523C72">
      <w:pPr>
        <w:spacing w:after="0" w:line="240" w:lineRule="auto"/>
        <w:ind w:firstLine="567"/>
        <w:jc w:val="both"/>
        <w:rPr>
          <w:rFonts w:ascii="Courier New" w:eastAsia="Times New Roman" w:hAnsi="Courier New" w:cs="Times New Roman"/>
          <w:kern w:val="0"/>
          <w:sz w:val="24"/>
          <w:szCs w:val="20"/>
          <w:lang w:eastAsia="lv-LV"/>
          <w14:ligatures w14:val="none"/>
        </w:rPr>
      </w:pPr>
    </w:p>
    <w:p w14:paraId="0AC15575"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u w:val="single"/>
          <w:lang w:eastAsia="ar-SA"/>
          <w14:ligatures w14:val="none"/>
        </w:rPr>
      </w:pPr>
      <w:r w:rsidRPr="00523C72">
        <w:rPr>
          <w:rFonts w:ascii="Times New Roman" w:eastAsia="Times New Roman" w:hAnsi="Times New Roman" w:cs="Times New Roman"/>
          <w:b/>
          <w:bCs/>
          <w:kern w:val="0"/>
          <w:sz w:val="24"/>
          <w:szCs w:val="20"/>
          <w:u w:val="single"/>
          <w:lang w:eastAsia="ar-SA"/>
          <w14:ligatures w14:val="none"/>
        </w:rPr>
        <w:t>3.4.</w:t>
      </w:r>
      <w:r w:rsidRPr="00523C72">
        <w:rPr>
          <w:rFonts w:ascii="Times New Roman" w:eastAsia="Times New Roman" w:hAnsi="Times New Roman" w:cs="Times New Roman"/>
          <w:kern w:val="0"/>
          <w:sz w:val="24"/>
          <w:szCs w:val="20"/>
          <w:u w:val="single"/>
          <w:lang w:eastAsia="ar-SA"/>
          <w14:ligatures w14:val="none"/>
        </w:rPr>
        <w:t xml:space="preserve"> Ierobežojums likumā “Par valsts pensijām” </w:t>
      </w:r>
    </w:p>
    <w:p w14:paraId="35F81DF4"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 xml:space="preserve">Likuma “Par valsts pensijām” pārejas noteikumu 1. un 2. punktā uzskaitīti tie līdz 1995. gada 31. decembrim darbam pielīdzinātie periodi, kas tiek ieskaitīti personas apdrošināšanas stāžā un ņemti vērā, aprēķinot Latvijas valsts pensiju. Kā viens no periodiem minēts “dienests ierindas un komandējošā sastāva amatos </w:t>
      </w:r>
      <w:proofErr w:type="spellStart"/>
      <w:r w:rsidRPr="00523C72">
        <w:rPr>
          <w:rFonts w:ascii="Times New Roman" w:eastAsia="Times New Roman" w:hAnsi="Times New Roman" w:cs="Times New Roman"/>
          <w:kern w:val="0"/>
          <w:sz w:val="24"/>
          <w:szCs w:val="20"/>
          <w:lang w:eastAsia="ar-SA"/>
          <w14:ligatures w14:val="none"/>
        </w:rPr>
        <w:t>iekšlietu</w:t>
      </w:r>
      <w:proofErr w:type="spellEnd"/>
      <w:r w:rsidRPr="00523C72">
        <w:rPr>
          <w:rFonts w:ascii="Times New Roman" w:eastAsia="Times New Roman" w:hAnsi="Times New Roman" w:cs="Times New Roman"/>
          <w:kern w:val="0"/>
          <w:sz w:val="24"/>
          <w:szCs w:val="20"/>
          <w:lang w:eastAsia="ar-SA"/>
          <w14:ligatures w14:val="none"/>
        </w:rPr>
        <w:t xml:space="preserve"> iestādēs, izņemot VDK”. </w:t>
      </w:r>
    </w:p>
    <w:p w14:paraId="0AA1F92E"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Ierobežojums neiekļaut apdrošināšanas stāžā dienestu VDK likumā “Par valsts pensijām” ir jau no tā spēkā stāšanās dienas, proti, no 1996.gada 1.janvāra. Ierobežojuma  mērķis ir saistīts ar Satversmes ievadā pausto nosodījumu komunistiskajam un nacistiskajam totalitārajam režīmam un tā noziegumiem.</w:t>
      </w:r>
    </w:p>
    <w:p w14:paraId="02E0FD88"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VDK bija politiski represīva PSRS okupācijas institūcija ar militāras disciplīnas struktūru, kas rūpējās par padomju okupācijas režīma drošību un pastāvēšanu Latvijas Republikas teritorijā, tādējādi tā tieši vērsās pret Latvijas valsts neatkarību. Personas, kuras atradās dienestā ierindas un komandējošā sastāva amatos VDK, tieši ir vērsušās pret Latvijas tautu, tādēļ šis dienestā pavadītais laiks nav ieskaitāms šo personu apdrošināšanas stāžā. Pretējā gadījumā, ieskaitot šo periodu personas apdrošināšanas stāžā un maksājot par to pensiju, Latvijas valsts atzītu šo laika periodu, kuru persona ir pavadījusi, aktīvi cīnoties pret Latvijas valsti un Latvijas tautu, nodrošinot okupācijas režīma pastāvēšanu Latvijas Republikas teritorijā. Tas neveicinātu taisnīguma atjaunošanu un nepaustu nosodošu nostāju pret PSRS īstenoto politiku un veiktajiem noziegumiem.</w:t>
      </w:r>
    </w:p>
    <w:p w14:paraId="0C6AF724"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 xml:space="preserve">Šis ierobežojums kopumā neliedz personai tiesības saņemt pensiju, jo uz sociālās apdrošināšanas iemaksām balstīta pensiju sistēma Latvijā pastāv jau 28 gadus, un personai ir tiesības uz pensiju vismaz minimālā apmērā, ko garantē Satversmes 109. pants. Tādējādi likumā “Par valsts pensijām” paredzētais ierobežojums ir vērtējams kā samērīgs. </w:t>
      </w:r>
    </w:p>
    <w:p w14:paraId="7E97E469" w14:textId="77777777" w:rsidR="00523C72" w:rsidRPr="00523C72" w:rsidRDefault="00523C72" w:rsidP="00523C72">
      <w:pPr>
        <w:suppressAutoHyphens/>
        <w:spacing w:after="0" w:line="240" w:lineRule="auto"/>
        <w:ind w:firstLine="567"/>
        <w:jc w:val="both"/>
        <w:rPr>
          <w:rFonts w:ascii="Times New Roman" w:eastAsia="Times New Roman" w:hAnsi="Times New Roman" w:cs="Times New Roman"/>
          <w:kern w:val="0"/>
          <w:sz w:val="24"/>
          <w:szCs w:val="20"/>
          <w:lang w:eastAsia="ar-SA"/>
          <w14:ligatures w14:val="none"/>
        </w:rPr>
      </w:pPr>
    </w:p>
    <w:p w14:paraId="24229A28" w14:textId="77777777" w:rsidR="00523C72" w:rsidRPr="00523C72" w:rsidRDefault="00523C72" w:rsidP="00523C72">
      <w:pPr>
        <w:spacing w:after="0" w:line="240" w:lineRule="auto"/>
        <w:jc w:val="both"/>
        <w:rPr>
          <w:rFonts w:ascii="Times New Roman" w:eastAsia="Times New Roman" w:hAnsi="Times New Roman" w:cs="Times New Roman"/>
          <w:kern w:val="0"/>
          <w:sz w:val="24"/>
          <w:szCs w:val="24"/>
          <w:lang w:eastAsia="lv-LV"/>
          <w14:ligatures w14:val="none"/>
        </w:rPr>
      </w:pPr>
    </w:p>
    <w:p w14:paraId="5E80AB33" w14:textId="77777777" w:rsidR="00523C72" w:rsidRPr="00523C72" w:rsidRDefault="00523C72" w:rsidP="00523C72">
      <w:pPr>
        <w:numPr>
          <w:ilvl w:val="0"/>
          <w:numId w:val="2"/>
        </w:numPr>
        <w:suppressAutoHyphens/>
        <w:spacing w:after="0" w:line="240" w:lineRule="auto"/>
        <w:jc w:val="center"/>
        <w:rPr>
          <w:rFonts w:ascii="Times New Roman" w:eastAsia="Times New Roman" w:hAnsi="Times New Roman" w:cs="Times New Roman"/>
          <w:b/>
          <w:bCs/>
          <w:kern w:val="0"/>
          <w:sz w:val="24"/>
          <w:szCs w:val="20"/>
          <w:lang w:eastAsia="ar-SA"/>
          <w14:ligatures w14:val="none"/>
        </w:rPr>
      </w:pPr>
      <w:r w:rsidRPr="00523C72">
        <w:rPr>
          <w:rFonts w:ascii="Times New Roman" w:eastAsia="Times New Roman" w:hAnsi="Times New Roman" w:cs="Times New Roman"/>
          <w:b/>
          <w:bCs/>
          <w:kern w:val="0"/>
          <w:sz w:val="24"/>
          <w:szCs w:val="20"/>
          <w:lang w:eastAsia="ar-SA"/>
          <w14:ligatures w14:val="none"/>
        </w:rPr>
        <w:t>Secinājumi</w:t>
      </w:r>
    </w:p>
    <w:p w14:paraId="0934A5FD" w14:textId="77777777" w:rsidR="00523C72" w:rsidRPr="00523C72" w:rsidRDefault="00523C72" w:rsidP="00523C72">
      <w:pPr>
        <w:suppressAutoHyphens/>
        <w:spacing w:after="0" w:line="240" w:lineRule="auto"/>
        <w:jc w:val="both"/>
        <w:rPr>
          <w:rFonts w:ascii="Times New Roman" w:eastAsia="Times New Roman" w:hAnsi="Times New Roman" w:cs="Times New Roman"/>
          <w:kern w:val="0"/>
          <w:sz w:val="24"/>
          <w:szCs w:val="20"/>
          <w:lang w:eastAsia="ar-SA"/>
          <w14:ligatures w14:val="none"/>
        </w:rPr>
      </w:pPr>
    </w:p>
    <w:p w14:paraId="43D081F3" w14:textId="77777777" w:rsidR="00523C72" w:rsidRPr="00523C72" w:rsidRDefault="00523C72" w:rsidP="00523C72">
      <w:pPr>
        <w:suppressAutoHyphens/>
        <w:spacing w:after="0" w:line="240" w:lineRule="auto"/>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Normatīvajos aktos paredzētie ierobežojumi VDK darbiniekiem un informatoriem ir vērsti uz demokrātiskas valsts iekārtas un sabiedrības aizsardzību un līdz ar to tie skar nacionālās drošības intereses. Ierobežojumu mērķis izriet arī no Satversmes ievadā ietvertās konstitucionālās identitātes nesaderības ar komunistisko totalitāro režīmu un to noziegumiem.</w:t>
      </w:r>
    </w:p>
    <w:p w14:paraId="3116131B" w14:textId="77777777" w:rsidR="00523C72" w:rsidRPr="00523C72" w:rsidRDefault="00523C72" w:rsidP="00523C72">
      <w:pPr>
        <w:suppressAutoHyphens/>
        <w:spacing w:after="0" w:line="240" w:lineRule="auto"/>
        <w:jc w:val="both"/>
        <w:rPr>
          <w:rFonts w:ascii="Times New Roman" w:eastAsia="Times New Roman" w:hAnsi="Times New Roman" w:cs="Times New Roman"/>
          <w:kern w:val="0"/>
          <w:sz w:val="24"/>
          <w:szCs w:val="20"/>
          <w:lang w:eastAsia="ar-SA"/>
          <w14:ligatures w14:val="none"/>
        </w:rPr>
      </w:pPr>
    </w:p>
    <w:p w14:paraId="36E7C5C1" w14:textId="77777777" w:rsidR="00523C72" w:rsidRPr="00523C72" w:rsidRDefault="00523C72" w:rsidP="00523C72">
      <w:pPr>
        <w:suppressAutoHyphens/>
        <w:spacing w:after="0" w:line="240" w:lineRule="auto"/>
        <w:jc w:val="both"/>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Vērtējot VDK darbiniekiem un informatoriem paredzēto ierobežojumu nepieciešamību un samērīgumu, ir būtiski ņemt vērā aktuālo ģeopolitisko situāciju.</w:t>
      </w:r>
      <w:r w:rsidRPr="00523C72">
        <w:rPr>
          <w:rFonts w:ascii="Times New Roman" w:eastAsia="Times New Roman" w:hAnsi="Times New Roman" w:cs="Times New Roman"/>
          <w:kern w:val="0"/>
          <w:sz w:val="24"/>
          <w:szCs w:val="24"/>
          <w:lang w:eastAsia="ar-SA"/>
          <w14:ligatures w14:val="none"/>
        </w:rPr>
        <w:t xml:space="preserve"> Jo īpaši šajos apstākļos bijušos VDK darbiniekus un informatorus joprojām ir pamats ietvert riska grupā, kas var apdraudēt Latvijas, NATO bloka un Eiropas Savienības dalībvalstu drošību, kā arī vairot neuzticību valsts varas pārstāvjiem. </w:t>
      </w:r>
      <w:r w:rsidRPr="00523C72">
        <w:rPr>
          <w:rFonts w:ascii="Times New Roman" w:eastAsia="Times New Roman" w:hAnsi="Times New Roman" w:cs="Times New Roman"/>
          <w:kern w:val="0"/>
          <w:sz w:val="24"/>
          <w:szCs w:val="20"/>
          <w:lang w:eastAsia="ar-SA"/>
          <w14:ligatures w14:val="none"/>
        </w:rPr>
        <w:t xml:space="preserve">Tādējādi VDK darbiniekiem un informatoriem likumos noteiktie ierobežojumi ir nepieciešami un pamatoti, un tie ir saglabājami. </w:t>
      </w:r>
    </w:p>
    <w:p w14:paraId="749A59DF" w14:textId="77777777" w:rsidR="00523C72" w:rsidRPr="00523C72" w:rsidRDefault="00523C72" w:rsidP="00523C72">
      <w:pPr>
        <w:suppressAutoHyphens/>
        <w:spacing w:after="0" w:line="240" w:lineRule="auto"/>
        <w:rPr>
          <w:rFonts w:ascii="Times New Roman" w:eastAsia="Times New Roman" w:hAnsi="Times New Roman" w:cs="Times New Roman"/>
          <w:kern w:val="0"/>
          <w:sz w:val="24"/>
          <w:szCs w:val="20"/>
          <w:lang w:eastAsia="ar-SA"/>
          <w14:ligatures w14:val="none"/>
        </w:rPr>
      </w:pPr>
    </w:p>
    <w:p w14:paraId="6076BB44" w14:textId="77777777" w:rsidR="00523C72" w:rsidRPr="00523C72" w:rsidRDefault="00523C72" w:rsidP="00523C72">
      <w:pPr>
        <w:suppressAutoHyphens/>
        <w:spacing w:after="0" w:line="240" w:lineRule="auto"/>
        <w:rPr>
          <w:rFonts w:ascii="Times New Roman" w:eastAsia="Times New Roman" w:hAnsi="Times New Roman" w:cs="Times New Roman"/>
          <w:i/>
          <w:kern w:val="0"/>
          <w:sz w:val="20"/>
          <w:szCs w:val="20"/>
          <w:lang w:eastAsia="ar-SA"/>
          <w14:ligatures w14:val="none"/>
        </w:rPr>
      </w:pPr>
    </w:p>
    <w:p w14:paraId="45FB1843" w14:textId="77777777" w:rsidR="00523C72" w:rsidRPr="00523C72" w:rsidRDefault="00523C72" w:rsidP="00523C72">
      <w:pPr>
        <w:keepNext/>
        <w:tabs>
          <w:tab w:val="left" w:pos="6804"/>
        </w:tabs>
        <w:suppressAutoHyphens/>
        <w:spacing w:after="0" w:line="240" w:lineRule="auto"/>
        <w:jc w:val="both"/>
        <w:outlineLvl w:val="5"/>
        <w:rPr>
          <w:rFonts w:ascii="Times New Roman" w:eastAsia="Times New Roman" w:hAnsi="Times New Roman" w:cs="Times New Roman"/>
          <w:kern w:val="0"/>
          <w:sz w:val="24"/>
          <w:szCs w:val="20"/>
          <w:lang w:eastAsia="ar-SA"/>
          <w14:ligatures w14:val="none"/>
        </w:rPr>
      </w:pPr>
      <w:r w:rsidRPr="00523C72">
        <w:rPr>
          <w:rFonts w:ascii="Times New Roman" w:eastAsia="Times New Roman" w:hAnsi="Times New Roman" w:cs="Times New Roman"/>
          <w:kern w:val="0"/>
          <w:sz w:val="24"/>
          <w:szCs w:val="20"/>
          <w:lang w:eastAsia="ar-SA"/>
          <w14:ligatures w14:val="none"/>
        </w:rPr>
        <w:t>Tieslietu ministre</w:t>
      </w:r>
      <w:r w:rsidRPr="00523C72">
        <w:rPr>
          <w:rFonts w:ascii="Times New Roman" w:eastAsia="Times New Roman" w:hAnsi="Times New Roman" w:cs="Times New Roman"/>
          <w:kern w:val="0"/>
          <w:sz w:val="24"/>
          <w:szCs w:val="20"/>
          <w:lang w:eastAsia="ar-SA"/>
          <w14:ligatures w14:val="none"/>
        </w:rPr>
        <w:tab/>
        <w:t>Inese Lībiņa-Egnere</w:t>
      </w:r>
    </w:p>
    <w:p w14:paraId="4CDEA625" w14:textId="77777777" w:rsidR="00523C72" w:rsidRPr="00523C72" w:rsidRDefault="00523C72" w:rsidP="00523C72">
      <w:pPr>
        <w:tabs>
          <w:tab w:val="left" w:pos="6804"/>
        </w:tabs>
        <w:suppressAutoHyphens/>
        <w:spacing w:after="0" w:line="240" w:lineRule="auto"/>
        <w:jc w:val="both"/>
        <w:rPr>
          <w:rFonts w:ascii="Times New Roman" w:eastAsia="Times New Roman" w:hAnsi="Times New Roman" w:cs="Times New Roman"/>
          <w:kern w:val="0"/>
          <w:sz w:val="24"/>
          <w:szCs w:val="20"/>
          <w:lang w:eastAsia="ar-SA"/>
          <w14:ligatures w14:val="none"/>
        </w:rPr>
      </w:pPr>
    </w:p>
    <w:p w14:paraId="1498B12F" w14:textId="77777777" w:rsidR="00523C72" w:rsidRPr="00523C72" w:rsidRDefault="00523C72" w:rsidP="00523C72">
      <w:pPr>
        <w:tabs>
          <w:tab w:val="left" w:pos="6804"/>
        </w:tabs>
        <w:suppressAutoHyphens/>
        <w:spacing w:after="0" w:line="240" w:lineRule="auto"/>
        <w:jc w:val="both"/>
        <w:rPr>
          <w:rFonts w:ascii="Times New Roman" w:eastAsia="Times New Roman" w:hAnsi="Times New Roman" w:cs="Times New Roman"/>
          <w:kern w:val="0"/>
          <w:sz w:val="24"/>
          <w:szCs w:val="20"/>
          <w:lang w:eastAsia="ar-SA"/>
          <w14:ligatures w14:val="none"/>
        </w:rPr>
      </w:pPr>
    </w:p>
    <w:p w14:paraId="40D22673" w14:textId="77777777" w:rsidR="00523C72" w:rsidRPr="00523C72" w:rsidRDefault="00523C72" w:rsidP="00523C72">
      <w:pPr>
        <w:tabs>
          <w:tab w:val="left" w:pos="6804"/>
        </w:tabs>
        <w:suppressAutoHyphens/>
        <w:spacing w:after="0" w:line="240" w:lineRule="auto"/>
        <w:jc w:val="both"/>
        <w:rPr>
          <w:rFonts w:ascii="Times New Roman" w:eastAsia="Times New Roman" w:hAnsi="Times New Roman" w:cs="Times New Roman"/>
          <w:kern w:val="0"/>
          <w:sz w:val="20"/>
          <w:szCs w:val="20"/>
          <w:lang w:eastAsia="ar-SA"/>
          <w14:ligatures w14:val="none"/>
        </w:rPr>
      </w:pPr>
      <w:r w:rsidRPr="00523C72">
        <w:rPr>
          <w:rFonts w:ascii="Times New Roman" w:eastAsia="Times New Roman" w:hAnsi="Times New Roman" w:cs="Times New Roman"/>
          <w:kern w:val="0"/>
          <w:sz w:val="20"/>
          <w:szCs w:val="20"/>
          <w:lang w:eastAsia="ar-SA"/>
          <w14:ligatures w14:val="none"/>
        </w:rPr>
        <w:t>Zariņa 67036905</w:t>
      </w:r>
    </w:p>
    <w:p w14:paraId="6016CDAA" w14:textId="77777777" w:rsidR="00B60882" w:rsidRDefault="00B60882"/>
    <w:sectPr w:rsidR="00B60882" w:rsidSect="00F359D7">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C22B7" w14:textId="77777777" w:rsidR="00523C72" w:rsidRDefault="00523C72" w:rsidP="00523C72">
      <w:pPr>
        <w:spacing w:after="0" w:line="240" w:lineRule="auto"/>
      </w:pPr>
      <w:r>
        <w:separator/>
      </w:r>
    </w:p>
  </w:endnote>
  <w:endnote w:type="continuationSeparator" w:id="0">
    <w:p w14:paraId="739C1F76" w14:textId="77777777" w:rsidR="00523C72" w:rsidRDefault="00523C72" w:rsidP="00523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F0EA4" w14:textId="77777777" w:rsidR="00F359D7" w:rsidRDefault="00F359D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DD0C8" w14:textId="77777777" w:rsidR="00F359D7" w:rsidRDefault="00F359D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965D1" w14:textId="77777777" w:rsidR="00F359D7" w:rsidRDefault="00F359D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DF287" w14:textId="77777777" w:rsidR="00523C72" w:rsidRDefault="00523C72" w:rsidP="00523C72">
      <w:pPr>
        <w:spacing w:after="0" w:line="240" w:lineRule="auto"/>
      </w:pPr>
      <w:r>
        <w:separator/>
      </w:r>
    </w:p>
  </w:footnote>
  <w:footnote w:type="continuationSeparator" w:id="0">
    <w:p w14:paraId="3A0D9F15" w14:textId="77777777" w:rsidR="00523C72" w:rsidRDefault="00523C72" w:rsidP="00523C72">
      <w:pPr>
        <w:spacing w:after="0" w:line="240" w:lineRule="auto"/>
      </w:pPr>
      <w:r>
        <w:continuationSeparator/>
      </w:r>
    </w:p>
  </w:footnote>
  <w:footnote w:id="1">
    <w:p w14:paraId="5919E377" w14:textId="77777777" w:rsidR="00523C72" w:rsidRDefault="00523C72" w:rsidP="00523C72">
      <w:pPr>
        <w:pStyle w:val="Vresteksts"/>
        <w:jc w:val="both"/>
      </w:pPr>
      <w:r>
        <w:rPr>
          <w:rStyle w:val="Vresatsauce"/>
        </w:rPr>
        <w:footnoteRef/>
      </w:r>
      <w:r>
        <w:t xml:space="preserve"> “Informatīvais ziņojums par bijušajiem VDK darbiniekiem un informatoriem likumos noteikto ierobežojumu nepieciešamību un pamatotību”, Ministru kabineta 2019 .gada 13. augusta protokols Nr. 34, 50.§, pieejams: </w:t>
      </w:r>
      <w:hyperlink r:id="rId1" w:history="1">
        <w:r w:rsidRPr="00523C72">
          <w:rPr>
            <w:rStyle w:val="Hipersaite"/>
          </w:rPr>
          <w:t>https://tap.mk.gov.lv/mk/tap/?pid=40472240</w:t>
        </w:r>
      </w:hyperlink>
    </w:p>
    <w:p w14:paraId="51383654" w14:textId="77777777" w:rsidR="00523C72" w:rsidRDefault="00523C72" w:rsidP="00523C72">
      <w:pPr>
        <w:pStyle w:val="Vresteksts"/>
      </w:pPr>
    </w:p>
  </w:footnote>
  <w:footnote w:id="2">
    <w:p w14:paraId="74891625" w14:textId="77777777" w:rsidR="00523C72" w:rsidRDefault="00523C72" w:rsidP="00523C72">
      <w:pPr>
        <w:pStyle w:val="Vresteksts"/>
        <w:jc w:val="both"/>
      </w:pPr>
      <w:r>
        <w:rPr>
          <w:rStyle w:val="Vresatsauce"/>
        </w:rPr>
        <w:footnoteRef/>
      </w:r>
      <w:r>
        <w:t xml:space="preserve"> Satversmes tiesas 2000. gada 30. augusta spriedums lietā Nr. 2000-03-01, Satversmes tiesas 2006. gada 20. jūnija spriedums lietā Nr. 2005-13-0106; Satversmes 2006. gada 11. aprīļa spriedums lietā Nr. 2005-24-01. </w:t>
      </w:r>
    </w:p>
  </w:footnote>
  <w:footnote w:id="3">
    <w:p w14:paraId="4A237D48" w14:textId="77777777" w:rsidR="00523C72" w:rsidRDefault="00523C72" w:rsidP="00523C72">
      <w:pPr>
        <w:pStyle w:val="Vresteksts"/>
        <w:jc w:val="both"/>
      </w:pPr>
      <w:r>
        <w:rPr>
          <w:rStyle w:val="Vresatsauce"/>
        </w:rPr>
        <w:footnoteRef/>
      </w:r>
      <w:r>
        <w:t xml:space="preserve"> Satversmes tiesas 2006. gada 11. aprīļa spriedumā lietā Nr. 2005-24-01 11.1. apakšpunkts.</w:t>
      </w:r>
    </w:p>
  </w:footnote>
  <w:footnote w:id="4">
    <w:p w14:paraId="4E8A061A" w14:textId="77777777" w:rsidR="00523C72" w:rsidRDefault="00523C72" w:rsidP="00523C72">
      <w:pPr>
        <w:pStyle w:val="Vresteksts"/>
        <w:jc w:val="both"/>
      </w:pPr>
      <w:r>
        <w:rPr>
          <w:rStyle w:val="Vresatsauce"/>
        </w:rPr>
        <w:footnoteRef/>
      </w:r>
      <w:r>
        <w:t xml:space="preserve"> Satversmes tiesas 2006. gada 15. jūnija sprieduma lietā Nr. 2005-13-0106 18.8 punkts</w:t>
      </w:r>
    </w:p>
  </w:footnote>
  <w:footnote w:id="5">
    <w:p w14:paraId="2018F035" w14:textId="77777777" w:rsidR="00523C72" w:rsidRDefault="00523C72" w:rsidP="00523C72">
      <w:pPr>
        <w:pStyle w:val="Vresteksts"/>
        <w:jc w:val="both"/>
      </w:pPr>
      <w:r>
        <w:rPr>
          <w:rStyle w:val="Vresatsauce"/>
        </w:rPr>
        <w:footnoteRef/>
      </w:r>
      <w:r>
        <w:t xml:space="preserve"> Satversmes tiesas 2018. gada 29. jūnija sprieduma lietā Nr. 2017-25-01 13.3. apakšpunkts.</w:t>
      </w:r>
    </w:p>
  </w:footnote>
  <w:footnote w:id="6">
    <w:p w14:paraId="77C3F625" w14:textId="77777777" w:rsidR="00523C72" w:rsidRDefault="00523C72" w:rsidP="00523C72">
      <w:pPr>
        <w:pStyle w:val="Vresteksts"/>
        <w:jc w:val="both"/>
      </w:pPr>
      <w:r>
        <w:rPr>
          <w:rStyle w:val="Vresatsauce"/>
        </w:rPr>
        <w:footnoteRef/>
      </w:r>
      <w:r>
        <w:t xml:space="preserve"> Valsts aizsardzības dienesta likums, 2023. gada 21. decembra likums “Grozījumi Valsts pārvaldes iekārtas likumā” attiecībā uz lojalitātes pienākuma noteikšanu, 2022. gada 27. oktobra likums “Grozījumi Eiropas Parlamenta vēlēšanu likumā, kas paredz ierobežojumu kandidēt Eiropas Parlamenta vēlēšanās personām, kuras ir bijušas PSRS, Latvijas PSR valsts drošības dienesta, izlūkdienesta vai pretizlūkošanas dienesta štata darbinieki, likums “Par padomju un nacistisko režīmu slavinošu objektu eksponēšanas  aizliegumu un to demontāžu Latvijas Republikas teritorijā” u.c. normatīvie akti</w:t>
      </w:r>
    </w:p>
  </w:footnote>
  <w:footnote w:id="7">
    <w:p w14:paraId="33C6E1ED" w14:textId="77777777" w:rsidR="00523C72" w:rsidRDefault="00523C72" w:rsidP="00523C72">
      <w:pPr>
        <w:pStyle w:val="Vresteksts"/>
        <w:jc w:val="both"/>
      </w:pPr>
      <w:r>
        <w:rPr>
          <w:rStyle w:val="Vresatsauce"/>
        </w:rPr>
        <w:footnoteRef/>
      </w:r>
      <w:r>
        <w:t xml:space="preserve"> ECT 2004. gada 27. jūlija sprieduma lietā “</w:t>
      </w:r>
      <w:proofErr w:type="spellStart"/>
      <w:r>
        <w:t>Sidabras</w:t>
      </w:r>
      <w:proofErr w:type="spellEnd"/>
      <w:r>
        <w:t xml:space="preserve"> </w:t>
      </w:r>
      <w:proofErr w:type="spellStart"/>
      <w:r>
        <w:t>and</w:t>
      </w:r>
      <w:proofErr w:type="spellEnd"/>
      <w:r>
        <w:t xml:space="preserve"> </w:t>
      </w:r>
      <w:proofErr w:type="spellStart"/>
      <w:r>
        <w:t>Džiautas</w:t>
      </w:r>
      <w:proofErr w:type="spellEnd"/>
      <w:r>
        <w:t xml:space="preserve"> v. </w:t>
      </w:r>
      <w:proofErr w:type="spellStart"/>
      <w:r>
        <w:t>Lithuania</w:t>
      </w:r>
      <w:proofErr w:type="spellEnd"/>
      <w:r>
        <w:t xml:space="preserve">” (Iesniegums Nr. 50421/08) 53. – 55. punkts. </w:t>
      </w:r>
    </w:p>
  </w:footnote>
  <w:footnote w:id="8">
    <w:p w14:paraId="6FD61DEE" w14:textId="77777777" w:rsidR="00523C72" w:rsidRDefault="00523C72" w:rsidP="00523C72">
      <w:pPr>
        <w:pStyle w:val="Vresteksts"/>
        <w:jc w:val="both"/>
      </w:pPr>
      <w:r>
        <w:rPr>
          <w:rStyle w:val="Vresatsauce"/>
        </w:rPr>
        <w:footnoteRef/>
      </w:r>
      <w:r>
        <w:t xml:space="preserve"> ECT 2018. gada 11. janvāra sprieduma “</w:t>
      </w:r>
      <w:proofErr w:type="spellStart"/>
      <w:r>
        <w:t>Anchev</w:t>
      </w:r>
      <w:proofErr w:type="spellEnd"/>
      <w:r>
        <w:t xml:space="preserve"> v. </w:t>
      </w:r>
      <w:proofErr w:type="spellStart"/>
      <w:r>
        <w:t>Bulgaria</w:t>
      </w:r>
      <w:proofErr w:type="spellEnd"/>
      <w:r>
        <w:t>” (Iesniegums Nr. 38334/08 un 68242/16)102. punkts.</w:t>
      </w:r>
    </w:p>
  </w:footnote>
  <w:footnote w:id="9">
    <w:p w14:paraId="044735B1" w14:textId="77777777" w:rsidR="00523C72" w:rsidRDefault="00523C72" w:rsidP="00523C72">
      <w:pPr>
        <w:pStyle w:val="Vresteksts"/>
        <w:jc w:val="both"/>
      </w:pPr>
      <w:r>
        <w:rPr>
          <w:rStyle w:val="Vresatsauce"/>
        </w:rPr>
        <w:footnoteRef/>
      </w:r>
      <w:r>
        <w:t xml:space="preserve"> Turpat, sprieduma 102.punkts</w:t>
      </w:r>
    </w:p>
  </w:footnote>
  <w:footnote w:id="10">
    <w:p w14:paraId="3AE36F17" w14:textId="77777777" w:rsidR="00523C72" w:rsidRDefault="00523C72" w:rsidP="00523C72">
      <w:pPr>
        <w:pStyle w:val="Vresteksts"/>
        <w:jc w:val="both"/>
      </w:pPr>
      <w:r>
        <w:rPr>
          <w:rStyle w:val="Vresatsauce"/>
        </w:rPr>
        <w:footnoteRef/>
      </w:r>
      <w:r>
        <w:t xml:space="preserve"> Apsvērumi par to, ka likumā “Par bijušās Valsts drošības komitejas dokumentu saglabāšanu, izmantošanu un personu sadarbības fakta ar VDK konstatēšanu” ietvertā kārtība personas saistības ar VDK fakta konstatēšanai atbilst Eiropas Padomes Parlamentārās Asamblejas 1996. gada 27. jūnija rezolūcijā Nr. 1096 (1996) „Par pasākumiem bijušo komunistisko totalitāro sistēmu mantojuma likvidēšanā” ietvertajiem nosacījumiem, iekļauti 2019.gada informatīvajā ziņojumā “Informatīvais ziņojums par bijušajiem VDK darbiniekiem un informatoriem likumos noteikto ierobežojumu nepieciešamību un pamatotību”.</w:t>
      </w:r>
    </w:p>
  </w:footnote>
  <w:footnote w:id="11">
    <w:p w14:paraId="42298A24" w14:textId="77777777" w:rsidR="00523C72" w:rsidRDefault="00523C72" w:rsidP="00523C72">
      <w:pPr>
        <w:pStyle w:val="Vresteksts"/>
      </w:pPr>
      <w:r>
        <w:rPr>
          <w:rStyle w:val="Vresatsauce"/>
        </w:rPr>
        <w:footnoteRef/>
      </w:r>
      <w:r>
        <w:t xml:space="preserve"> VDD 2022. gada pārskats, izdots 2023. gada aprīlī, https://vdd.gov.lv/uploads/materials/32/lv/vdd-2022-gada-parskats.pdf.</w:t>
      </w:r>
    </w:p>
  </w:footnote>
  <w:footnote w:id="12">
    <w:p w14:paraId="4EA5572D" w14:textId="77777777" w:rsidR="00523C72" w:rsidRDefault="00523C72" w:rsidP="00523C72">
      <w:pPr>
        <w:pStyle w:val="Vresteksts"/>
        <w:jc w:val="both"/>
      </w:pPr>
      <w:r>
        <w:rPr>
          <w:rStyle w:val="Vresatsauce"/>
        </w:rPr>
        <w:footnoteRef/>
      </w:r>
      <w:r>
        <w:t xml:space="preserve"> Atbilstoši grozījumiem Repatriācijas likumā, kas stājās spēkā 2023. gada 1. jūlijā, iesniegumi par repatrianta statusa un repatrianta ģimenes locekļa statusa piešķiršanu no 2024. gada 1. janvāra netiek pieņemti. Proti, saskaņā ar Repatriācijas likuma pārejas noteikumu 9. punktu šā likuma 9., 9.1 un 9.2 pants (dokumentu iesniegšana repatrianta statusa iegūšanai, lēmuma pieņemšana un uzturēšanās atļaujas izsniegšana) zaudē spēku 2024. gada 1. janvārī. Savukārt saskaņā ar Repatriācijas likuma pārejas noteikumu 10. un 11. punktu iesniegumus par repatrianta statusa un repatrianta ģimenes locekļa statusa piešķiršanu, kas iesniegti līdz 2023. gada 30. jūnijam, un iesniegumus materiālās palīdzības saņemšanai, kas iesniegti līdz 2023. gada 30. jūnijam, izskata saskaņā ar šā likuma noteikumiem, kādi bija spēkā 2023. gada 30. jūnijā, arī iesniegumus par repatrianta statusa un repatrianta ģimenes locekļa statusa piešķiršanu, kas iesniegti laikposmā no 2023. gada 1. jūlija līdz 2023. gada 31. decembrim, izskata saskaņā ar šā likuma noteikumiem, kādi bija spēkā 2023. gada 1. jūlijā. Savukārt saskaņā ar likumu “Par Repatriācijas likuma atzīšanu par spēku zaudējušu” Repatriācijas likums 2028. gada 1. jūlijā zaudēs spēku. Līdz ar to Repatriācijas likuma 10. panta pirmās daļas 5. punkta normas darbības laiks ir ierobežots līdz brīdim, kad noslēgsies administratīvais process par pēdējo Repatriācijas likumā noteiktajā termiņā iesniegto personas iesniegumu par repatrianta statusa iegūšanu.</w:t>
      </w:r>
    </w:p>
  </w:footnote>
  <w:footnote w:id="13">
    <w:p w14:paraId="380E39DB" w14:textId="77777777" w:rsidR="00523C72" w:rsidRDefault="00523C72" w:rsidP="00523C72">
      <w:pPr>
        <w:pStyle w:val="Vresteksts"/>
        <w:jc w:val="both"/>
      </w:pPr>
      <w:r>
        <w:rPr>
          <w:rStyle w:val="Vresatsauce"/>
        </w:rPr>
        <w:footnoteRef/>
      </w:r>
      <w:r>
        <w:t xml:space="preserve"> Saeimas vēlēšanu likuma 5. panta 5. punkts, Pašvaldības domes vēlēšanu likuma 9. panta pirmās daļas 6. punkts  un Eiropas Parlamenta vēlēšanu likuma 5. panta trešā daļa. </w:t>
      </w:r>
    </w:p>
  </w:footnote>
  <w:footnote w:id="14">
    <w:p w14:paraId="14CE5E9A" w14:textId="77777777" w:rsidR="00523C72" w:rsidRDefault="00523C72" w:rsidP="00523C72">
      <w:pPr>
        <w:pStyle w:val="Vresteksts"/>
        <w:jc w:val="both"/>
      </w:pPr>
      <w:r>
        <w:rPr>
          <w:rStyle w:val="Vresatsauce"/>
        </w:rPr>
        <w:footnoteRef/>
      </w:r>
      <w:r>
        <w:t xml:space="preserve"> 102. pants. Lojalitātes pienākums</w:t>
      </w:r>
    </w:p>
    <w:p w14:paraId="4C0FFDD4" w14:textId="77777777" w:rsidR="00523C72" w:rsidRDefault="00523C72" w:rsidP="00523C72">
      <w:pPr>
        <w:pStyle w:val="Vresteksts"/>
        <w:jc w:val="both"/>
      </w:pPr>
      <w:r>
        <w:t>(1) Publiskas personas institūcijā nodarbinātajam ir pienākums būt lojālam Latvijas Republikai un tās Satversmei.</w:t>
      </w:r>
    </w:p>
    <w:p w14:paraId="1C899D96" w14:textId="77777777" w:rsidR="00523C72" w:rsidRDefault="00523C72" w:rsidP="00523C72">
      <w:pPr>
        <w:pStyle w:val="Vresteksts"/>
        <w:jc w:val="both"/>
      </w:pPr>
      <w:r>
        <w:t>(2) Ja publiskas personas institūcijā nodarbinātais ir paudis publisku viedokli vai veicis citas darbības, kas nepārprotami liecina, ka viņš nav lojāls Latvijas Republikai un tās Satversmei, un viņa turpmāka nodarbinātība attiecīgajā publiskas personas institūcijā var būtiski apdraudēt šīs institūcijas darbību vai valsts intereses, tad lojalitātes pienākuma neievērošana uzskatāma par patstāvīgu pamatu nodarbinātības attiecību izbeigšanai ar jebkuru šādu darbinieku un valsts dienesta attiecību ietvaros nodarbinātu personu.</w:t>
      </w:r>
    </w:p>
    <w:p w14:paraId="666F48B9" w14:textId="77777777" w:rsidR="00523C72" w:rsidRDefault="00523C72" w:rsidP="00523C72">
      <w:pPr>
        <w:pStyle w:val="Vresteksts"/>
        <w:jc w:val="both"/>
      </w:pPr>
      <w:r>
        <w:t>(3) Ja, pamatojoties uz šā panta otro daļu, darbinieks ir atbrīvojams no amata, darba devēja uzteikumam ir piemērojami Darba likuma 101. panta pirmās daļas 1. punkta noteikumi, uz šā paša pamata pieņemtam lēmumam par valsts civildienesta ierēdņa atbrīvošanu no amata — Valsts civildienesta likuma 41. panta pirmās daļas 1. punkta "d" apakšpunkta noteikumi, bet dienesta attiecības ar pārējām valsts dienesta attiecību ietvaros nodarbinātajām personām tiek izbeigtas vispārējā tām piemērojamā kārtībā.</w:t>
      </w:r>
    </w:p>
    <w:p w14:paraId="5645DB1D" w14:textId="77777777" w:rsidR="00523C72" w:rsidRDefault="00523C72" w:rsidP="00523C72">
      <w:pPr>
        <w:pStyle w:val="Vresteksts"/>
        <w:jc w:val="both"/>
      </w:pPr>
      <w:r>
        <w:t>(4) Ar citām publiskas personas institūcijā nodarbinātām amatpersonām šā panta otrajā daļā minētajā gadījumā nodarbinātības attiecības var izbeigt tikai tad, ja šīs attiecības regulējošajā likumā neatbilstība ieņemamam amatam vai prasībai pēc nevainojamas reputācijas ir paredzēta kā pamats personas atbrīvošanai no amata.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D7560" w14:textId="77777777" w:rsidR="00F359D7" w:rsidRDefault="00F359D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3009201"/>
      <w:docPartObj>
        <w:docPartGallery w:val="Page Numbers (Top of Page)"/>
        <w:docPartUnique/>
      </w:docPartObj>
    </w:sdtPr>
    <w:sdtEndPr>
      <w:rPr>
        <w:rFonts w:ascii="Times New Roman" w:hAnsi="Times New Roman" w:cs="Times New Roman"/>
        <w:sz w:val="20"/>
        <w:szCs w:val="20"/>
      </w:rPr>
    </w:sdtEndPr>
    <w:sdtContent>
      <w:p w14:paraId="65C4CDEE" w14:textId="79065D65" w:rsidR="00F359D7" w:rsidRPr="00F359D7" w:rsidRDefault="00F359D7">
        <w:pPr>
          <w:pStyle w:val="Galvene"/>
          <w:jc w:val="center"/>
          <w:rPr>
            <w:rFonts w:ascii="Times New Roman" w:hAnsi="Times New Roman" w:cs="Times New Roman"/>
            <w:sz w:val="20"/>
            <w:szCs w:val="20"/>
          </w:rPr>
        </w:pPr>
        <w:r w:rsidRPr="00F359D7">
          <w:rPr>
            <w:rFonts w:ascii="Times New Roman" w:hAnsi="Times New Roman" w:cs="Times New Roman"/>
            <w:sz w:val="20"/>
            <w:szCs w:val="20"/>
          </w:rPr>
          <w:fldChar w:fldCharType="begin"/>
        </w:r>
        <w:r w:rsidRPr="00F359D7">
          <w:rPr>
            <w:rFonts w:ascii="Times New Roman" w:hAnsi="Times New Roman" w:cs="Times New Roman"/>
            <w:sz w:val="20"/>
            <w:szCs w:val="20"/>
          </w:rPr>
          <w:instrText>PAGE   \* MERGEFORMAT</w:instrText>
        </w:r>
        <w:r w:rsidRPr="00F359D7">
          <w:rPr>
            <w:rFonts w:ascii="Times New Roman" w:hAnsi="Times New Roman" w:cs="Times New Roman"/>
            <w:sz w:val="20"/>
            <w:szCs w:val="20"/>
          </w:rPr>
          <w:fldChar w:fldCharType="separate"/>
        </w:r>
        <w:r w:rsidRPr="00F359D7">
          <w:rPr>
            <w:rFonts w:ascii="Times New Roman" w:hAnsi="Times New Roman" w:cs="Times New Roman"/>
            <w:sz w:val="20"/>
            <w:szCs w:val="20"/>
          </w:rPr>
          <w:t>2</w:t>
        </w:r>
        <w:r w:rsidRPr="00F359D7">
          <w:rPr>
            <w:rFonts w:ascii="Times New Roman" w:hAnsi="Times New Roman" w:cs="Times New Roman"/>
            <w:sz w:val="20"/>
            <w:szCs w:val="20"/>
          </w:rPr>
          <w:fldChar w:fldCharType="end"/>
        </w:r>
      </w:p>
    </w:sdtContent>
  </w:sdt>
  <w:p w14:paraId="7085C796" w14:textId="77777777" w:rsidR="00F359D7" w:rsidRDefault="00F359D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C318A" w14:textId="77777777" w:rsidR="00F359D7" w:rsidRDefault="00F359D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3FE90843"/>
    <w:multiLevelType w:val="multilevel"/>
    <w:tmpl w:val="B6E2A7F6"/>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num w:numId="1" w16cid:durableId="1469320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40132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328"/>
    <w:rsid w:val="003A24B1"/>
    <w:rsid w:val="00523C72"/>
    <w:rsid w:val="00AC1E29"/>
    <w:rsid w:val="00B60882"/>
    <w:rsid w:val="00DC6328"/>
    <w:rsid w:val="00F359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8E52B"/>
  <w15:chartTrackingRefBased/>
  <w15:docId w15:val="{CBA53A59-40BD-413B-9ACE-2AA767EA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C63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C63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C632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C632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C632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C632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C632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C632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C632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C632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C632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C632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C632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C632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C632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C632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C632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C632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C63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C632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C632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C632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C632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C6328"/>
    <w:rPr>
      <w:i/>
      <w:iCs/>
      <w:color w:val="404040" w:themeColor="text1" w:themeTint="BF"/>
    </w:rPr>
  </w:style>
  <w:style w:type="paragraph" w:styleId="Sarakstarindkopa">
    <w:name w:val="List Paragraph"/>
    <w:basedOn w:val="Parasts"/>
    <w:uiPriority w:val="34"/>
    <w:qFormat/>
    <w:rsid w:val="00DC6328"/>
    <w:pPr>
      <w:ind w:left="720"/>
      <w:contextualSpacing/>
    </w:pPr>
  </w:style>
  <w:style w:type="character" w:styleId="Intensvsizclums">
    <w:name w:val="Intense Emphasis"/>
    <w:basedOn w:val="Noklusjumarindkopasfonts"/>
    <w:uiPriority w:val="21"/>
    <w:qFormat/>
    <w:rsid w:val="00DC6328"/>
    <w:rPr>
      <w:i/>
      <w:iCs/>
      <w:color w:val="0F4761" w:themeColor="accent1" w:themeShade="BF"/>
    </w:rPr>
  </w:style>
  <w:style w:type="paragraph" w:styleId="Intensvscitts">
    <w:name w:val="Intense Quote"/>
    <w:basedOn w:val="Parasts"/>
    <w:next w:val="Parasts"/>
    <w:link w:val="IntensvscittsRakstz"/>
    <w:uiPriority w:val="30"/>
    <w:qFormat/>
    <w:rsid w:val="00DC63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C6328"/>
    <w:rPr>
      <w:i/>
      <w:iCs/>
      <w:color w:val="0F4761" w:themeColor="accent1" w:themeShade="BF"/>
    </w:rPr>
  </w:style>
  <w:style w:type="character" w:styleId="Intensvaatsauce">
    <w:name w:val="Intense Reference"/>
    <w:basedOn w:val="Noklusjumarindkopasfonts"/>
    <w:uiPriority w:val="32"/>
    <w:qFormat/>
    <w:rsid w:val="00DC6328"/>
    <w:rPr>
      <w:b/>
      <w:bCs/>
      <w:smallCaps/>
      <w:color w:val="0F4761" w:themeColor="accent1" w:themeShade="BF"/>
      <w:spacing w:val="5"/>
    </w:rPr>
  </w:style>
  <w:style w:type="character" w:styleId="Hipersaite">
    <w:name w:val="Hyperlink"/>
    <w:semiHidden/>
    <w:unhideWhenUsed/>
    <w:rsid w:val="00523C72"/>
    <w:rPr>
      <w:color w:val="0000FF"/>
      <w:u w:val="single"/>
    </w:rPr>
  </w:style>
  <w:style w:type="paragraph" w:styleId="Vresteksts">
    <w:name w:val="footnote text"/>
    <w:basedOn w:val="Parasts"/>
    <w:link w:val="VrestekstsRakstz"/>
    <w:uiPriority w:val="99"/>
    <w:semiHidden/>
    <w:unhideWhenUsed/>
    <w:rsid w:val="00523C72"/>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VrestekstsRakstz">
    <w:name w:val="Vēres teksts Rakstz."/>
    <w:basedOn w:val="Noklusjumarindkopasfonts"/>
    <w:link w:val="Vresteksts"/>
    <w:uiPriority w:val="99"/>
    <w:semiHidden/>
    <w:rsid w:val="00523C72"/>
    <w:rPr>
      <w:rFonts w:ascii="Times New Roman" w:eastAsia="Times New Roman" w:hAnsi="Times New Roman" w:cs="Times New Roman"/>
      <w:kern w:val="0"/>
      <w:sz w:val="20"/>
      <w:szCs w:val="20"/>
      <w:lang w:eastAsia="ar-SA"/>
      <w14:ligatures w14:val="none"/>
    </w:rPr>
  </w:style>
  <w:style w:type="character" w:styleId="Vresatsauce">
    <w:name w:val="footnote reference"/>
    <w:uiPriority w:val="99"/>
    <w:semiHidden/>
    <w:unhideWhenUsed/>
    <w:rsid w:val="00523C72"/>
    <w:rPr>
      <w:vertAlign w:val="superscript"/>
    </w:rPr>
  </w:style>
  <w:style w:type="paragraph" w:styleId="Galvene">
    <w:name w:val="header"/>
    <w:basedOn w:val="Parasts"/>
    <w:link w:val="GalveneRakstz"/>
    <w:uiPriority w:val="99"/>
    <w:unhideWhenUsed/>
    <w:rsid w:val="00F359D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359D7"/>
  </w:style>
  <w:style w:type="paragraph" w:styleId="Kjene">
    <w:name w:val="footer"/>
    <w:basedOn w:val="Parasts"/>
    <w:link w:val="KjeneRakstz"/>
    <w:uiPriority w:val="99"/>
    <w:unhideWhenUsed/>
    <w:rsid w:val="00F359D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35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171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ap.mk.gov.lv/mk/tap/?pid=4047224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17085</Words>
  <Characters>9739</Characters>
  <Application>Microsoft Office Word</Application>
  <DocSecurity>0</DocSecurity>
  <Lines>81</Lines>
  <Paragraphs>53</Paragraphs>
  <ScaleCrop>false</ScaleCrop>
  <Company/>
  <LinksUpToDate>false</LinksUpToDate>
  <CharactersWithSpaces>26771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Zariņa</dc:creator>
  <cp:keywords/>
  <dc:description/>
  <cp:lastModifiedBy>Liene Zariņa</cp:lastModifiedBy>
  <cp:revision>5</cp:revision>
  <dcterms:created xsi:type="dcterms:W3CDTF">2024-04-24T12:28:00Z</dcterms:created>
  <dcterms:modified xsi:type="dcterms:W3CDTF">2024-04-25T05:39:00Z</dcterms:modified>
</cp:coreProperties>
</file>